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71348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41910"/>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215265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SECURITIES AND EXCHANGE COMMISSION</w:t>
      </w:r>
    </w:p>
    <w:p>
      <w:pPr>
        <w:spacing w:after="0" w:line="14" w:lineRule="exact"/>
        <w:rPr>
          <w:sz w:val="24"/>
          <w:szCs w:val="24"/>
          <w:color w:val="auto"/>
        </w:rPr>
      </w:pPr>
    </w:p>
    <w:p>
      <w:pPr>
        <w:jc w:val="center"/>
        <w:ind w:right="-1039"/>
        <w:spacing w:after="0"/>
        <w:rPr>
          <w:sz w:val="20"/>
          <w:szCs w:val="20"/>
          <w:color w:val="auto"/>
        </w:rPr>
      </w:pPr>
      <w:r>
        <w:rPr>
          <w:rFonts w:ascii="Arial" w:cs="Arial" w:eastAsia="Arial" w:hAnsi="Arial"/>
          <w:sz w:val="18"/>
          <w:szCs w:val="18"/>
          <w:b w:val="1"/>
          <w:bCs w:val="1"/>
          <w:color w:val="auto"/>
        </w:rPr>
        <w:t>Washington, D.C. 20549</w:t>
      </w:r>
    </w:p>
    <w:p>
      <w:pPr>
        <w:spacing w:after="0" w:line="169"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FORM 6-K</w:t>
      </w:r>
    </w:p>
    <w:p>
      <w:pPr>
        <w:spacing w:after="0" w:line="206"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Report of Foreign Private Issuer</w:t>
      </w:r>
    </w:p>
    <w:p>
      <w:pPr>
        <w:jc w:val="center"/>
        <w:ind w:right="-1039"/>
        <w:spacing w:after="0" w:line="230" w:lineRule="auto"/>
        <w:rPr>
          <w:sz w:val="20"/>
          <w:szCs w:val="20"/>
          <w:color w:val="auto"/>
        </w:rPr>
      </w:pPr>
      <w:r>
        <w:rPr>
          <w:rFonts w:ascii="Arial" w:cs="Arial" w:eastAsia="Arial" w:hAnsi="Arial"/>
          <w:sz w:val="18"/>
          <w:szCs w:val="18"/>
          <w:color w:val="auto"/>
        </w:rPr>
        <w:t>Pursuant to Rule 13a-16 or 15d-16 under the</w:t>
      </w:r>
    </w:p>
    <w:p>
      <w:pPr>
        <w:spacing w:after="0" w:line="1" w:lineRule="exact"/>
        <w:rPr>
          <w:sz w:val="24"/>
          <w:szCs w:val="24"/>
          <w:color w:val="auto"/>
        </w:rPr>
      </w:pPr>
    </w:p>
    <w:p>
      <w:pPr>
        <w:jc w:val="center"/>
        <w:ind w:right="-1039"/>
        <w:spacing w:after="0"/>
        <w:rPr>
          <w:sz w:val="20"/>
          <w:szCs w:val="20"/>
          <w:color w:val="auto"/>
        </w:rPr>
      </w:pPr>
      <w:r>
        <w:rPr>
          <w:rFonts w:ascii="Arial" w:cs="Arial" w:eastAsia="Arial" w:hAnsi="Arial"/>
          <w:sz w:val="18"/>
          <w:szCs w:val="18"/>
          <w:color w:val="auto"/>
        </w:rPr>
        <w:t>Securities Exchange Act of 1934</w:t>
      </w:r>
    </w:p>
    <w:p>
      <w:pPr>
        <w:spacing w:after="0" w:line="169"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For the month of April 2023</w:t>
      </w:r>
    </w:p>
    <w:p>
      <w:pPr>
        <w:spacing w:after="0" w:line="213"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Commission File Number: 001-14014</w:t>
      </w:r>
    </w:p>
    <w:p>
      <w:pPr>
        <w:spacing w:after="0" w:line="16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CREDICORP LTD.</w:t>
      </w:r>
    </w:p>
    <w:p>
      <w:pPr>
        <w:spacing w:after="0" w:line="14" w:lineRule="exact"/>
        <w:rPr>
          <w:sz w:val="24"/>
          <w:szCs w:val="24"/>
          <w:color w:val="auto"/>
        </w:rPr>
      </w:pPr>
    </w:p>
    <w:p>
      <w:pPr>
        <w:jc w:val="center"/>
        <w:ind w:right="-1039"/>
        <w:spacing w:after="0"/>
        <w:rPr>
          <w:sz w:val="20"/>
          <w:szCs w:val="20"/>
          <w:color w:val="auto"/>
        </w:rPr>
      </w:pPr>
      <w:r>
        <w:rPr>
          <w:rFonts w:ascii="Arial" w:cs="Arial" w:eastAsia="Arial" w:hAnsi="Arial"/>
          <w:sz w:val="18"/>
          <w:szCs w:val="18"/>
          <w:color w:val="auto"/>
        </w:rPr>
        <w:t>(Translation of registrant’s name into English))</w:t>
      </w:r>
    </w:p>
    <w:p>
      <w:pPr>
        <w:spacing w:after="0" w:line="16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Of our subsidiary</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Banco de Credito del Peru:</w:t>
      </w:r>
    </w:p>
    <w:p>
      <w:pPr>
        <w:jc w:val="center"/>
        <w:ind w:right="-1039"/>
        <w:spacing w:after="0" w:line="230" w:lineRule="auto"/>
        <w:rPr>
          <w:sz w:val="20"/>
          <w:szCs w:val="20"/>
          <w:color w:val="auto"/>
        </w:rPr>
      </w:pPr>
      <w:r>
        <w:rPr>
          <w:rFonts w:ascii="Arial" w:cs="Arial" w:eastAsia="Arial" w:hAnsi="Arial"/>
          <w:sz w:val="18"/>
          <w:szCs w:val="18"/>
          <w:b w:val="1"/>
          <w:bCs w:val="1"/>
          <w:color w:val="auto"/>
        </w:rPr>
        <w:t>Calle Centenario 156</w:t>
      </w:r>
    </w:p>
    <w:p>
      <w:pPr>
        <w:jc w:val="center"/>
        <w:ind w:right="-1039"/>
        <w:spacing w:after="0" w:line="231" w:lineRule="auto"/>
        <w:rPr>
          <w:sz w:val="20"/>
          <w:szCs w:val="20"/>
          <w:color w:val="auto"/>
        </w:rPr>
      </w:pPr>
      <w:r>
        <w:rPr>
          <w:rFonts w:ascii="Arial" w:cs="Arial" w:eastAsia="Arial" w:hAnsi="Arial"/>
          <w:sz w:val="18"/>
          <w:szCs w:val="18"/>
          <w:b w:val="1"/>
          <w:bCs w:val="1"/>
          <w:color w:val="auto"/>
        </w:rPr>
        <w:t>La Molina 15026</w:t>
      </w:r>
    </w:p>
    <w:p>
      <w:pPr>
        <w:jc w:val="center"/>
        <w:ind w:right="-1039"/>
        <w:spacing w:after="0" w:line="231" w:lineRule="auto"/>
        <w:rPr>
          <w:sz w:val="20"/>
          <w:szCs w:val="20"/>
          <w:color w:val="auto"/>
        </w:rPr>
      </w:pPr>
      <w:r>
        <w:rPr>
          <w:rFonts w:ascii="Arial" w:cs="Arial" w:eastAsia="Arial" w:hAnsi="Arial"/>
          <w:sz w:val="18"/>
          <w:szCs w:val="18"/>
          <w:b w:val="1"/>
          <w:bCs w:val="1"/>
          <w:color w:val="auto"/>
        </w:rPr>
        <w:t>Lima, Peru</w:t>
      </w:r>
    </w:p>
    <w:p>
      <w:pPr>
        <w:spacing w:after="0" w:line="1" w:lineRule="exact"/>
        <w:rPr>
          <w:sz w:val="24"/>
          <w:szCs w:val="24"/>
          <w:color w:val="auto"/>
        </w:rPr>
      </w:pPr>
    </w:p>
    <w:p>
      <w:pPr>
        <w:jc w:val="center"/>
        <w:ind w:right="-1039"/>
        <w:spacing w:after="0"/>
        <w:rPr>
          <w:sz w:val="20"/>
          <w:szCs w:val="20"/>
          <w:color w:val="auto"/>
        </w:rPr>
      </w:pPr>
      <w:r>
        <w:rPr>
          <w:rFonts w:ascii="Arial" w:cs="Arial" w:eastAsia="Arial" w:hAnsi="Arial"/>
          <w:sz w:val="18"/>
          <w:szCs w:val="18"/>
          <w:color w:val="auto"/>
        </w:rPr>
        <w:t>(Address of principal executive office)</w:t>
      </w:r>
    </w:p>
    <w:p>
      <w:pPr>
        <w:spacing w:after="0" w:line="191" w:lineRule="exact"/>
        <w:rPr>
          <w:sz w:val="24"/>
          <w:szCs w:val="24"/>
          <w:color w:val="auto"/>
        </w:rPr>
      </w:pPr>
    </w:p>
    <w:p>
      <w:pPr>
        <w:jc w:val="center"/>
        <w:ind w:left="1420"/>
        <w:spacing w:after="0" w:line="315"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w:t>
      </w:r>
      <w:r>
        <w:rPr>
          <w:rFonts w:ascii="MS PGothic" w:cs="MS PGothic" w:eastAsia="MS PGothic" w:hAnsi="MS PGothic"/>
          <w:sz w:val="18"/>
          <w:szCs w:val="18"/>
          <w:color w:val="auto"/>
        </w:rPr>
        <w:t>☐</w:t>
      </w:r>
    </w:p>
    <w:p>
      <w:pPr>
        <w:spacing w:after="0" w:line="16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03"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129540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146050</wp:posOffset>
            </wp:positionV>
            <wp:extent cx="71348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4191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626745</wp:posOffset>
            </wp:positionV>
            <wp:extent cx="7134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100"/>
          </w:cols>
          <w:pgMar w:left="380" w:top="528" w:right="14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207010</wp:posOffset>
            </wp:positionH>
            <wp:positionV relativeFrom="page">
              <wp:posOffset>223520</wp:posOffset>
            </wp:positionV>
            <wp:extent cx="1838325" cy="219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38325" cy="219075"/>
                    </a:xfrm>
                    <a:prstGeom prst="rect">
                      <a:avLst/>
                    </a:prstGeom>
                    <a:noFill/>
                  </pic:spPr>
                </pic:pic>
              </a:graphicData>
            </a:graphic>
          </wp:anchor>
        </w:drawing>
        <w:t>April 17, 2023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19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Credicorp Ltd. (the “Company”) notifies you as a Material Event that on April 14, 2023, the company’s Board of Directors approved its annual audited separate financial statements as of and for the year ended December 31, 2022, as well as the opinion of the Company’s external auditors Gaveglio Aparicio y Asociados Sociedad Civil de Responsabilidad Limitada, representatives in Peru of PricewaterhouseCoopers, which was published in the Peruvian market in the form of an Hecho de Importancia (Relevant Fact Notice or “HdI”):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Dear Sirs/Mesdames:</w:t>
      </w:r>
    </w:p>
    <w:p>
      <w:pPr>
        <w:spacing w:after="0" w:line="191" w:lineRule="exact"/>
        <w:rPr>
          <w:sz w:val="20"/>
          <w:szCs w:val="20"/>
          <w:color w:val="auto"/>
        </w:rPr>
      </w:pPr>
    </w:p>
    <w:p>
      <w:pPr>
        <w:jc w:val="both"/>
        <w:ind w:left="640"/>
        <w:spacing w:after="0" w:line="234" w:lineRule="auto"/>
        <w:rPr>
          <w:sz w:val="20"/>
          <w:szCs w:val="20"/>
          <w:color w:val="auto"/>
        </w:rPr>
      </w:pPr>
      <w:r>
        <w:rPr>
          <w:rFonts w:ascii="Arial" w:cs="Arial" w:eastAsia="Arial" w:hAnsi="Arial"/>
          <w:sz w:val="18"/>
          <w:szCs w:val="18"/>
          <w:color w:val="auto"/>
        </w:rPr>
        <w:t>As a follow-up on the HdI dated April 12, 2023, Credicorp Ltd. (‘Credicorp’) notifies you, as a Material Event, that on April 14, 2023, the company’s Board of Directors approved its annual audited separate financial statements as of and for the year ended December 31, 2022, as well as the opinion of the external auditors Gaveglio Aparicio y Asociados Sociedad Civil de Responsabilidad Limitada, representatives in Peru of PricewaterhouseCoopers (a copy attached hereto).</w:t>
      </w:r>
    </w:p>
    <w:p>
      <w:pPr>
        <w:spacing w:after="0" w:line="189" w:lineRule="exact"/>
        <w:rPr>
          <w:sz w:val="20"/>
          <w:szCs w:val="20"/>
          <w:color w:val="auto"/>
        </w:rPr>
      </w:pPr>
    </w:p>
    <w:p>
      <w:pPr>
        <w:jc w:val="both"/>
        <w:ind w:left="640"/>
        <w:spacing w:after="0" w:line="238" w:lineRule="auto"/>
        <w:rPr>
          <w:sz w:val="20"/>
          <w:szCs w:val="20"/>
          <w:color w:val="auto"/>
        </w:rPr>
      </w:pPr>
      <w:r>
        <w:rPr>
          <w:rFonts w:ascii="Arial" w:cs="Arial" w:eastAsia="Arial" w:hAnsi="Arial"/>
          <w:sz w:val="18"/>
          <w:szCs w:val="18"/>
          <w:color w:val="auto"/>
        </w:rPr>
        <w:t>In addition, we inform that such annual audited separate financial statements as of and for the year ended December 31, 2022, will be available to investors through Credicorp’s website.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Sincerely,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Guillermo Morales</w:t>
      </w:r>
    </w:p>
    <w:p>
      <w:pPr>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1424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4940" cy="82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434340</wp:posOffset>
            </wp:positionV>
            <wp:extent cx="7134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13" w:lineRule="exact"/>
        <w:rPr>
          <w:sz w:val="20"/>
          <w:szCs w:val="20"/>
          <w:color w:val="auto"/>
        </w:rPr>
      </w:pPr>
    </w:p>
    <w:p>
      <w:pPr>
        <w:ind w:firstLine="510"/>
        <w:spacing w:after="0" w:line="23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April 17, 2023</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ind w:left="5640"/>
        <w:spacing w:after="0"/>
        <w:rPr>
          <w:sz w:val="20"/>
          <w:szCs w:val="20"/>
          <w:color w:val="auto"/>
        </w:rPr>
      </w:pPr>
      <w:r>
        <w:rPr>
          <w:rFonts w:ascii="Arial" w:cs="Arial" w:eastAsia="Arial" w:hAnsi="Arial"/>
          <w:sz w:val="18"/>
          <w:szCs w:val="18"/>
          <w:color w:val="auto"/>
        </w:rPr>
        <w:t>(Registrant)</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Guillermo Morales</w:t>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3933825</wp:posOffset>
            </wp:positionH>
            <wp:positionV relativeFrom="paragraph">
              <wp:posOffset>-130175</wp:posOffset>
            </wp:positionV>
            <wp:extent cx="2496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6185" cy="825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341630</wp:posOffset>
            </wp:positionV>
            <wp:extent cx="7134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336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1098550</wp:posOffset>
            </wp:positionV>
            <wp:extent cx="66452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45275" cy="17145"/>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170815</wp:posOffset>
            </wp:positionV>
            <wp:extent cx="1012190" cy="767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2190" cy="76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CREDICORP LTD.</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SEPARATE FINANCIAL STATEMENTS</w:t>
      </w:r>
    </w:p>
    <w:p>
      <w:pPr>
        <w:ind w:left="500"/>
        <w:spacing w:after="0"/>
        <w:rPr>
          <w:sz w:val="20"/>
          <w:szCs w:val="20"/>
          <w:color w:val="auto"/>
        </w:rPr>
      </w:pPr>
      <w:r>
        <w:rPr>
          <w:rFonts w:ascii="Arial" w:cs="Arial" w:eastAsia="Arial" w:hAnsi="Arial"/>
          <w:sz w:val="18"/>
          <w:szCs w:val="18"/>
          <w:color w:val="auto"/>
        </w:rPr>
        <w:t>AS OF DECEMBER 31, 2022 AND 2021</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(Free translation from the original in Spanish)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664527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45275" cy="1714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260985</wp:posOffset>
            </wp:positionV>
            <wp:extent cx="33655" cy="210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21082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Gaveglio Aparicio y Asociados Sociedad Civil de Responsabilidad Limitada.</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 Santo Toribio 143, Piso 7, San Isidro, Lima, Perú T: +51 (1) 211 6500, F: +51 (1) 211-6565</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www.pwc.pe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443230</wp:posOffset>
            </wp:positionV>
            <wp:extent cx="71348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460"/>
          </w:cols>
          <w:pgMar w:left="1100" w:top="266" w:right="339" w:bottom="1440" w:gutter="0" w:footer="0" w:header="0"/>
        </w:sectPr>
      </w:pPr>
    </w:p>
    <w:bookmarkStart w:id="4" w:name="page5"/>
    <w:bookmarkEnd w:id="4"/>
    <w:p>
      <w:pPr>
        <w:ind w:left="960"/>
        <w:spacing w:after="0"/>
        <w:rPr>
          <w:sz w:val="20"/>
          <w:szCs w:val="20"/>
          <w:color w:val="auto"/>
        </w:rPr>
      </w:pPr>
      <w:r>
        <w:rPr>
          <w:rFonts w:ascii="Arial" w:cs="Arial" w:eastAsia="Arial" w:hAnsi="Arial"/>
          <w:sz w:val="19"/>
          <w:szCs w:val="19"/>
          <w:b w:val="1"/>
          <w:bCs w:val="1"/>
          <w:color w:val="auto"/>
        </w:rPr>
        <w:t>CREDICORP LTD.</w:t>
      </w:r>
    </w:p>
    <w:p>
      <w:pPr>
        <w:spacing w:after="0" w:line="21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SEPARATE FINANCIAL STATEMENTS</w:t>
      </w:r>
    </w:p>
    <w:p>
      <w:pPr>
        <w:ind w:left="960"/>
        <w:spacing w:after="0"/>
        <w:rPr>
          <w:sz w:val="20"/>
          <w:szCs w:val="20"/>
          <w:color w:val="auto"/>
        </w:rPr>
      </w:pPr>
      <w:r>
        <w:rPr>
          <w:rFonts w:ascii="Arial" w:cs="Arial" w:eastAsia="Arial" w:hAnsi="Arial"/>
          <w:sz w:val="18"/>
          <w:szCs w:val="18"/>
          <w:color w:val="auto"/>
        </w:rPr>
        <w:t>AS OF DECEMBER 31, 2022 AND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ind w:left="960"/>
              <w:spacing w:after="0"/>
              <w:rPr>
                <w:sz w:val="20"/>
                <w:szCs w:val="20"/>
                <w:color w:val="auto"/>
              </w:rPr>
            </w:pPr>
            <w:r>
              <w:rPr>
                <w:rFonts w:ascii="Arial" w:cs="Arial" w:eastAsia="Arial" w:hAnsi="Arial"/>
                <w:sz w:val="18"/>
                <w:szCs w:val="18"/>
                <w:color w:val="auto"/>
              </w:rPr>
              <w:t>CONTENTS</w:t>
            </w:r>
          </w:p>
        </w:tc>
        <w:tc>
          <w:tcPr>
            <w:tcW w:w="5400" w:type="dxa"/>
            <w:vAlign w:val="bottom"/>
          </w:tcPr>
          <w:p>
            <w:pPr>
              <w:spacing w:after="0"/>
              <w:rPr>
                <w:sz w:val="17"/>
                <w:szCs w:val="17"/>
                <w:color w:val="auto"/>
              </w:rPr>
            </w:pPr>
          </w:p>
        </w:tc>
        <w:tc>
          <w:tcPr>
            <w:tcW w:w="3700" w:type="dxa"/>
            <w:vAlign w:val="bottom"/>
            <w:gridSpan w:val="2"/>
          </w:tcPr>
          <w:p>
            <w:pPr>
              <w:ind w:left="3020"/>
              <w:spacing w:after="0"/>
              <w:rPr>
                <w:sz w:val="20"/>
                <w:szCs w:val="20"/>
                <w:color w:val="auto"/>
              </w:rPr>
            </w:pPr>
            <w:r>
              <w:rPr>
                <w:rFonts w:ascii="Arial" w:cs="Arial" w:eastAsia="Arial" w:hAnsi="Arial"/>
                <w:sz w:val="18"/>
                <w:szCs w:val="18"/>
                <w:color w:val="auto"/>
              </w:rPr>
              <w:t>Pages</w:t>
            </w: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5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Independent auditor’s report</w:t>
            </w:r>
          </w:p>
        </w:tc>
        <w:tc>
          <w:tcPr>
            <w:tcW w:w="35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1 - 3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60" w:type="dxa"/>
            <w:vAlign w:val="bottom"/>
            <w:vMerge w:val="restart"/>
          </w:tcPr>
          <w:p>
            <w:pPr>
              <w:spacing w:after="0"/>
              <w:rPr>
                <w:sz w:val="18"/>
                <w:szCs w:val="18"/>
                <w:color w:val="auto"/>
              </w:rPr>
            </w:pPr>
          </w:p>
        </w:tc>
        <w:tc>
          <w:tcPr>
            <w:tcW w:w="658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960" w:type="dxa"/>
            <w:vAlign w:val="bottom"/>
            <w:vMerge w:val="continue"/>
          </w:tcPr>
          <w:p>
            <w:pPr>
              <w:spacing w:after="0"/>
              <w:rPr>
                <w:sz w:val="17"/>
                <w:szCs w:val="17"/>
                <w:color w:val="auto"/>
              </w:rPr>
            </w:pPr>
          </w:p>
        </w:tc>
        <w:tc>
          <w:tcPr>
            <w:tcW w:w="65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Separate statement of financial position</w:t>
            </w:r>
          </w:p>
        </w:tc>
        <w:tc>
          <w:tcPr>
            <w:tcW w:w="35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60" w:type="dxa"/>
            <w:vAlign w:val="bottom"/>
            <w:vMerge w:val="restart"/>
          </w:tcPr>
          <w:p>
            <w:pPr>
              <w:spacing w:after="0"/>
              <w:rPr>
                <w:sz w:val="18"/>
                <w:szCs w:val="18"/>
                <w:color w:val="auto"/>
              </w:rPr>
            </w:pPr>
          </w:p>
        </w:tc>
        <w:tc>
          <w:tcPr>
            <w:tcW w:w="658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960" w:type="dxa"/>
            <w:vAlign w:val="bottom"/>
            <w:vMerge w:val="continue"/>
          </w:tcPr>
          <w:p>
            <w:pPr>
              <w:spacing w:after="0"/>
              <w:rPr>
                <w:sz w:val="17"/>
                <w:szCs w:val="17"/>
                <w:color w:val="auto"/>
              </w:rPr>
            </w:pPr>
          </w:p>
        </w:tc>
        <w:tc>
          <w:tcPr>
            <w:tcW w:w="65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Separate statement of income</w:t>
            </w:r>
          </w:p>
        </w:tc>
        <w:tc>
          <w:tcPr>
            <w:tcW w:w="35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60" w:type="dxa"/>
            <w:vAlign w:val="bottom"/>
            <w:vMerge w:val="restart"/>
          </w:tcPr>
          <w:p>
            <w:pPr>
              <w:spacing w:after="0"/>
              <w:rPr>
                <w:sz w:val="18"/>
                <w:szCs w:val="18"/>
                <w:color w:val="auto"/>
              </w:rPr>
            </w:pPr>
          </w:p>
        </w:tc>
        <w:tc>
          <w:tcPr>
            <w:tcW w:w="658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960" w:type="dxa"/>
            <w:vAlign w:val="bottom"/>
            <w:vMerge w:val="continue"/>
          </w:tcPr>
          <w:p>
            <w:pPr>
              <w:spacing w:after="0"/>
              <w:rPr>
                <w:sz w:val="17"/>
                <w:szCs w:val="17"/>
                <w:color w:val="auto"/>
              </w:rPr>
            </w:pPr>
          </w:p>
        </w:tc>
        <w:tc>
          <w:tcPr>
            <w:tcW w:w="65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Separate statement of comprehensive income</w:t>
            </w:r>
          </w:p>
        </w:tc>
        <w:tc>
          <w:tcPr>
            <w:tcW w:w="35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60" w:type="dxa"/>
            <w:vAlign w:val="bottom"/>
            <w:vMerge w:val="restart"/>
          </w:tcPr>
          <w:p>
            <w:pPr>
              <w:spacing w:after="0"/>
              <w:rPr>
                <w:sz w:val="18"/>
                <w:szCs w:val="18"/>
                <w:color w:val="auto"/>
              </w:rPr>
            </w:pPr>
          </w:p>
        </w:tc>
        <w:tc>
          <w:tcPr>
            <w:tcW w:w="658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960" w:type="dxa"/>
            <w:vAlign w:val="bottom"/>
            <w:vMerge w:val="continue"/>
          </w:tcPr>
          <w:p>
            <w:pPr>
              <w:spacing w:after="0"/>
              <w:rPr>
                <w:sz w:val="17"/>
                <w:szCs w:val="17"/>
                <w:color w:val="auto"/>
              </w:rPr>
            </w:pPr>
          </w:p>
        </w:tc>
        <w:tc>
          <w:tcPr>
            <w:tcW w:w="65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Separate statement of changes in net equity</w:t>
            </w:r>
          </w:p>
        </w:tc>
        <w:tc>
          <w:tcPr>
            <w:tcW w:w="35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7</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60" w:type="dxa"/>
            <w:vAlign w:val="bottom"/>
            <w:vMerge w:val="restart"/>
          </w:tcPr>
          <w:p>
            <w:pPr>
              <w:spacing w:after="0"/>
              <w:rPr>
                <w:sz w:val="18"/>
                <w:szCs w:val="18"/>
                <w:color w:val="auto"/>
              </w:rPr>
            </w:pPr>
          </w:p>
        </w:tc>
        <w:tc>
          <w:tcPr>
            <w:tcW w:w="658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960" w:type="dxa"/>
            <w:vAlign w:val="bottom"/>
            <w:vMerge w:val="continue"/>
          </w:tcPr>
          <w:p>
            <w:pPr>
              <w:spacing w:after="0"/>
              <w:rPr>
                <w:sz w:val="17"/>
                <w:szCs w:val="17"/>
                <w:color w:val="auto"/>
              </w:rPr>
            </w:pPr>
          </w:p>
        </w:tc>
        <w:tc>
          <w:tcPr>
            <w:tcW w:w="65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Separate statement of cash flows</w:t>
            </w:r>
          </w:p>
        </w:tc>
        <w:tc>
          <w:tcPr>
            <w:tcW w:w="35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8 - 9</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60" w:type="dxa"/>
            <w:vAlign w:val="bottom"/>
            <w:vMerge w:val="restart"/>
          </w:tcPr>
          <w:p>
            <w:pPr>
              <w:spacing w:after="0"/>
              <w:rPr>
                <w:sz w:val="18"/>
                <w:szCs w:val="18"/>
                <w:color w:val="auto"/>
              </w:rPr>
            </w:pPr>
          </w:p>
        </w:tc>
        <w:tc>
          <w:tcPr>
            <w:tcW w:w="658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960" w:type="dxa"/>
            <w:vAlign w:val="bottom"/>
            <w:vMerge w:val="continue"/>
          </w:tcPr>
          <w:p>
            <w:pPr>
              <w:spacing w:after="0"/>
              <w:rPr>
                <w:sz w:val="17"/>
                <w:szCs w:val="17"/>
                <w:color w:val="auto"/>
              </w:rPr>
            </w:pPr>
          </w:p>
        </w:tc>
        <w:tc>
          <w:tcPr>
            <w:tcW w:w="658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Notes to the separate financial statements</w:t>
            </w:r>
          </w:p>
        </w:tc>
        <w:tc>
          <w:tcPr>
            <w:tcW w:w="35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10 - 39</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540" w:type="dxa"/>
            <w:vAlign w:val="bottom"/>
            <w:gridSpan w:val="3"/>
          </w:tcPr>
          <w:p>
            <w:pPr>
              <w:ind w:left="960"/>
              <w:spacing w:after="0"/>
              <w:rPr>
                <w:sz w:val="20"/>
                <w:szCs w:val="20"/>
                <w:color w:val="auto"/>
              </w:rPr>
            </w:pPr>
            <w:r>
              <w:rPr>
                <w:rFonts w:ascii="Arial" w:cs="Arial" w:eastAsia="Arial" w:hAnsi="Arial"/>
                <w:sz w:val="18"/>
                <w:szCs w:val="18"/>
                <w:color w:val="auto"/>
              </w:rPr>
              <w:t>US$, U.S. dollars = United States Dollar</w:t>
            </w:r>
          </w:p>
        </w:tc>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140" w:type="dxa"/>
            <w:vAlign w:val="bottom"/>
            <w:gridSpan w:val="2"/>
          </w:tcPr>
          <w:p>
            <w:pPr>
              <w:ind w:left="960"/>
              <w:spacing w:after="0"/>
              <w:rPr>
                <w:sz w:val="20"/>
                <w:szCs w:val="20"/>
                <w:color w:val="auto"/>
              </w:rPr>
            </w:pPr>
            <w:r>
              <w:rPr>
                <w:rFonts w:ascii="Arial" w:cs="Arial" w:eastAsia="Arial" w:hAnsi="Arial"/>
                <w:sz w:val="18"/>
                <w:szCs w:val="18"/>
                <w:color w:val="auto"/>
              </w:rPr>
              <w:t>S/</w:t>
            </w:r>
          </w:p>
        </w:tc>
        <w:tc>
          <w:tcPr>
            <w:tcW w:w="5400" w:type="dxa"/>
            <w:vAlign w:val="bottom"/>
          </w:tcPr>
          <w:p>
            <w:pPr>
              <w:ind w:left="220"/>
              <w:spacing w:after="0"/>
              <w:rPr>
                <w:sz w:val="20"/>
                <w:szCs w:val="20"/>
                <w:color w:val="auto"/>
              </w:rPr>
            </w:pPr>
            <w:r>
              <w:rPr>
                <w:rFonts w:ascii="Arial" w:cs="Arial" w:eastAsia="Arial" w:hAnsi="Arial"/>
                <w:sz w:val="18"/>
                <w:szCs w:val="18"/>
                <w:color w:val="auto"/>
              </w:rPr>
              <w:t>= Sol</w:t>
            </w: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2"/>
        </w:trPr>
        <w:tc>
          <w:tcPr>
            <w:tcW w:w="9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24" w:right="339" w:bottom="1440" w:gutter="0" w:footer="0" w:header="0"/>
        </w:sectPr>
      </w:pPr>
    </w:p>
    <w:bookmarkStart w:id="5" w:name="page6"/>
    <w:bookmarkEnd w:id="5"/>
    <w:p>
      <w:pPr>
        <w:spacing w:after="0" w:line="3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223520</wp:posOffset>
            </wp:positionV>
            <wp:extent cx="1012190" cy="767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12190" cy="767715"/>
                    </a:xfrm>
                    <a:prstGeom prst="rect">
                      <a:avLst/>
                    </a:prstGeom>
                    <a:noFill/>
                  </pic:spPr>
                </pic:pic>
              </a:graphicData>
            </a:graphic>
          </wp:anchor>
        </w:drawing>
      </w:r>
    </w:p>
    <w:p>
      <w:pPr>
        <w:ind w:left="17"/>
        <w:spacing w:after="0"/>
        <w:rPr>
          <w:sz w:val="20"/>
          <w:szCs w:val="20"/>
          <w:color w:val="auto"/>
        </w:rPr>
      </w:pPr>
      <w:r>
        <w:rPr>
          <w:rFonts w:ascii="Arial" w:cs="Arial" w:eastAsia="Arial" w:hAnsi="Arial"/>
          <w:sz w:val="18"/>
          <w:szCs w:val="18"/>
          <w:b w:val="1"/>
          <w:bCs w:val="1"/>
          <w:color w:val="auto"/>
        </w:rPr>
        <w:t>(A free translation of the original in Spanish)</w:t>
      </w:r>
    </w:p>
    <w:p>
      <w:pPr>
        <w:spacing w:after="0" w:line="191" w:lineRule="exact"/>
        <w:rPr>
          <w:sz w:val="20"/>
          <w:szCs w:val="20"/>
          <w:color w:val="auto"/>
        </w:rPr>
      </w:pPr>
    </w:p>
    <w:p>
      <w:pPr>
        <w:ind w:left="17"/>
        <w:spacing w:after="0"/>
        <w:rPr>
          <w:sz w:val="20"/>
          <w:szCs w:val="20"/>
          <w:color w:val="auto"/>
        </w:rPr>
      </w:pPr>
      <w:r>
        <w:rPr>
          <w:rFonts w:ascii="Arial" w:cs="Arial" w:eastAsia="Arial" w:hAnsi="Arial"/>
          <w:sz w:val="18"/>
          <w:szCs w:val="18"/>
          <w:b w:val="1"/>
          <w:bCs w:val="1"/>
          <w:color w:val="auto"/>
        </w:rPr>
        <w:t>Independent auditor’s report</w:t>
      </w:r>
    </w:p>
    <w:p>
      <w:pPr>
        <w:spacing w:after="0" w:line="206" w:lineRule="exact"/>
        <w:rPr>
          <w:sz w:val="20"/>
          <w:szCs w:val="20"/>
          <w:color w:val="auto"/>
        </w:rPr>
      </w:pPr>
    </w:p>
    <w:p>
      <w:pPr>
        <w:ind w:left="17"/>
        <w:spacing w:after="0"/>
        <w:rPr>
          <w:sz w:val="20"/>
          <w:szCs w:val="20"/>
          <w:color w:val="auto"/>
        </w:rPr>
      </w:pPr>
      <w:r>
        <w:rPr>
          <w:rFonts w:ascii="Arial" w:cs="Arial" w:eastAsia="Arial" w:hAnsi="Arial"/>
          <w:sz w:val="18"/>
          <w:szCs w:val="18"/>
          <w:color w:val="auto"/>
        </w:rPr>
        <w:t>To the Shareholders</w:t>
      </w:r>
    </w:p>
    <w:p>
      <w:pPr>
        <w:ind w:left="17"/>
        <w:spacing w:after="0"/>
        <w:rPr>
          <w:sz w:val="20"/>
          <w:szCs w:val="20"/>
          <w:color w:val="auto"/>
        </w:rPr>
      </w:pPr>
      <w:r>
        <w:rPr>
          <w:rFonts w:ascii="Arial" w:cs="Arial" w:eastAsia="Arial" w:hAnsi="Arial"/>
          <w:sz w:val="18"/>
          <w:szCs w:val="18"/>
          <w:b w:val="1"/>
          <w:bCs w:val="1"/>
          <w:color w:val="auto"/>
        </w:rPr>
        <w:t>Credicorp Ltd.</w:t>
      </w:r>
    </w:p>
    <w:p>
      <w:pPr>
        <w:spacing w:after="0" w:line="169" w:lineRule="exact"/>
        <w:rPr>
          <w:sz w:val="20"/>
          <w:szCs w:val="20"/>
          <w:color w:val="auto"/>
        </w:rPr>
      </w:pPr>
    </w:p>
    <w:p>
      <w:pPr>
        <w:ind w:left="17"/>
        <w:spacing w:after="0"/>
        <w:rPr>
          <w:sz w:val="20"/>
          <w:szCs w:val="20"/>
          <w:color w:val="auto"/>
        </w:rPr>
      </w:pPr>
      <w:r>
        <w:rPr>
          <w:rFonts w:ascii="Arial" w:cs="Arial" w:eastAsia="Arial" w:hAnsi="Arial"/>
          <w:sz w:val="18"/>
          <w:szCs w:val="18"/>
          <w:b w:val="1"/>
          <w:bCs w:val="1"/>
          <w:color w:val="auto"/>
        </w:rPr>
        <w:t>Our opinion</w:t>
      </w:r>
    </w:p>
    <w:p>
      <w:pPr>
        <w:spacing w:after="0" w:line="213" w:lineRule="exact"/>
        <w:rPr>
          <w:sz w:val="20"/>
          <w:szCs w:val="20"/>
          <w:color w:val="auto"/>
        </w:rPr>
      </w:pPr>
    </w:p>
    <w:p>
      <w:pPr>
        <w:ind w:left="17" w:right="280"/>
        <w:spacing w:after="0" w:line="236" w:lineRule="auto"/>
        <w:rPr>
          <w:sz w:val="20"/>
          <w:szCs w:val="20"/>
          <w:color w:val="auto"/>
        </w:rPr>
      </w:pPr>
      <w:r>
        <w:rPr>
          <w:rFonts w:ascii="Arial" w:cs="Arial" w:eastAsia="Arial" w:hAnsi="Arial"/>
          <w:sz w:val="18"/>
          <w:szCs w:val="18"/>
          <w:color w:val="auto"/>
        </w:rPr>
        <w:t>In our opinion, the separate financial statements present fairly, in all material respects, the financial position of Credicorp Ltd. (Credicorp) as of December 31, 2022, and their financial performance and its cash flows for the year then ended in accordance with the International Financial Reporting Standards (IFRS) issued by the International Accounting Standards Board (IASB).</w:t>
      </w:r>
    </w:p>
    <w:p>
      <w:pPr>
        <w:spacing w:after="0" w:line="164" w:lineRule="exact"/>
        <w:rPr>
          <w:sz w:val="20"/>
          <w:szCs w:val="20"/>
          <w:color w:val="auto"/>
        </w:rPr>
      </w:pPr>
    </w:p>
    <w:p>
      <w:pPr>
        <w:ind w:left="17"/>
        <w:spacing w:after="0"/>
        <w:rPr>
          <w:sz w:val="20"/>
          <w:szCs w:val="20"/>
          <w:color w:val="auto"/>
        </w:rPr>
      </w:pPr>
      <w:r>
        <w:rPr>
          <w:rFonts w:ascii="Arial" w:cs="Arial" w:eastAsia="Arial" w:hAnsi="Arial"/>
          <w:sz w:val="18"/>
          <w:szCs w:val="18"/>
          <w:b w:val="1"/>
          <w:bCs w:val="1"/>
          <w:color w:val="auto"/>
        </w:rPr>
        <w:t>What we have audited</w:t>
      </w:r>
    </w:p>
    <w:p>
      <w:pPr>
        <w:spacing w:after="0" w:line="213" w:lineRule="exact"/>
        <w:rPr>
          <w:sz w:val="20"/>
          <w:szCs w:val="20"/>
          <w:color w:val="auto"/>
        </w:rPr>
      </w:pPr>
    </w:p>
    <w:p>
      <w:pPr>
        <w:ind w:left="17"/>
        <w:spacing w:after="0"/>
        <w:rPr>
          <w:sz w:val="20"/>
          <w:szCs w:val="20"/>
          <w:color w:val="auto"/>
        </w:rPr>
      </w:pPr>
      <w:r>
        <w:rPr>
          <w:rFonts w:ascii="Arial" w:cs="Arial" w:eastAsia="Arial" w:hAnsi="Arial"/>
          <w:sz w:val="18"/>
          <w:szCs w:val="18"/>
          <w:color w:val="auto"/>
        </w:rPr>
        <w:t>Credicorp’s financial statements comprise:</w:t>
      </w:r>
    </w:p>
    <w:p>
      <w:pPr>
        <w:spacing w:after="0" w:line="184" w:lineRule="exact"/>
        <w:rPr>
          <w:sz w:val="20"/>
          <w:szCs w:val="20"/>
          <w:color w:val="auto"/>
        </w:rPr>
      </w:pPr>
    </w:p>
    <w:p>
      <w:pPr>
        <w:ind w:left="317" w:hanging="317"/>
        <w:spacing w:after="0"/>
        <w:tabs>
          <w:tab w:leader="none" w:pos="3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separate statement of financial position as at December 31, 2022;</w:t>
      </w:r>
    </w:p>
    <w:p>
      <w:pPr>
        <w:ind w:left="317" w:hanging="317"/>
        <w:spacing w:after="0" w:line="230" w:lineRule="auto"/>
        <w:tabs>
          <w:tab w:leader="none" w:pos="3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separate statement of income for the year then ended;</w:t>
      </w:r>
    </w:p>
    <w:p>
      <w:pPr>
        <w:ind w:left="317" w:hanging="317"/>
        <w:spacing w:after="0" w:line="230" w:lineRule="auto"/>
        <w:tabs>
          <w:tab w:leader="none" w:pos="3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separate statement of comprehensive income for the year then ended;</w:t>
      </w:r>
    </w:p>
    <w:p>
      <w:pPr>
        <w:ind w:left="317" w:hanging="317"/>
        <w:spacing w:after="0" w:line="230" w:lineRule="auto"/>
        <w:tabs>
          <w:tab w:leader="none" w:pos="3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separate statement of changes in net equity for the year then ended;</w:t>
      </w:r>
    </w:p>
    <w:p>
      <w:pPr>
        <w:ind w:left="317" w:hanging="317"/>
        <w:spacing w:after="0" w:line="230" w:lineRule="auto"/>
        <w:tabs>
          <w:tab w:leader="none" w:pos="3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separate statement of cash flows for the year then ended; and</w:t>
      </w:r>
    </w:p>
    <w:p>
      <w:pPr>
        <w:ind w:left="317" w:hanging="317"/>
        <w:spacing w:after="0"/>
        <w:tabs>
          <w:tab w:leader="none" w:pos="3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notes to the separate financial statements, which include a summary of the significant accounting policies.</w:t>
      </w:r>
    </w:p>
    <w:p>
      <w:pPr>
        <w:spacing w:after="0" w:line="169" w:lineRule="exact"/>
        <w:rPr>
          <w:sz w:val="20"/>
          <w:szCs w:val="20"/>
          <w:color w:val="auto"/>
        </w:rPr>
      </w:pPr>
    </w:p>
    <w:p>
      <w:pPr>
        <w:ind w:left="17"/>
        <w:spacing w:after="0"/>
        <w:rPr>
          <w:sz w:val="20"/>
          <w:szCs w:val="20"/>
          <w:color w:val="auto"/>
        </w:rPr>
      </w:pPr>
      <w:r>
        <w:rPr>
          <w:rFonts w:ascii="Arial" w:cs="Arial" w:eastAsia="Arial" w:hAnsi="Arial"/>
          <w:sz w:val="18"/>
          <w:szCs w:val="18"/>
          <w:b w:val="1"/>
          <w:bCs w:val="1"/>
          <w:color w:val="auto"/>
        </w:rPr>
        <w:t>Basis for our opinion</w:t>
      </w:r>
    </w:p>
    <w:p>
      <w:pPr>
        <w:spacing w:after="0" w:line="213" w:lineRule="exact"/>
        <w:rPr>
          <w:sz w:val="20"/>
          <w:szCs w:val="20"/>
          <w:color w:val="auto"/>
        </w:rPr>
      </w:pPr>
    </w:p>
    <w:p>
      <w:pPr>
        <w:ind w:left="17" w:right="120"/>
        <w:spacing w:after="0" w:line="238" w:lineRule="auto"/>
        <w:rPr>
          <w:sz w:val="20"/>
          <w:szCs w:val="20"/>
          <w:color w:val="auto"/>
        </w:rPr>
      </w:pPr>
      <w:r>
        <w:rPr>
          <w:rFonts w:ascii="Arial" w:cs="Arial" w:eastAsia="Arial" w:hAnsi="Arial"/>
          <w:sz w:val="18"/>
          <w:szCs w:val="18"/>
          <w:color w:val="auto"/>
        </w:rPr>
        <w:t xml:space="preserve">We conducted our audit in accordance with International Standards on Auditing (ISAs). Our responsibilities under those standards are further described in the </w:t>
      </w:r>
      <w:r>
        <w:rPr>
          <w:rFonts w:ascii="Arial" w:cs="Arial" w:eastAsia="Arial" w:hAnsi="Arial"/>
          <w:sz w:val="18"/>
          <w:szCs w:val="18"/>
          <w:i w:val="1"/>
          <w:iCs w:val="1"/>
          <w:color w:val="auto"/>
        </w:rPr>
        <w:t>Auditor's responsibilities for the audit of the separated financial statements</w:t>
      </w:r>
      <w:r>
        <w:rPr>
          <w:rFonts w:ascii="Arial" w:cs="Arial" w:eastAsia="Arial" w:hAnsi="Arial"/>
          <w:sz w:val="18"/>
          <w:szCs w:val="18"/>
          <w:color w:val="auto"/>
        </w:rPr>
        <w:t xml:space="preserve"> section of our report.</w:t>
      </w:r>
    </w:p>
    <w:p>
      <w:pPr>
        <w:spacing w:after="0" w:line="187" w:lineRule="exact"/>
        <w:rPr>
          <w:sz w:val="20"/>
          <w:szCs w:val="20"/>
          <w:color w:val="auto"/>
        </w:rPr>
      </w:pPr>
    </w:p>
    <w:p>
      <w:pPr>
        <w:ind w:left="17" w:right="1560"/>
        <w:spacing w:after="0" w:line="461" w:lineRule="auto"/>
        <w:rPr>
          <w:sz w:val="20"/>
          <w:szCs w:val="20"/>
          <w:color w:val="auto"/>
        </w:rPr>
      </w:pPr>
      <w:r>
        <w:rPr>
          <w:rFonts w:ascii="Arial" w:cs="Arial" w:eastAsia="Arial" w:hAnsi="Arial"/>
          <w:sz w:val="18"/>
          <w:szCs w:val="18"/>
          <w:color w:val="auto"/>
        </w:rPr>
        <w:t xml:space="preserve">We believe that the audit evidence we have obtained is sufficient and appropriate to provide a basis for our opinion. </w:t>
      </w:r>
      <w:r>
        <w:rPr>
          <w:rFonts w:ascii="Arial" w:cs="Arial" w:eastAsia="Arial" w:hAnsi="Arial"/>
          <w:sz w:val="18"/>
          <w:szCs w:val="18"/>
          <w:b w:val="1"/>
          <w:bCs w:val="1"/>
          <w:color w:val="auto"/>
        </w:rPr>
        <w:t>Independence</w:t>
      </w:r>
    </w:p>
    <w:p>
      <w:pPr>
        <w:spacing w:after="0" w:line="2" w:lineRule="exact"/>
        <w:rPr>
          <w:sz w:val="20"/>
          <w:szCs w:val="20"/>
          <w:color w:val="auto"/>
        </w:rPr>
      </w:pPr>
    </w:p>
    <w:p>
      <w:pPr>
        <w:ind w:left="17" w:right="120"/>
        <w:spacing w:after="0" w:line="234" w:lineRule="auto"/>
        <w:rPr>
          <w:sz w:val="20"/>
          <w:szCs w:val="20"/>
          <w:color w:val="auto"/>
        </w:rPr>
      </w:pPr>
      <w:r>
        <w:rPr>
          <w:rFonts w:ascii="Arial" w:cs="Arial" w:eastAsia="Arial" w:hAnsi="Arial"/>
          <w:sz w:val="18"/>
          <w:szCs w:val="18"/>
          <w:color w:val="auto"/>
        </w:rPr>
        <w:t>We are independent of Credicorp in accordance with the International Ethics Standards Board for Accountants’ Code of Ethics for Professional Accountants (IESBA Code of Ethics) as well as the ethical requirements of the Code of Professional Ethics issued by the Board of Deans of the Institutes of Peruvian Certified Public Accountants, which are relevant for our audit of the separate financial statements. We have fulfilled our other ethical responsibilities in accordance with the IESBA Code of Ethics.</w:t>
      </w:r>
    </w:p>
    <w:p>
      <w:pPr>
        <w:spacing w:after="0" w:line="167" w:lineRule="exact"/>
        <w:rPr>
          <w:sz w:val="20"/>
          <w:szCs w:val="20"/>
          <w:color w:val="auto"/>
        </w:rPr>
      </w:pPr>
    </w:p>
    <w:p>
      <w:pPr>
        <w:ind w:left="17"/>
        <w:spacing w:after="0"/>
        <w:rPr>
          <w:sz w:val="20"/>
          <w:szCs w:val="20"/>
          <w:color w:val="auto"/>
        </w:rPr>
      </w:pPr>
      <w:r>
        <w:rPr>
          <w:rFonts w:ascii="Arial" w:cs="Arial" w:eastAsia="Arial" w:hAnsi="Arial"/>
          <w:sz w:val="18"/>
          <w:szCs w:val="18"/>
          <w:b w:val="1"/>
          <w:bCs w:val="1"/>
          <w:color w:val="auto"/>
        </w:rPr>
        <w:t>Enphasis of matter</w:t>
      </w:r>
    </w:p>
    <w:p>
      <w:pPr>
        <w:spacing w:after="0" w:line="213" w:lineRule="exact"/>
        <w:rPr>
          <w:sz w:val="20"/>
          <w:szCs w:val="20"/>
          <w:color w:val="auto"/>
        </w:rPr>
      </w:pPr>
    </w:p>
    <w:p>
      <w:pPr>
        <w:ind w:left="17" w:right="180"/>
        <w:spacing w:after="0" w:line="234" w:lineRule="auto"/>
        <w:rPr>
          <w:sz w:val="20"/>
          <w:szCs w:val="20"/>
          <w:color w:val="auto"/>
        </w:rPr>
      </w:pPr>
      <w:r>
        <w:rPr>
          <w:rFonts w:ascii="Arial" w:cs="Arial" w:eastAsia="Arial" w:hAnsi="Arial"/>
          <w:sz w:val="18"/>
          <w:szCs w:val="18"/>
          <w:color w:val="auto"/>
        </w:rPr>
        <w:t>The separate financial statements of Credicorp have been prepared in compliance with the legal requirements in force in Peru for the presentation of financial information. These separate financial statements present the value of the investment in its subsidiaries and associates, under the equity method and not on a consolidated basis; therefore, they should be read together with the consolidated financial statements of Credicorp and its subsidiaries, which are reported separately along with our report to date issued with an unqualified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106045</wp:posOffset>
            </wp:positionV>
            <wp:extent cx="33655" cy="2108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210820"/>
                    </a:xfrm>
                    <a:prstGeom prst="rect">
                      <a:avLst/>
                    </a:prstGeom>
                    <a:noFill/>
                  </pic:spPr>
                </pic:pic>
              </a:graphicData>
            </a:graphic>
          </wp:anchor>
        </w:drawing>
      </w:r>
    </w:p>
    <w:p>
      <w:pPr>
        <w:spacing w:after="0" w:line="250" w:lineRule="exact"/>
        <w:rPr>
          <w:sz w:val="20"/>
          <w:szCs w:val="20"/>
          <w:color w:val="auto"/>
        </w:rPr>
      </w:pPr>
    </w:p>
    <w:p>
      <w:pPr>
        <w:ind w:left="17"/>
        <w:spacing w:after="0"/>
        <w:rPr>
          <w:sz w:val="20"/>
          <w:szCs w:val="20"/>
          <w:color w:val="auto"/>
        </w:rPr>
      </w:pPr>
      <w:r>
        <w:rPr>
          <w:rFonts w:ascii="Arial" w:cs="Arial" w:eastAsia="Arial" w:hAnsi="Arial"/>
          <w:sz w:val="16"/>
          <w:szCs w:val="16"/>
          <w:i w:val="1"/>
          <w:iCs w:val="1"/>
          <w:color w:val="auto"/>
        </w:rPr>
        <w:t>Gaveglio Aparicio y Asociados Sociedad Civil de Responsabilidad Limitada.</w:t>
      </w:r>
    </w:p>
    <w:p>
      <w:pPr>
        <w:spacing w:after="0" w:line="20" w:lineRule="exact"/>
        <w:rPr>
          <w:sz w:val="20"/>
          <w:szCs w:val="20"/>
          <w:color w:val="auto"/>
        </w:rPr>
      </w:pPr>
    </w:p>
    <w:p>
      <w:pPr>
        <w:ind w:left="17"/>
        <w:spacing w:after="0"/>
        <w:rPr>
          <w:sz w:val="20"/>
          <w:szCs w:val="20"/>
          <w:color w:val="auto"/>
        </w:rPr>
      </w:pPr>
      <w:r>
        <w:rPr>
          <w:rFonts w:ascii="Arial" w:cs="Arial" w:eastAsia="Arial" w:hAnsi="Arial"/>
          <w:sz w:val="16"/>
          <w:szCs w:val="16"/>
          <w:i w:val="1"/>
          <w:iCs w:val="1"/>
          <w:color w:val="auto"/>
        </w:rPr>
        <w:t>Av. Santo Toribio 143, Piso 7, San Isidro, Lima, Perú T: +51 (1) 211 6500, F: +51 (1) 211-6565</w:t>
      </w:r>
    </w:p>
    <w:p>
      <w:pPr>
        <w:spacing w:after="0" w:line="15" w:lineRule="exact"/>
        <w:rPr>
          <w:sz w:val="20"/>
          <w:szCs w:val="20"/>
          <w:color w:val="auto"/>
        </w:rPr>
      </w:pPr>
    </w:p>
    <w:p>
      <w:pPr>
        <w:ind w:left="57"/>
        <w:spacing w:after="0"/>
        <w:rPr>
          <w:sz w:val="20"/>
          <w:szCs w:val="20"/>
          <w:color w:val="auto"/>
        </w:rPr>
      </w:pPr>
      <w:r>
        <w:rPr>
          <w:rFonts w:ascii="Arial" w:cs="Arial" w:eastAsia="Arial" w:hAnsi="Arial"/>
          <w:sz w:val="16"/>
          <w:szCs w:val="16"/>
          <w:color w:val="auto"/>
        </w:rPr>
        <w:t>www.pwc.pe</w:t>
      </w:r>
    </w:p>
    <w:p>
      <w:pPr>
        <w:spacing w:after="0" w:line="224" w:lineRule="exact"/>
        <w:rPr>
          <w:sz w:val="20"/>
          <w:szCs w:val="20"/>
          <w:color w:val="auto"/>
        </w:rPr>
      </w:pPr>
    </w:p>
    <w:p>
      <w:pPr>
        <w:ind w:left="17"/>
        <w:spacing w:after="0" w:line="244" w:lineRule="auto"/>
        <w:rPr>
          <w:sz w:val="20"/>
          <w:szCs w:val="20"/>
          <w:color w:val="auto"/>
        </w:rPr>
      </w:pPr>
      <w:r>
        <w:rPr>
          <w:rFonts w:ascii="Arial" w:cs="Arial" w:eastAsia="Arial" w:hAnsi="Arial"/>
          <w:sz w:val="14"/>
          <w:szCs w:val="14"/>
          <w:color w:val="auto"/>
        </w:rPr>
        <w:t>Gaveglio Aparicio y Asociados Sociedad Civil de Responsabilidad Limitada es una firma miembro de la red global de PricewaterhouseCoopers International Limited (PwCIL). Cada una de las firmas es una entidad legal separada e independiente que no actúa en nombre de PwCIL ni de cualquier otra firma miembro de la red. Inscrita en la Partida No. 11028527, Registro de Personas Jurídicas de Lima y Callao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419100</wp:posOffset>
            </wp:positionV>
            <wp:extent cx="71348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577"/>
          </w:cols>
          <w:pgMar w:left="1083" w:top="1440" w:right="239" w:bottom="1440" w:gutter="0" w:footer="0" w:header="0"/>
        </w:sectPr>
      </w:pPr>
    </w:p>
    <w:bookmarkStart w:id="6" w:name="page7"/>
    <w:bookmarkEnd w:id="6"/>
    <w:p>
      <w:pPr>
        <w:spacing w:after="0" w:line="3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224155</wp:posOffset>
            </wp:positionV>
            <wp:extent cx="1012190" cy="767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12190" cy="7677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Our audit approach</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 audit is designed to obtain reasonable assurance about whether the separate financial statements are free from material misstatement. Misstatements may arise due to error or fraud. These errors are considered material if, individually or in the aggregate, they could reasonably influence the economic decisions that users make based on the separate financial statements.</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scope of our audit and the nature, timing and extent of our procedures were determined by our risk assessment that the separate financial statements may contain material errors, whether due to fraud or error.</w:t>
      </w:r>
    </w:p>
    <w:p>
      <w:pPr>
        <w:spacing w:after="0" w:line="187"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As part of the design of our audit, we determined materiality and assessed the risks of material misstatement in the separate financial statements. In particular, we considered situations where management has made critical judgments; for example, in respect of significant accounting estimates that involve making assumptions and considering future events that are inherently uncertain. We also addressed the risk of management override of internal controls, including, among other matters, consideration of whether there was evidence of bias that represented a risk of material misstatement in the financial statements due to fraud.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Audit Matters (KAM)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have determined that there are no Key Audit Matters to communicate in our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13" w:lineRule="exact"/>
        <w:rPr>
          <w:sz w:val="20"/>
          <w:szCs w:val="20"/>
          <w:color w:val="auto"/>
        </w:rPr>
      </w:pPr>
    </w:p>
    <w:p>
      <w:pPr>
        <w:jc w:val="both"/>
        <w:ind w:right="340"/>
        <w:spacing w:after="0" w:line="254" w:lineRule="auto"/>
        <w:rPr>
          <w:sz w:val="20"/>
          <w:szCs w:val="20"/>
          <w:color w:val="auto"/>
        </w:rPr>
      </w:pPr>
      <w:r>
        <w:rPr>
          <w:rFonts w:ascii="Arial" w:cs="Arial" w:eastAsia="Arial" w:hAnsi="Arial"/>
          <w:sz w:val="17"/>
          <w:szCs w:val="17"/>
          <w:color w:val="auto"/>
        </w:rPr>
        <w:t>Management is responsible for the other information. The other information comprises the Annual report required by the Peruvian Superintendencia del Mercado de Valores - ‘SMV’ for its Spanish acronym, but does not include the separate financial statements and our audit opinion thereon, which is expected to be made available to us after the date of the audit opinion.</w:t>
      </w:r>
    </w:p>
    <w:p>
      <w:pPr>
        <w:spacing w:after="0" w:line="17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opinion on the separate financial statements does not cover the other information and we do not and will not express any form of assurance conclusion thereon.</w:t>
      </w:r>
    </w:p>
    <w:p>
      <w:pPr>
        <w:spacing w:after="0" w:line="187"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In connection with our audit of the separate financial statements, our responsibility is to read the other information identified above and, in doing so, consider whether the other information is materially inconsistent with the separate financial statements, or our knowledge obtained in the audit, or otherwise appears to be materially misstated.</w:t>
      </w:r>
    </w:p>
    <w:p>
      <w:pPr>
        <w:spacing w:after="0" w:line="18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based on the work we have performed, we conclude that there is a material misstatement therein, we are required to communicate the matter to those charged with governance of the Group.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 of management and those charged with corporate governance for the separate financial statements</w:t>
      </w:r>
    </w:p>
    <w:p>
      <w:pPr>
        <w:spacing w:after="0" w:line="213"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Management is responsible for the preparation and fair presentation of the separate financial statements in accordance with the International Financial Reporting Standards (IFRS) issued by the International Accounting Standards Board (IASB), and for such internal control as management determines is necessary to enable the preparation of separate financial statements that are free from material misstatement, whether due to fraud or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424180</wp:posOffset>
            </wp:positionV>
            <wp:extent cx="71348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460"/>
          </w:cols>
          <w:pgMar w:left="1100" w:top="1440" w:right="339" w:bottom="1440" w:gutter="0" w:footer="0" w:header="0"/>
        </w:sectPr>
      </w:pPr>
    </w:p>
    <w:bookmarkStart w:id="7" w:name="page8"/>
    <w:bookmarkEnd w:id="7"/>
    <w:p>
      <w:pPr>
        <w:spacing w:after="0" w:line="3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223520</wp:posOffset>
            </wp:positionV>
            <wp:extent cx="1012190" cy="767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12190" cy="767715"/>
                    </a:xfrm>
                    <a:prstGeom prst="rect">
                      <a:avLst/>
                    </a:prstGeom>
                    <a:noFill/>
                  </pic:spPr>
                </pic:pic>
              </a:graphicData>
            </a:graphic>
          </wp:anchor>
        </w:drawing>
      </w:r>
    </w:p>
    <w:p>
      <w:pPr>
        <w:ind w:left="17"/>
        <w:spacing w:after="0" w:line="236" w:lineRule="auto"/>
        <w:rPr>
          <w:sz w:val="20"/>
          <w:szCs w:val="20"/>
          <w:color w:val="auto"/>
        </w:rPr>
      </w:pPr>
      <w:r>
        <w:rPr>
          <w:rFonts w:ascii="Arial" w:cs="Arial" w:eastAsia="Arial" w:hAnsi="Arial"/>
          <w:sz w:val="18"/>
          <w:szCs w:val="18"/>
          <w:color w:val="auto"/>
        </w:rPr>
        <w:t>In preparing the separate financial statements, Management is responsible for assessing the Credicorp’s ability to continue as a going concern, disclosing, as applicable, the matters related to going concern and using the going concern basis of accounting unless management either intends to liquidate Credicorp or cease operations, or has no realistic alternative but to do so.</w:t>
      </w:r>
    </w:p>
    <w:p>
      <w:pPr>
        <w:spacing w:after="0" w:line="186" w:lineRule="exact"/>
        <w:rPr>
          <w:sz w:val="20"/>
          <w:szCs w:val="20"/>
          <w:color w:val="auto"/>
        </w:rPr>
      </w:pPr>
    </w:p>
    <w:p>
      <w:pPr>
        <w:ind w:left="17" w:right="80"/>
        <w:spacing w:after="0" w:line="238" w:lineRule="auto"/>
        <w:rPr>
          <w:sz w:val="20"/>
          <w:szCs w:val="20"/>
          <w:color w:val="auto"/>
        </w:rPr>
      </w:pPr>
      <w:r>
        <w:rPr>
          <w:rFonts w:ascii="Arial" w:cs="Arial" w:eastAsia="Arial" w:hAnsi="Arial"/>
          <w:sz w:val="18"/>
          <w:szCs w:val="18"/>
          <w:color w:val="auto"/>
        </w:rPr>
        <w:t>Those charged with corporate governance of Credicorp are responsible for overseeing the Credicorp’s financial reporting preparation process.</w:t>
      </w:r>
    </w:p>
    <w:p>
      <w:pPr>
        <w:spacing w:after="0" w:line="165" w:lineRule="exact"/>
        <w:rPr>
          <w:sz w:val="20"/>
          <w:szCs w:val="20"/>
          <w:color w:val="auto"/>
        </w:rPr>
      </w:pPr>
    </w:p>
    <w:p>
      <w:pPr>
        <w:ind w:left="17"/>
        <w:spacing w:after="0"/>
        <w:rPr>
          <w:sz w:val="20"/>
          <w:szCs w:val="20"/>
          <w:color w:val="auto"/>
        </w:rPr>
      </w:pPr>
      <w:r>
        <w:rPr>
          <w:rFonts w:ascii="Arial" w:cs="Arial" w:eastAsia="Arial" w:hAnsi="Arial"/>
          <w:sz w:val="18"/>
          <w:szCs w:val="18"/>
          <w:b w:val="1"/>
          <w:bCs w:val="1"/>
          <w:color w:val="auto"/>
        </w:rPr>
        <w:t>Auditor’s responsibilities for the audit of the separate financial statements</w:t>
      </w:r>
    </w:p>
    <w:p>
      <w:pPr>
        <w:spacing w:after="0" w:line="213" w:lineRule="exact"/>
        <w:rPr>
          <w:sz w:val="20"/>
          <w:szCs w:val="20"/>
          <w:color w:val="auto"/>
        </w:rPr>
      </w:pPr>
    </w:p>
    <w:p>
      <w:pPr>
        <w:ind w:left="17" w:right="60"/>
        <w:spacing w:after="0" w:line="233" w:lineRule="auto"/>
        <w:rPr>
          <w:sz w:val="20"/>
          <w:szCs w:val="20"/>
          <w:color w:val="auto"/>
        </w:rPr>
      </w:pPr>
      <w:r>
        <w:rPr>
          <w:rFonts w:ascii="Arial" w:cs="Arial" w:eastAsia="Arial" w:hAnsi="Arial"/>
          <w:sz w:val="18"/>
          <w:szCs w:val="18"/>
          <w:color w:val="auto"/>
        </w:rPr>
        <w:t>Our objectives are to obtain reasonable assurance about whether the separate financial statements as a whole are free from material misstatement, whether due to fraud or error, and to issue an auditor’s report that includes our opinion. Reasonable assurance is a high level of assurance but is not a guarantee that an audit conducted in accordance with ISAs will always detect a material misstatement when it exists. Misstatements can arise from fraud or error and are considered material if, individually or in the aggregate, they could reasonably be expected to influence the economic decisions of users taken on the basis of these separate financial statements.</w:t>
      </w:r>
    </w:p>
    <w:p>
      <w:pPr>
        <w:spacing w:after="0" w:line="189" w:lineRule="exact"/>
        <w:rPr>
          <w:sz w:val="20"/>
          <w:szCs w:val="20"/>
          <w:color w:val="auto"/>
        </w:rPr>
      </w:pPr>
    </w:p>
    <w:p>
      <w:pPr>
        <w:ind w:left="17" w:right="140"/>
        <w:spacing w:after="0" w:line="238" w:lineRule="auto"/>
        <w:rPr>
          <w:sz w:val="20"/>
          <w:szCs w:val="20"/>
          <w:color w:val="auto"/>
        </w:rPr>
      </w:pPr>
      <w:r>
        <w:rPr>
          <w:rFonts w:ascii="Arial" w:cs="Arial" w:eastAsia="Arial" w:hAnsi="Arial"/>
          <w:sz w:val="18"/>
          <w:szCs w:val="18"/>
          <w:color w:val="auto"/>
        </w:rPr>
        <w:t>As part of an audit in accordance with ISAs, we exercise professional judgment and maintain professional scepticism throughout the audit. We also:</w:t>
      </w:r>
    </w:p>
    <w:p>
      <w:pPr>
        <w:spacing w:after="0" w:line="187" w:lineRule="exact"/>
        <w:rPr>
          <w:sz w:val="20"/>
          <w:szCs w:val="20"/>
          <w:color w:val="auto"/>
        </w:rPr>
      </w:pPr>
    </w:p>
    <w:p>
      <w:pPr>
        <w:ind w:left="317" w:right="180" w:hanging="317"/>
        <w:spacing w:after="0" w:line="230" w:lineRule="auto"/>
        <w:tabs>
          <w:tab w:leader="none" w:pos="317"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Identify and assess the risks of material misstatement of the separate financial statements, whether due to fraud or error; and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w:t>
      </w:r>
    </w:p>
    <w:p>
      <w:pPr>
        <w:spacing w:after="0" w:line="4" w:lineRule="exact"/>
        <w:rPr>
          <w:rFonts w:ascii="Arial" w:cs="Arial" w:eastAsia="Arial" w:hAnsi="Arial"/>
          <w:sz w:val="18"/>
          <w:szCs w:val="18"/>
          <w:color w:val="auto"/>
        </w:rPr>
      </w:pPr>
    </w:p>
    <w:p>
      <w:pPr>
        <w:ind w:left="317" w:right="340" w:hanging="317"/>
        <w:spacing w:after="0" w:line="230" w:lineRule="auto"/>
        <w:tabs>
          <w:tab w:leader="none" w:pos="317" w:val="left"/>
        </w:tabs>
        <w:numPr>
          <w:ilvl w:val="0"/>
          <w:numId w:val="2"/>
        </w:numPr>
        <w:rPr>
          <w:rFonts w:ascii="Arial" w:cs="Arial" w:eastAsia="Arial" w:hAnsi="Arial"/>
          <w:sz w:val="18"/>
          <w:szCs w:val="18"/>
          <w:color w:val="auto"/>
        </w:rPr>
      </w:pPr>
      <w:r>
        <w:rPr>
          <w:rFonts w:ascii="Arial" w:cs="Arial" w:eastAsia="Arial" w:hAnsi="Arial"/>
          <w:sz w:val="18"/>
          <w:szCs w:val="18"/>
          <w:color w:val="auto"/>
        </w:rPr>
        <w:t>Obtain an understanding of internal control relevant to the audit in order to design audit procedures that are appropriate in the circumstances, but not for the purpose of expressing an opinion on the effectiveness of Credicorp’s internal control.</w:t>
      </w:r>
    </w:p>
    <w:p>
      <w:pPr>
        <w:spacing w:after="0" w:line="1" w:lineRule="exact"/>
        <w:rPr>
          <w:rFonts w:ascii="Arial" w:cs="Arial" w:eastAsia="Arial" w:hAnsi="Arial"/>
          <w:sz w:val="18"/>
          <w:szCs w:val="18"/>
          <w:color w:val="auto"/>
        </w:rPr>
      </w:pPr>
    </w:p>
    <w:p>
      <w:pPr>
        <w:ind w:left="317" w:right="900" w:hanging="317"/>
        <w:spacing w:after="0" w:line="230" w:lineRule="auto"/>
        <w:tabs>
          <w:tab w:leader="none" w:pos="317" w:val="left"/>
        </w:tabs>
        <w:numPr>
          <w:ilvl w:val="0"/>
          <w:numId w:val="2"/>
        </w:numPr>
        <w:rPr>
          <w:rFonts w:ascii="Arial" w:cs="Arial" w:eastAsia="Arial" w:hAnsi="Arial"/>
          <w:sz w:val="18"/>
          <w:szCs w:val="18"/>
          <w:color w:val="auto"/>
        </w:rPr>
      </w:pPr>
      <w:r>
        <w:rPr>
          <w:rFonts w:ascii="Arial" w:cs="Arial" w:eastAsia="Arial" w:hAnsi="Arial"/>
          <w:sz w:val="18"/>
          <w:szCs w:val="18"/>
          <w:color w:val="auto"/>
        </w:rPr>
        <w:t>Evaluate the appropriateness of accounting policies used and the reasonableness of accounting estimates and related disclosures made by management.</w:t>
      </w:r>
    </w:p>
    <w:p>
      <w:pPr>
        <w:spacing w:after="0" w:line="1" w:lineRule="exact"/>
        <w:rPr>
          <w:rFonts w:ascii="Arial" w:cs="Arial" w:eastAsia="Arial" w:hAnsi="Arial"/>
          <w:sz w:val="18"/>
          <w:szCs w:val="18"/>
          <w:color w:val="auto"/>
        </w:rPr>
      </w:pPr>
    </w:p>
    <w:p>
      <w:pPr>
        <w:ind w:left="317" w:right="340" w:hanging="317"/>
        <w:spacing w:after="0" w:line="230" w:lineRule="auto"/>
        <w:tabs>
          <w:tab w:leader="none" w:pos="317"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Conclude on the appropriateness of management’s use of the going concern basis of accounting and, based on the audit evidence obtained, whether a material uncertainty exists related to events or conditions that may cast significant doubt on the Credicorp’s ability to continue as a going concern. If we conclude that a material uncertainty exists, we are required to draw attention in our auditor’s report to the related disclosures in the financial statements or, if such disclosures are inadequate, to modify our opinion. Our conclusions are based on the audit evidence obtained up to the date of our auditor’s report. However, future events or conditions may cause Credicorp to cease to continue as a going concern.</w:t>
      </w:r>
    </w:p>
    <w:p>
      <w:pPr>
        <w:spacing w:after="0" w:line="5" w:lineRule="exact"/>
        <w:rPr>
          <w:rFonts w:ascii="Arial" w:cs="Arial" w:eastAsia="Arial" w:hAnsi="Arial"/>
          <w:sz w:val="18"/>
          <w:szCs w:val="18"/>
          <w:color w:val="auto"/>
        </w:rPr>
      </w:pPr>
    </w:p>
    <w:p>
      <w:pPr>
        <w:ind w:left="317" w:right="320" w:hanging="317"/>
        <w:spacing w:after="0" w:line="238" w:lineRule="auto"/>
        <w:tabs>
          <w:tab w:leader="none" w:pos="317" w:val="left"/>
        </w:tabs>
        <w:numPr>
          <w:ilvl w:val="0"/>
          <w:numId w:val="2"/>
        </w:numPr>
        <w:rPr>
          <w:rFonts w:ascii="Arial" w:cs="Arial" w:eastAsia="Arial" w:hAnsi="Arial"/>
          <w:sz w:val="18"/>
          <w:szCs w:val="18"/>
          <w:color w:val="auto"/>
        </w:rPr>
      </w:pPr>
      <w:r>
        <w:rPr>
          <w:rFonts w:ascii="Arial" w:cs="Arial" w:eastAsia="Arial" w:hAnsi="Arial"/>
          <w:sz w:val="18"/>
          <w:szCs w:val="18"/>
          <w:color w:val="auto"/>
        </w:rPr>
        <w:t>Evaluate the overall presentation, structure and content of the financial statements, including the disclosures, and whether the financial statements represent the underlying transactions and events in a manner that achieves fair presentation.</w:t>
      </w:r>
    </w:p>
    <w:p>
      <w:pPr>
        <w:spacing w:after="0" w:line="187" w:lineRule="exact"/>
        <w:rPr>
          <w:sz w:val="20"/>
          <w:szCs w:val="20"/>
          <w:color w:val="auto"/>
        </w:rPr>
      </w:pPr>
    </w:p>
    <w:p>
      <w:pPr>
        <w:ind w:left="17" w:right="200"/>
        <w:spacing w:after="0" w:line="265" w:lineRule="auto"/>
        <w:rPr>
          <w:sz w:val="20"/>
          <w:szCs w:val="20"/>
          <w:color w:val="auto"/>
        </w:rPr>
      </w:pPr>
      <w:r>
        <w:rPr>
          <w:rFonts w:ascii="Arial" w:cs="Arial" w:eastAsia="Arial" w:hAnsi="Arial"/>
          <w:sz w:val="17"/>
          <w:szCs w:val="17"/>
          <w:color w:val="auto"/>
        </w:rPr>
        <w:t>We communicated with those charged with corporate governance regarding, among other matters, the planned scope and timing of the audit and significant audit findings, including any significant deficiencies in internal control that we identified during our audit.</w:t>
      </w:r>
    </w:p>
    <w:p>
      <w:pPr>
        <w:spacing w:after="0" w:line="166" w:lineRule="exact"/>
        <w:rPr>
          <w:sz w:val="20"/>
          <w:szCs w:val="20"/>
          <w:color w:val="auto"/>
        </w:rPr>
      </w:pPr>
    </w:p>
    <w:p>
      <w:pPr>
        <w:ind w:left="17" w:right="380"/>
        <w:spacing w:after="0" w:line="236" w:lineRule="auto"/>
        <w:rPr>
          <w:sz w:val="20"/>
          <w:szCs w:val="20"/>
          <w:color w:val="auto"/>
        </w:rPr>
      </w:pPr>
      <w:r>
        <w:rPr>
          <w:rFonts w:ascii="Arial" w:cs="Arial" w:eastAsia="Arial" w:hAnsi="Arial"/>
          <w:sz w:val="18"/>
          <w:szCs w:val="18"/>
          <w:color w:val="auto"/>
        </w:rPr>
        <w:t>We also provided those charged with corporate governance with a statement that we have complied with relevant ethical requirements regarding independence, and to communicate with them all relationships and other matters that may reasonably be thought to bear on our independence, and where applicable, including the respective safeguards.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wp:posOffset>
            </wp:positionH>
            <wp:positionV relativeFrom="paragraph">
              <wp:posOffset>422275</wp:posOffset>
            </wp:positionV>
            <wp:extent cx="71348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477"/>
          </w:cols>
          <w:pgMar w:left="1083" w:top="1440" w:right="339" w:bottom="1440" w:gutter="0" w:footer="0" w:header="0"/>
        </w:sectPr>
      </w:pPr>
    </w:p>
    <w:bookmarkStart w:id="8" w:name="page9"/>
    <w:bookmarkEnd w:id="8"/>
    <w:p>
      <w:pPr>
        <w:spacing w:after="0" w:line="3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223520</wp:posOffset>
            </wp:positionV>
            <wp:extent cx="1012190" cy="767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12190" cy="767715"/>
                    </a:xfrm>
                    <a:prstGeom prst="rect">
                      <a:avLst/>
                    </a:prstGeom>
                    <a:noFill/>
                  </pic:spPr>
                </pic:pic>
              </a:graphicData>
            </a:graphic>
          </wp:anchor>
        </w:drawing>
      </w:r>
    </w:p>
    <w:p>
      <w:pPr>
        <w:spacing w:after="0" w:line="249" w:lineRule="auto"/>
        <w:rPr>
          <w:sz w:val="20"/>
          <w:szCs w:val="20"/>
          <w:color w:val="auto"/>
        </w:rPr>
      </w:pPr>
      <w:r>
        <w:rPr>
          <w:rFonts w:ascii="Arial" w:cs="Arial" w:eastAsia="Arial" w:hAnsi="Arial"/>
          <w:sz w:val="17"/>
          <w:szCs w:val="17"/>
          <w:color w:val="auto"/>
        </w:rPr>
        <w:t>From the matters communicated with those charged with corporate governance, we determined those matters that were of most significance in the audit of the separate financial statements of the current period and are therefore the key audit matters. We have described these matters in our auditor’s report unless law or regulation precludes public disclosure about the matter or when, in extremely rare circumstances, we determine that a matter should not be communicated in our report because the adverse consequences of doing so would reasonably be expected to outweigh the public interest benefits of such communication.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Lima, February 23, 2023</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1"/>
          <w:szCs w:val="21"/>
          <w:color w:val="auto"/>
        </w:rPr>
        <w:t>/s/ Gaveglio Aparicio y Asociados S.C.R.L.</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 Gustavo Villafana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30" w:lineRule="auto"/>
        <w:rPr>
          <w:sz w:val="20"/>
          <w:szCs w:val="20"/>
          <w:color w:val="auto"/>
        </w:rPr>
      </w:pPr>
      <w:r>
        <w:rPr>
          <w:rFonts w:ascii="Arial" w:cs="Arial" w:eastAsia="Arial" w:hAnsi="Arial"/>
          <w:sz w:val="18"/>
          <w:szCs w:val="18"/>
          <w:color w:val="auto"/>
        </w:rPr>
        <w:t>Gustavo Villafana</w:t>
      </w:r>
    </w:p>
    <w:p>
      <w:pPr>
        <w:spacing w:after="0" w:line="231" w:lineRule="auto"/>
        <w:rPr>
          <w:sz w:val="20"/>
          <w:szCs w:val="20"/>
          <w:color w:val="auto"/>
        </w:rPr>
      </w:pPr>
      <w:r>
        <w:rPr>
          <w:rFonts w:ascii="Arial" w:cs="Arial" w:eastAsia="Arial" w:hAnsi="Arial"/>
          <w:sz w:val="18"/>
          <w:szCs w:val="18"/>
          <w:color w:val="auto"/>
        </w:rPr>
        <w:t>Peruvian Public Accountant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Registration No.46192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434340</wp:posOffset>
            </wp:positionV>
            <wp:extent cx="71348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200"/>
          </w:cols>
          <w:pgMar w:left="1100" w:top="1440" w:right="5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(Free translation from the original in Spanish)</w:t>
      </w:r>
    </w:p>
    <w:p>
      <w:pPr>
        <w:spacing w:after="0"/>
        <w:rPr>
          <w:sz w:val="20"/>
          <w:szCs w:val="20"/>
          <w:color w:val="auto"/>
        </w:rPr>
      </w:pPr>
      <w:r>
        <w:rPr>
          <w:rFonts w:ascii="Arial" w:cs="Arial" w:eastAsia="Arial" w:hAnsi="Arial"/>
          <w:sz w:val="18"/>
          <w:szCs w:val="18"/>
          <w:b w:val="1"/>
          <w:bCs w:val="1"/>
          <w:color w:val="auto"/>
        </w:rPr>
        <w:t>CREDICORP LTD.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SEPARATE STATEMENT OF FINANCIAL POSITION</w:t>
      </w:r>
    </w:p>
    <w:p>
      <w:pPr>
        <w:spacing w:after="0" w:line="205" w:lineRule="exact"/>
        <w:rPr>
          <w:sz w:val="20"/>
          <w:szCs w:val="20"/>
          <w:color w:val="auto"/>
        </w:rPr>
      </w:pPr>
    </w:p>
    <w:tbl>
      <w:tblPr>
        <w:tblLayout w:type="fixed"/>
        <w:tblInd w:w="2820" w:type="dxa"/>
        <w:tblCellMar>
          <w:top w:w="0" w:type="dxa"/>
          <w:left w:w="0" w:type="dxa"/>
          <w:bottom w:w="0" w:type="dxa"/>
          <w:right w:w="0" w:type="dxa"/>
        </w:tblCellMar>
      </w:tblPr>
      <w:tr>
        <w:trPr>
          <w:trHeight w:val="229"/>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At December 31,</w:t>
            </w:r>
          </w:p>
        </w:tc>
      </w:tr>
      <w:tr>
        <w:trPr>
          <w:trHeight w:val="219"/>
        </w:trPr>
        <w:tc>
          <w:tcPr>
            <w:tcW w:w="540" w:type="dxa"/>
            <w:vAlign w:val="bottom"/>
            <w:gridSpan w:val="2"/>
          </w:tcPr>
          <w:p>
            <w:pPr>
              <w:ind w:left="20"/>
              <w:spacing w:after="0"/>
              <w:rPr>
                <w:sz w:val="20"/>
                <w:szCs w:val="20"/>
                <w:color w:val="auto"/>
              </w:rPr>
            </w:pPr>
            <w:r>
              <w:rPr>
                <w:rFonts w:ascii="Arial" w:cs="Arial" w:eastAsia="Arial" w:hAnsi="Arial"/>
                <w:sz w:val="18"/>
                <w:szCs w:val="18"/>
                <w:b w:val="1"/>
                <w:bCs w:val="1"/>
                <w:color w:val="auto"/>
              </w:rPr>
              <w:t>Note</w:t>
            </w: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2022</w:t>
            </w:r>
          </w:p>
        </w:tc>
        <w:tc>
          <w:tcPr>
            <w:tcW w:w="940" w:type="dxa"/>
            <w:vAlign w:val="bottom"/>
          </w:tcPr>
          <w:p>
            <w:pPr>
              <w:spacing w:after="0"/>
              <w:rPr>
                <w:sz w:val="20"/>
                <w:szCs w:val="20"/>
                <w:color w:val="auto"/>
              </w:rPr>
            </w:pPr>
            <w:r>
              <w:rPr>
                <w:rFonts w:ascii="Arial" w:cs="Arial" w:eastAsia="Arial" w:hAnsi="Arial"/>
                <w:sz w:val="18"/>
                <w:szCs w:val="18"/>
                <w:b w:val="1"/>
                <w:bCs w:val="1"/>
                <w:color w:val="auto"/>
              </w:rPr>
              <w:t>2021</w:t>
            </w:r>
          </w:p>
        </w:tc>
      </w:tr>
      <w:tr>
        <w:trPr>
          <w:trHeight w:val="234"/>
        </w:trPr>
        <w:tc>
          <w:tcPr>
            <w:tcW w:w="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r>
    </w:tbl>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00" w:type="dxa"/>
            <w:vAlign w:val="bottom"/>
          </w:tcPr>
          <w:p>
            <w:pPr>
              <w:spacing w:after="0" w:line="199" w:lineRule="exact"/>
              <w:rPr>
                <w:sz w:val="20"/>
                <w:szCs w:val="20"/>
                <w:color w:val="auto"/>
              </w:rPr>
            </w:pPr>
            <w:r>
              <w:rPr>
                <w:rFonts w:ascii="Arial" w:cs="Arial" w:eastAsia="Arial" w:hAnsi="Arial"/>
                <w:sz w:val="18"/>
                <w:szCs w:val="18"/>
                <w:color w:val="auto"/>
              </w:rPr>
              <w:t>Cash and cash equivalents</w:t>
            </w:r>
          </w:p>
        </w:tc>
        <w:tc>
          <w:tcPr>
            <w:tcW w:w="600" w:type="dxa"/>
            <w:vAlign w:val="bottom"/>
          </w:tcPr>
          <w:p>
            <w:pPr>
              <w:jc w:val="center"/>
              <w:spacing w:after="0" w:line="199" w:lineRule="exact"/>
              <w:rPr>
                <w:sz w:val="20"/>
                <w:szCs w:val="20"/>
                <w:color w:val="auto"/>
              </w:rPr>
            </w:pPr>
            <w:r>
              <w:rPr>
                <w:rFonts w:ascii="Arial" w:cs="Arial" w:eastAsia="Arial" w:hAnsi="Arial"/>
                <w:sz w:val="18"/>
                <w:szCs w:val="18"/>
                <w:color w:val="auto"/>
                <w:w w:val="99"/>
              </w:rPr>
              <w:t>4</w:t>
            </w:r>
          </w:p>
        </w:tc>
        <w:tc>
          <w:tcPr>
            <w:tcW w:w="1060" w:type="dxa"/>
            <w:vAlign w:val="bottom"/>
          </w:tcPr>
          <w:p>
            <w:pPr>
              <w:jc w:val="right"/>
              <w:spacing w:after="0" w:line="199" w:lineRule="exact"/>
              <w:rPr>
                <w:sz w:val="20"/>
                <w:szCs w:val="20"/>
                <w:color w:val="auto"/>
              </w:rPr>
            </w:pPr>
            <w:r>
              <w:rPr>
                <w:rFonts w:ascii="Arial" w:cs="Arial" w:eastAsia="Arial" w:hAnsi="Arial"/>
                <w:sz w:val="18"/>
                <w:szCs w:val="18"/>
                <w:color w:val="auto"/>
              </w:rPr>
              <w:t>136,399</w:t>
            </w:r>
          </w:p>
        </w:tc>
        <w:tc>
          <w:tcPr>
            <w:tcW w:w="1020" w:type="dxa"/>
            <w:vAlign w:val="bottom"/>
          </w:tcPr>
          <w:p>
            <w:pPr>
              <w:jc w:val="right"/>
              <w:spacing w:after="0" w:line="199" w:lineRule="exact"/>
              <w:rPr>
                <w:sz w:val="20"/>
                <w:szCs w:val="20"/>
                <w:color w:val="auto"/>
              </w:rPr>
            </w:pPr>
            <w:r>
              <w:rPr>
                <w:rFonts w:ascii="Arial" w:cs="Arial" w:eastAsia="Arial" w:hAnsi="Arial"/>
                <w:sz w:val="18"/>
                <w:szCs w:val="18"/>
                <w:color w:val="auto"/>
              </w:rPr>
              <w:t>179,104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Investment:</w:t>
            </w: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00" w:type="dxa"/>
            <w:vAlign w:val="bottom"/>
          </w:tcPr>
          <w:p>
            <w:pPr>
              <w:spacing w:after="0" w:line="199" w:lineRule="exact"/>
              <w:rPr>
                <w:sz w:val="20"/>
                <w:szCs w:val="20"/>
                <w:color w:val="auto"/>
              </w:rPr>
            </w:pPr>
            <w:r>
              <w:rPr>
                <w:rFonts w:ascii="Arial" w:cs="Arial" w:eastAsia="Arial" w:hAnsi="Arial"/>
                <w:sz w:val="18"/>
                <w:szCs w:val="18"/>
                <w:color w:val="auto"/>
              </w:rPr>
              <w:t>At fair value through profit or loss</w:t>
            </w:r>
          </w:p>
        </w:tc>
        <w:tc>
          <w:tcPr>
            <w:tcW w:w="600" w:type="dxa"/>
            <w:vAlign w:val="bottom"/>
          </w:tcPr>
          <w:p>
            <w:pPr>
              <w:jc w:val="center"/>
              <w:spacing w:after="0" w:line="199" w:lineRule="exact"/>
              <w:rPr>
                <w:sz w:val="20"/>
                <w:szCs w:val="20"/>
                <w:color w:val="auto"/>
              </w:rPr>
            </w:pPr>
            <w:r>
              <w:rPr>
                <w:rFonts w:ascii="Arial" w:cs="Arial" w:eastAsia="Arial" w:hAnsi="Arial"/>
                <w:sz w:val="18"/>
                <w:szCs w:val="18"/>
                <w:color w:val="auto"/>
                <w:w w:val="97"/>
              </w:rPr>
              <w:t>5 (a)</w:t>
            </w:r>
          </w:p>
        </w:tc>
        <w:tc>
          <w:tcPr>
            <w:tcW w:w="1060" w:type="dxa"/>
            <w:vAlign w:val="bottom"/>
          </w:tcPr>
          <w:p>
            <w:pPr>
              <w:jc w:val="right"/>
              <w:spacing w:after="0" w:line="199" w:lineRule="exact"/>
              <w:rPr>
                <w:sz w:val="20"/>
                <w:szCs w:val="20"/>
                <w:color w:val="auto"/>
              </w:rPr>
            </w:pPr>
            <w:r>
              <w:rPr>
                <w:rFonts w:ascii="Arial" w:cs="Arial" w:eastAsia="Arial" w:hAnsi="Arial"/>
                <w:sz w:val="18"/>
                <w:szCs w:val="18"/>
                <w:color w:val="auto"/>
              </w:rPr>
              <w:t>958,939</w:t>
            </w:r>
          </w:p>
        </w:tc>
        <w:tc>
          <w:tcPr>
            <w:tcW w:w="1020" w:type="dxa"/>
            <w:vAlign w:val="bottom"/>
          </w:tcPr>
          <w:p>
            <w:pPr>
              <w:jc w:val="right"/>
              <w:spacing w:after="0" w:line="199" w:lineRule="exact"/>
              <w:rPr>
                <w:sz w:val="20"/>
                <w:szCs w:val="20"/>
                <w:color w:val="auto"/>
              </w:rPr>
            </w:pPr>
            <w:r>
              <w:rPr>
                <w:rFonts w:ascii="Arial" w:cs="Arial" w:eastAsia="Arial" w:hAnsi="Arial"/>
                <w:sz w:val="18"/>
                <w:szCs w:val="18"/>
                <w:color w:val="auto"/>
              </w:rPr>
              <w:t>1,050,218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At fair value through other</w:t>
            </w: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comprehensive income</w:t>
            </w:r>
          </w:p>
        </w:tc>
        <w:tc>
          <w:tcPr>
            <w:tcW w:w="6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5 (b)</w:t>
            </w:r>
          </w:p>
        </w:tc>
        <w:tc>
          <w:tcPr>
            <w:tcW w:w="10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306,343</w:t>
            </w:r>
          </w:p>
        </w:tc>
        <w:tc>
          <w:tcPr>
            <w:tcW w:w="10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346,979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00" w:type="dxa"/>
            <w:vAlign w:val="bottom"/>
          </w:tcPr>
          <w:p>
            <w:pPr>
              <w:spacing w:after="0" w:line="199" w:lineRule="exact"/>
              <w:rPr>
                <w:sz w:val="20"/>
                <w:szCs w:val="20"/>
                <w:color w:val="auto"/>
              </w:rPr>
            </w:pPr>
            <w:r>
              <w:rPr>
                <w:rFonts w:ascii="Arial" w:cs="Arial" w:eastAsia="Arial" w:hAnsi="Arial"/>
                <w:sz w:val="18"/>
                <w:szCs w:val="18"/>
                <w:color w:val="auto"/>
              </w:rPr>
              <w:t>In subsidiaries and associates</w:t>
            </w:r>
          </w:p>
        </w:tc>
        <w:tc>
          <w:tcPr>
            <w:tcW w:w="600" w:type="dxa"/>
            <w:vAlign w:val="bottom"/>
          </w:tcPr>
          <w:p>
            <w:pPr>
              <w:jc w:val="center"/>
              <w:spacing w:after="0" w:line="199" w:lineRule="exact"/>
              <w:rPr>
                <w:sz w:val="20"/>
                <w:szCs w:val="20"/>
                <w:color w:val="auto"/>
              </w:rPr>
            </w:pPr>
            <w:r>
              <w:rPr>
                <w:rFonts w:ascii="Arial" w:cs="Arial" w:eastAsia="Arial" w:hAnsi="Arial"/>
                <w:sz w:val="18"/>
                <w:szCs w:val="18"/>
                <w:color w:val="auto"/>
                <w:w w:val="99"/>
              </w:rPr>
              <w:t>5 (c)</w:t>
            </w:r>
          </w:p>
        </w:tc>
        <w:tc>
          <w:tcPr>
            <w:tcW w:w="1060" w:type="dxa"/>
            <w:vAlign w:val="bottom"/>
          </w:tcPr>
          <w:p>
            <w:pPr>
              <w:jc w:val="right"/>
              <w:spacing w:after="0" w:line="199" w:lineRule="exact"/>
              <w:rPr>
                <w:sz w:val="20"/>
                <w:szCs w:val="20"/>
                <w:color w:val="auto"/>
              </w:rPr>
            </w:pPr>
            <w:r>
              <w:rPr>
                <w:rFonts w:ascii="Arial" w:cs="Arial" w:eastAsia="Arial" w:hAnsi="Arial"/>
                <w:sz w:val="18"/>
                <w:szCs w:val="18"/>
                <w:color w:val="auto"/>
              </w:rPr>
              <w:t>33,878,318</w:t>
            </w:r>
          </w:p>
        </w:tc>
        <w:tc>
          <w:tcPr>
            <w:tcW w:w="1020" w:type="dxa"/>
            <w:vAlign w:val="bottom"/>
          </w:tcPr>
          <w:p>
            <w:pPr>
              <w:jc w:val="right"/>
              <w:spacing w:after="0" w:line="199" w:lineRule="exact"/>
              <w:rPr>
                <w:sz w:val="20"/>
                <w:szCs w:val="20"/>
                <w:color w:val="auto"/>
              </w:rPr>
            </w:pPr>
            <w:r>
              <w:rPr>
                <w:rFonts w:ascii="Arial" w:cs="Arial" w:eastAsia="Arial" w:hAnsi="Arial"/>
                <w:sz w:val="18"/>
                <w:szCs w:val="18"/>
                <w:color w:val="auto"/>
              </w:rPr>
              <w:t>31,168,827</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700" w:type="dxa"/>
            <w:vAlign w:val="bottom"/>
          </w:tcPr>
          <w:p>
            <w:pPr>
              <w:spacing w:after="0" w:line="199" w:lineRule="exact"/>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7"/>
                <w:szCs w:val="17"/>
                <w:color w:val="auto"/>
              </w:rPr>
            </w:pPr>
          </w:p>
        </w:tc>
        <w:tc>
          <w:tcPr>
            <w:tcW w:w="1060" w:type="dxa"/>
            <w:vAlign w:val="bottom"/>
          </w:tcPr>
          <w:p>
            <w:pPr>
              <w:jc w:val="right"/>
              <w:spacing w:after="0" w:line="199" w:lineRule="exact"/>
              <w:rPr>
                <w:sz w:val="20"/>
                <w:szCs w:val="20"/>
                <w:color w:val="auto"/>
              </w:rPr>
            </w:pPr>
            <w:r>
              <w:rPr>
                <w:rFonts w:ascii="Arial" w:cs="Arial" w:eastAsia="Arial" w:hAnsi="Arial"/>
                <w:sz w:val="18"/>
                <w:szCs w:val="18"/>
                <w:color w:val="auto"/>
              </w:rPr>
              <w:t>135</w:t>
            </w:r>
          </w:p>
        </w:tc>
        <w:tc>
          <w:tcPr>
            <w:tcW w:w="1020" w:type="dxa"/>
            <w:vAlign w:val="bottom"/>
          </w:tcPr>
          <w:p>
            <w:pPr>
              <w:jc w:val="right"/>
              <w:spacing w:after="0" w:line="199"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r>
      <w:tr>
        <w:trPr>
          <w:trHeight w:val="186"/>
        </w:trPr>
        <w:tc>
          <w:tcPr>
            <w:tcW w:w="3360" w:type="dxa"/>
            <w:vAlign w:val="bottom"/>
          </w:tcPr>
          <w:p>
            <w:pPr>
              <w:spacing w:after="0" w:line="186" w:lineRule="exact"/>
              <w:rPr>
                <w:sz w:val="20"/>
                <w:szCs w:val="20"/>
                <w:color w:val="auto"/>
              </w:rPr>
            </w:pPr>
            <w:r>
              <w:rPr>
                <w:rFonts w:ascii="Arial" w:cs="Arial" w:eastAsia="Arial" w:hAnsi="Arial"/>
                <w:sz w:val="18"/>
                <w:szCs w:val="18"/>
                <w:b w:val="1"/>
                <w:bCs w:val="1"/>
                <w:color w:val="auto"/>
              </w:rPr>
              <w:t>TOTAL ASSETS</w:t>
            </w:r>
          </w:p>
        </w:tc>
        <w:tc>
          <w:tcPr>
            <w:tcW w:w="9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35,280,134</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32,745,300</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3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6"/>
          </w:tcPr>
          <w:p>
            <w:pPr>
              <w:spacing w:after="0"/>
              <w:rPr>
                <w:sz w:val="20"/>
                <w:szCs w:val="20"/>
                <w:color w:val="auto"/>
              </w:rPr>
            </w:pPr>
            <w:r>
              <w:rPr>
                <w:rFonts w:ascii="Arial" w:cs="Arial" w:eastAsia="Arial" w:hAnsi="Arial"/>
                <w:sz w:val="18"/>
                <w:szCs w:val="18"/>
                <w:b w:val="1"/>
                <w:bCs w:val="1"/>
                <w:color w:val="auto"/>
              </w:rPr>
              <w:t>At December 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b w:val="1"/>
                <w:bCs w:val="1"/>
                <w:color w:val="auto"/>
                <w:w w:val="99"/>
              </w:rPr>
              <w:t>Note</w:t>
            </w:r>
          </w:p>
        </w:tc>
        <w:tc>
          <w:tcPr>
            <w:tcW w:w="100" w:type="dxa"/>
            <w:vAlign w:val="bottom"/>
          </w:tcPr>
          <w:p>
            <w:pPr>
              <w:spacing w:after="0"/>
              <w:rPr>
                <w:sz w:val="19"/>
                <w:szCs w:val="19"/>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120" w:type="dxa"/>
            <w:vAlign w:val="bottom"/>
          </w:tcPr>
          <w:p>
            <w:pPr>
              <w:spacing w:after="0"/>
              <w:rPr>
                <w:sz w:val="20"/>
                <w:szCs w:val="20"/>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80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Liabilities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00" w:type="dxa"/>
            <w:vAlign w:val="bottom"/>
          </w:tcPr>
          <w:p>
            <w:pPr>
              <w:spacing w:after="0" w:line="199" w:lineRule="exact"/>
              <w:rPr>
                <w:sz w:val="20"/>
                <w:szCs w:val="20"/>
                <w:color w:val="auto"/>
              </w:rPr>
            </w:pPr>
            <w:r>
              <w:rPr>
                <w:rFonts w:ascii="Arial" w:cs="Arial" w:eastAsia="Arial" w:hAnsi="Arial"/>
                <w:sz w:val="18"/>
                <w:szCs w:val="18"/>
                <w:color w:val="auto"/>
              </w:rPr>
              <w:t>Bonds and notes issued</w:t>
            </w:r>
          </w:p>
        </w:tc>
        <w:tc>
          <w:tcPr>
            <w:tcW w:w="420" w:type="dxa"/>
            <w:vAlign w:val="bottom"/>
          </w:tcPr>
          <w:p>
            <w:pPr>
              <w:jc w:val="center"/>
              <w:spacing w:after="0" w:line="199" w:lineRule="exact"/>
              <w:rPr>
                <w:sz w:val="20"/>
                <w:szCs w:val="20"/>
                <w:color w:val="auto"/>
              </w:rPr>
            </w:pPr>
            <w:r>
              <w:rPr>
                <w:rFonts w:ascii="Arial" w:cs="Arial" w:eastAsia="Arial" w:hAnsi="Arial"/>
                <w:sz w:val="18"/>
                <w:szCs w:val="18"/>
                <w:color w:val="auto"/>
                <w:w w:val="99"/>
              </w:rPr>
              <w:t>6</w:t>
            </w:r>
          </w:p>
        </w:tc>
        <w:tc>
          <w:tcPr>
            <w:tcW w:w="104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1,898,066</w:t>
            </w:r>
          </w:p>
        </w:tc>
        <w:tc>
          <w:tcPr>
            <w:tcW w:w="120" w:type="dxa"/>
            <w:vAlign w:val="bottom"/>
          </w:tcPr>
          <w:p>
            <w:pPr>
              <w:spacing w:after="0"/>
              <w:rPr>
                <w:sz w:val="17"/>
                <w:szCs w:val="17"/>
                <w:color w:val="auto"/>
              </w:rPr>
            </w:pPr>
          </w:p>
        </w:tc>
        <w:tc>
          <w:tcPr>
            <w:tcW w:w="94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1,980,311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0" w:type="dxa"/>
            <w:vAlign w:val="bottom"/>
            <w:tcBorders>
              <w:bottom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CCEEFF"/>
            </w:tcBorders>
            <w:shd w:val="clear" w:color="auto" w:fill="CCEEFF"/>
          </w:tcPr>
          <w:p>
            <w:pPr>
              <w:jc w:val="center"/>
              <w:spacing w:after="0" w:line="199" w:lineRule="exact"/>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220,642</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159,403</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820" w:type="dxa"/>
            <w:vAlign w:val="bottom"/>
            <w:gridSpan w:val="2"/>
          </w:tcPr>
          <w:p>
            <w:pPr>
              <w:spacing w:after="0" w:line="186" w:lineRule="exact"/>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Arial" w:cs="Arial" w:eastAsia="Arial" w:hAnsi="Arial"/>
                <w:sz w:val="18"/>
                <w:szCs w:val="18"/>
                <w:color w:val="auto"/>
              </w:rPr>
              <w:t>2,118,708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Arial" w:cs="Arial" w:eastAsia="Arial" w:hAnsi="Arial"/>
                <w:sz w:val="18"/>
                <w:szCs w:val="18"/>
                <w:color w:val="auto"/>
              </w:rPr>
              <w:t>2,139,714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800" w:type="dxa"/>
            <w:vAlign w:val="bottom"/>
          </w:tcPr>
          <w:p>
            <w:pPr>
              <w:spacing w:after="0" w:line="199" w:lineRule="exact"/>
              <w:rPr>
                <w:sz w:val="20"/>
                <w:szCs w:val="20"/>
                <w:color w:val="auto"/>
              </w:rPr>
            </w:pPr>
            <w:r>
              <w:rPr>
                <w:rFonts w:ascii="Arial" w:cs="Arial" w:eastAsia="Arial" w:hAnsi="Arial"/>
                <w:sz w:val="18"/>
                <w:szCs w:val="18"/>
                <w:b w:val="1"/>
                <w:bCs w:val="1"/>
                <w:color w:val="auto"/>
              </w:rPr>
              <w:t>Equity</w:t>
            </w:r>
          </w:p>
        </w:tc>
        <w:tc>
          <w:tcPr>
            <w:tcW w:w="420" w:type="dxa"/>
            <w:vAlign w:val="bottom"/>
          </w:tcPr>
          <w:p>
            <w:pPr>
              <w:jc w:val="center"/>
              <w:spacing w:after="0" w:line="199" w:lineRule="exact"/>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Capital stock</w:t>
            </w:r>
          </w:p>
        </w:tc>
        <w:tc>
          <w:tcPr>
            <w:tcW w:w="4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199" w:lineRule="exact"/>
              <w:rPr>
                <w:sz w:val="20"/>
                <w:szCs w:val="20"/>
                <w:color w:val="auto"/>
              </w:rPr>
            </w:pPr>
            <w:r>
              <w:rPr>
                <w:rFonts w:ascii="Arial" w:cs="Arial" w:eastAsia="Arial" w:hAnsi="Arial"/>
                <w:sz w:val="18"/>
                <w:szCs w:val="18"/>
                <w:color w:val="auto"/>
              </w:rPr>
              <w:t>1,318,993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1,318,993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00" w:type="dxa"/>
            <w:vAlign w:val="bottom"/>
          </w:tcPr>
          <w:p>
            <w:pPr>
              <w:spacing w:after="0" w:line="199" w:lineRule="exact"/>
              <w:rPr>
                <w:sz w:val="20"/>
                <w:szCs w:val="20"/>
                <w:color w:val="auto"/>
              </w:rPr>
            </w:pPr>
            <w:r>
              <w:rPr>
                <w:rFonts w:ascii="Arial" w:cs="Arial" w:eastAsia="Arial" w:hAnsi="Arial"/>
                <w:sz w:val="18"/>
                <w:szCs w:val="18"/>
                <w:color w:val="auto"/>
              </w:rPr>
              <w:t>Capital Surplus</w:t>
            </w:r>
          </w:p>
        </w:tc>
        <w:tc>
          <w:tcPr>
            <w:tcW w:w="420" w:type="dxa"/>
            <w:vAlign w:val="bottom"/>
          </w:tcPr>
          <w:p>
            <w:pPr>
              <w:spacing w:after="0"/>
              <w:rPr>
                <w:sz w:val="17"/>
                <w:szCs w:val="17"/>
                <w:color w:val="auto"/>
              </w:rPr>
            </w:pPr>
          </w:p>
        </w:tc>
        <w:tc>
          <w:tcPr>
            <w:tcW w:w="104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384,542</w:t>
            </w:r>
          </w:p>
        </w:tc>
        <w:tc>
          <w:tcPr>
            <w:tcW w:w="120" w:type="dxa"/>
            <w:vAlign w:val="bottom"/>
          </w:tcPr>
          <w:p>
            <w:pPr>
              <w:spacing w:after="0"/>
              <w:rPr>
                <w:sz w:val="17"/>
                <w:szCs w:val="17"/>
                <w:color w:val="auto"/>
              </w:rPr>
            </w:pPr>
          </w:p>
        </w:tc>
        <w:tc>
          <w:tcPr>
            <w:tcW w:w="94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384,542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Reserve</w:t>
            </w:r>
          </w:p>
        </w:tc>
        <w:tc>
          <w:tcPr>
            <w:tcW w:w="4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line="199" w:lineRule="exact"/>
              <w:rPr>
                <w:sz w:val="20"/>
                <w:szCs w:val="20"/>
                <w:color w:val="auto"/>
              </w:rPr>
            </w:pPr>
            <w:r>
              <w:rPr>
                <w:rFonts w:ascii="Arial" w:cs="Arial" w:eastAsia="Arial" w:hAnsi="Arial"/>
                <w:sz w:val="18"/>
                <w:szCs w:val="18"/>
                <w:color w:val="auto"/>
              </w:rPr>
              <w:t>23,300,350</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20,945,491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00" w:type="dxa"/>
            <w:vAlign w:val="bottom"/>
          </w:tcPr>
          <w:p>
            <w:pPr>
              <w:spacing w:after="0" w:line="199" w:lineRule="exact"/>
              <w:rPr>
                <w:sz w:val="20"/>
                <w:szCs w:val="20"/>
                <w:color w:val="auto"/>
              </w:rPr>
            </w:pPr>
            <w:r>
              <w:rPr>
                <w:rFonts w:ascii="Arial" w:cs="Arial" w:eastAsia="Arial" w:hAnsi="Arial"/>
                <w:sz w:val="18"/>
                <w:szCs w:val="18"/>
                <w:color w:val="auto"/>
              </w:rPr>
              <w:t>Unrealized results</w:t>
            </w:r>
          </w:p>
        </w:tc>
        <w:tc>
          <w:tcPr>
            <w:tcW w:w="420" w:type="dxa"/>
            <w:vAlign w:val="bottom"/>
          </w:tcPr>
          <w:p>
            <w:pPr>
              <w:spacing w:after="0"/>
              <w:rPr>
                <w:sz w:val="17"/>
                <w:szCs w:val="17"/>
                <w:color w:val="auto"/>
              </w:rPr>
            </w:pPr>
          </w:p>
        </w:tc>
        <w:tc>
          <w:tcPr>
            <w:tcW w:w="1160" w:type="dxa"/>
            <w:vAlign w:val="bottom"/>
            <w:gridSpan w:val="4"/>
          </w:tcPr>
          <w:p>
            <w:pPr>
              <w:jc w:val="right"/>
              <w:ind w:right="60"/>
              <w:spacing w:after="0" w:line="199" w:lineRule="exact"/>
              <w:rPr>
                <w:sz w:val="20"/>
                <w:szCs w:val="20"/>
                <w:color w:val="auto"/>
              </w:rPr>
            </w:pPr>
            <w:r>
              <w:rPr>
                <w:rFonts w:ascii="Arial" w:cs="Arial" w:eastAsia="Arial" w:hAnsi="Arial"/>
                <w:sz w:val="18"/>
                <w:szCs w:val="18"/>
                <w:color w:val="auto"/>
              </w:rPr>
              <w:t>(835,079)</w:t>
            </w:r>
          </w:p>
        </w:tc>
        <w:tc>
          <w:tcPr>
            <w:tcW w:w="94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62,163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0" w:type="dxa"/>
            <w:vAlign w:val="bottom"/>
            <w:tcBorders>
              <w:bottom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Retained earnings</w:t>
            </w:r>
          </w:p>
        </w:tc>
        <w:tc>
          <w:tcPr>
            <w:tcW w:w="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8,992,620</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7,894,397</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82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rPr>
              <w:t>Total equity</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Arial" w:cs="Arial" w:eastAsia="Arial" w:hAnsi="Arial"/>
                <w:sz w:val="18"/>
                <w:szCs w:val="18"/>
                <w:color w:val="auto"/>
                <w:w w:val="99"/>
              </w:rPr>
              <w:t>33,161,426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Arial" w:cs="Arial" w:eastAsia="Arial" w:hAnsi="Arial"/>
                <w:sz w:val="18"/>
                <w:szCs w:val="18"/>
                <w:color w:val="auto"/>
                <w:w w:val="99"/>
              </w:rPr>
              <w:t>30,605,586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00" w:type="dxa"/>
            <w:vAlign w:val="bottom"/>
          </w:tcPr>
          <w:p>
            <w:pPr>
              <w:spacing w:after="0" w:line="150" w:lineRule="exact"/>
              <w:rPr>
                <w:sz w:val="20"/>
                <w:szCs w:val="20"/>
                <w:color w:val="auto"/>
              </w:rPr>
            </w:pPr>
            <w:r>
              <w:rPr>
                <w:rFonts w:ascii="Arial" w:cs="Arial" w:eastAsia="Arial" w:hAnsi="Arial"/>
                <w:sz w:val="17"/>
                <w:szCs w:val="17"/>
                <w:b w:val="1"/>
                <w:bCs w:val="1"/>
                <w:color w:val="auto"/>
              </w:rPr>
              <w:t>TOTAL LIABILITIES AND</w:t>
            </w:r>
          </w:p>
        </w:tc>
        <w:tc>
          <w:tcPr>
            <w:tcW w:w="420" w:type="dxa"/>
            <w:vAlign w:val="bottom"/>
          </w:tcPr>
          <w:p>
            <w:pPr>
              <w:spacing w:after="0"/>
              <w:rPr>
                <w:sz w:val="13"/>
                <w:szCs w:val="13"/>
                <w:color w:val="auto"/>
              </w:rPr>
            </w:pPr>
          </w:p>
        </w:tc>
        <w:tc>
          <w:tcPr>
            <w:tcW w:w="1040" w:type="dxa"/>
            <w:vAlign w:val="bottom"/>
            <w:gridSpan w:val="3"/>
            <w:vMerge w:val="restart"/>
          </w:tcPr>
          <w:p>
            <w:pPr>
              <w:jc w:val="right"/>
              <w:spacing w:after="0"/>
              <w:rPr>
                <w:sz w:val="20"/>
                <w:szCs w:val="20"/>
                <w:color w:val="auto"/>
              </w:rPr>
            </w:pPr>
            <w:r>
              <w:rPr>
                <w:rFonts w:ascii="Arial" w:cs="Arial" w:eastAsia="Arial" w:hAnsi="Arial"/>
                <w:sz w:val="18"/>
                <w:szCs w:val="18"/>
                <w:color w:val="auto"/>
              </w:rPr>
              <w:t>35,280,134</w:t>
            </w:r>
          </w:p>
        </w:tc>
        <w:tc>
          <w:tcPr>
            <w:tcW w:w="120" w:type="dxa"/>
            <w:vAlign w:val="bottom"/>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32,745,300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82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EQUITY</w:t>
            </w:r>
          </w:p>
        </w:tc>
        <w:tc>
          <w:tcPr>
            <w:tcW w:w="42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00" w:space="440"/>
            <w:col w:w="5400"/>
          </w:cols>
          <w:pgMar w:left="320" w:top="343" w:right="3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attached notes from page 10 to 39 are part of the separate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348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(Free translation from the original in Spanish)</w:t>
      </w:r>
    </w:p>
    <w:p>
      <w:pPr>
        <w:spacing w:after="0"/>
        <w:rPr>
          <w:sz w:val="20"/>
          <w:szCs w:val="20"/>
          <w:color w:val="auto"/>
        </w:rPr>
      </w:pPr>
      <w:r>
        <w:rPr>
          <w:rFonts w:ascii="Arial" w:cs="Arial" w:eastAsia="Arial" w:hAnsi="Arial"/>
          <w:sz w:val="18"/>
          <w:szCs w:val="18"/>
          <w:b w:val="1"/>
          <w:bCs w:val="1"/>
          <w:color w:val="auto"/>
        </w:rPr>
        <w:t>CREDICORP LTD.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SEPARATE STATEMENT OF INCOME</w:t>
      </w:r>
    </w:p>
    <w:p>
      <w:pPr>
        <w:spacing w:after="0" w:line="184" w:lineRule="exact"/>
        <w:rPr>
          <w:sz w:val="20"/>
          <w:szCs w:val="20"/>
          <w:color w:val="auto"/>
        </w:rPr>
      </w:pPr>
    </w:p>
    <w:tbl>
      <w:tblPr>
        <w:tblLayout w:type="fixed"/>
        <w:tblInd w:w="778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4"/>
          </w:tcPr>
          <w:p>
            <w:pPr>
              <w:spacing w:after="0"/>
              <w:rPr>
                <w:sz w:val="20"/>
                <w:szCs w:val="20"/>
                <w:color w:val="auto"/>
              </w:rPr>
            </w:pPr>
            <w:r>
              <w:rPr>
                <w:rFonts w:ascii="Arial" w:cs="Arial" w:eastAsia="Arial" w:hAnsi="Arial"/>
                <w:sz w:val="18"/>
                <w:szCs w:val="18"/>
                <w:b w:val="1"/>
                <w:bCs w:val="1"/>
                <w:color w:val="auto"/>
              </w:rPr>
              <w:t>For the year ended</w:t>
            </w:r>
          </w:p>
        </w:tc>
      </w:tr>
      <w:tr>
        <w:trPr>
          <w:trHeight w:val="229"/>
        </w:trPr>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19"/>
                <w:szCs w:val="19"/>
                <w:color w:val="auto"/>
              </w:rPr>
            </w:pPr>
          </w:p>
        </w:tc>
      </w:tr>
      <w:tr>
        <w:trPr>
          <w:trHeight w:val="219"/>
        </w:trPr>
        <w:tc>
          <w:tcPr>
            <w:tcW w:w="900" w:type="dxa"/>
            <w:vAlign w:val="bottom"/>
          </w:tcPr>
          <w:p>
            <w:pPr>
              <w:ind w:left="260"/>
              <w:spacing w:after="0"/>
              <w:rPr>
                <w:sz w:val="20"/>
                <w:szCs w:val="20"/>
                <w:color w:val="auto"/>
              </w:rPr>
            </w:pPr>
            <w:r>
              <w:rPr>
                <w:rFonts w:ascii="Arial" w:cs="Arial" w:eastAsia="Arial" w:hAnsi="Arial"/>
                <w:sz w:val="18"/>
                <w:szCs w:val="18"/>
                <w:b w:val="1"/>
                <w:bCs w:val="1"/>
                <w:color w:val="auto"/>
              </w:rPr>
              <w:t>Note</w:t>
            </w:r>
          </w:p>
        </w:tc>
        <w:tc>
          <w:tcPr>
            <w:tcW w:w="24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2021</w:t>
            </w:r>
          </w:p>
        </w:tc>
      </w:tr>
      <w:tr>
        <w:trPr>
          <w:trHeight w:val="234"/>
        </w:trPr>
        <w:tc>
          <w:tcPr>
            <w:tcW w:w="9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w:t>
            </w:r>
          </w:p>
        </w:tc>
        <w:tc>
          <w:tcPr>
            <w:tcW w:w="1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40" w:type="dxa"/>
            <w:vAlign w:val="bottom"/>
            <w:gridSpan w:val="2"/>
          </w:tcPr>
          <w:p>
            <w:pPr>
              <w:spacing w:after="0"/>
              <w:rPr>
                <w:sz w:val="20"/>
                <w:szCs w:val="20"/>
                <w:color w:val="auto"/>
              </w:rPr>
            </w:pPr>
            <w:r>
              <w:rPr>
                <w:rFonts w:ascii="Arial" w:cs="Arial" w:eastAsia="Arial" w:hAnsi="Arial"/>
                <w:sz w:val="18"/>
                <w:szCs w:val="18"/>
                <w:color w:val="auto"/>
              </w:rPr>
              <w:t>Net share of the income from investments in</w:t>
            </w: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subsidiaries and associates</w:t>
            </w:r>
          </w:p>
        </w:tc>
        <w:tc>
          <w:tcPr>
            <w:tcW w:w="158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96"/>
              </w:rPr>
              <w:t>5(c)</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5,156,494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3,751,366</w:t>
            </w:r>
          </w:p>
        </w:tc>
        <w:tc>
          <w:tcPr>
            <w:tcW w:w="0" w:type="dxa"/>
            <w:vAlign w:val="bottom"/>
          </w:tcPr>
          <w:p>
            <w:pPr>
              <w:spacing w:after="0"/>
              <w:rPr>
                <w:sz w:val="1"/>
                <w:szCs w:val="1"/>
                <w:color w:val="auto"/>
              </w:rPr>
            </w:pPr>
          </w:p>
        </w:tc>
      </w:tr>
      <w:tr>
        <w:trPr>
          <w:trHeight w:val="212"/>
        </w:trPr>
        <w:tc>
          <w:tcPr>
            <w:tcW w:w="7340" w:type="dxa"/>
            <w:vAlign w:val="bottom"/>
            <w:gridSpan w:val="2"/>
          </w:tcPr>
          <w:p>
            <w:pPr>
              <w:spacing w:after="0"/>
              <w:rPr>
                <w:sz w:val="20"/>
                <w:szCs w:val="20"/>
                <w:color w:val="auto"/>
              </w:rPr>
            </w:pPr>
            <w:r>
              <w:rPr>
                <w:rFonts w:ascii="Arial" w:cs="Arial" w:eastAsia="Arial" w:hAnsi="Arial"/>
                <w:sz w:val="18"/>
                <w:szCs w:val="18"/>
                <w:color w:val="auto"/>
              </w:rPr>
              <w:t>Interest and similar income</w:t>
            </w:r>
          </w:p>
        </w:tc>
        <w:tc>
          <w:tcPr>
            <w:tcW w:w="15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8,701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24,317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gain on financial assets at fair value</w:t>
            </w:r>
          </w:p>
        </w:tc>
        <w:tc>
          <w:tcPr>
            <w:tcW w:w="1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40" w:type="dxa"/>
            <w:vAlign w:val="bottom"/>
            <w:gridSpan w:val="2"/>
          </w:tcPr>
          <w:p>
            <w:pPr>
              <w:spacing w:after="0"/>
              <w:rPr>
                <w:sz w:val="20"/>
                <w:szCs w:val="20"/>
                <w:color w:val="auto"/>
              </w:rPr>
            </w:pPr>
            <w:r>
              <w:rPr>
                <w:rFonts w:ascii="Arial" w:cs="Arial" w:eastAsia="Arial" w:hAnsi="Arial"/>
                <w:sz w:val="18"/>
                <w:szCs w:val="18"/>
                <w:color w:val="auto"/>
              </w:rPr>
              <w:t>through profit or loss</w:t>
            </w:r>
          </w:p>
        </w:tc>
        <w:tc>
          <w:tcPr>
            <w:tcW w:w="1580" w:type="dxa"/>
            <w:vAlign w:val="bottom"/>
          </w:tcPr>
          <w:p>
            <w:pPr>
              <w:jc w:val="center"/>
              <w:ind w:left="91"/>
              <w:spacing w:after="0"/>
              <w:rPr>
                <w:sz w:val="20"/>
                <w:szCs w:val="20"/>
                <w:color w:val="auto"/>
              </w:rPr>
            </w:pPr>
            <w:r>
              <w:rPr>
                <w:rFonts w:ascii="Arial" w:cs="Arial" w:eastAsia="Arial" w:hAnsi="Arial"/>
                <w:sz w:val="18"/>
                <w:szCs w:val="18"/>
                <w:color w:val="auto"/>
                <w:w w:val="99"/>
              </w:rPr>
              <w:t>5(a)</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(43,099)</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Administrative and general expenses</w:t>
            </w:r>
          </w:p>
        </w:tc>
        <w:tc>
          <w:tcPr>
            <w:tcW w:w="15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(23,205)</w:t>
            </w:r>
          </w:p>
        </w:tc>
        <w:tc>
          <w:tcPr>
            <w:tcW w:w="110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(20,711)</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32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5,098,891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3,757,700</w:t>
            </w:r>
          </w:p>
        </w:tc>
        <w:tc>
          <w:tcPr>
            <w:tcW w:w="0" w:type="dxa"/>
            <w:vAlign w:val="bottom"/>
          </w:tcPr>
          <w:p>
            <w:pPr>
              <w:spacing w:after="0"/>
              <w:rPr>
                <w:sz w:val="1"/>
                <w:szCs w:val="1"/>
                <w:color w:val="auto"/>
              </w:rPr>
            </w:pPr>
          </w:p>
        </w:tc>
      </w:tr>
      <w:tr>
        <w:trPr>
          <w:trHeight w:val="212"/>
        </w:trPr>
        <w:tc>
          <w:tcPr>
            <w:tcW w:w="734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similar expense</w:t>
            </w:r>
          </w:p>
        </w:tc>
        <w:tc>
          <w:tcPr>
            <w:tcW w:w="1580" w:type="dxa"/>
            <w:vAlign w:val="bottom"/>
            <w:shd w:val="clear" w:color="auto" w:fill="CCEEFF"/>
          </w:tcPr>
          <w:p>
            <w:pPr>
              <w:jc w:val="center"/>
              <w:ind w:left="111"/>
              <w:spacing w:after="0"/>
              <w:rPr>
                <w:sz w:val="20"/>
                <w:szCs w:val="20"/>
                <w:color w:val="auto"/>
              </w:rPr>
            </w:pPr>
            <w:r>
              <w:rPr>
                <w:rFonts w:ascii="Arial" w:cs="Arial" w:eastAsia="Arial" w:hAnsi="Arial"/>
                <w:sz w:val="18"/>
                <w:szCs w:val="18"/>
                <w:color w:val="auto"/>
                <w:w w:val="99"/>
              </w:rPr>
              <w:t>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(68,134)</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(57,899)</w:t>
            </w:r>
          </w:p>
        </w:tc>
        <w:tc>
          <w:tcPr>
            <w:tcW w:w="0" w:type="dxa"/>
            <w:vAlign w:val="bottom"/>
          </w:tcPr>
          <w:p>
            <w:pPr>
              <w:spacing w:after="0"/>
              <w:rPr>
                <w:sz w:val="1"/>
                <w:szCs w:val="1"/>
                <w:color w:val="auto"/>
              </w:rPr>
            </w:pPr>
          </w:p>
        </w:tc>
      </w:tr>
      <w:tr>
        <w:trPr>
          <w:trHeight w:val="212"/>
        </w:trPr>
        <w:tc>
          <w:tcPr>
            <w:tcW w:w="7340" w:type="dxa"/>
            <w:vAlign w:val="bottom"/>
            <w:gridSpan w:val="2"/>
          </w:tcPr>
          <w:p>
            <w:pPr>
              <w:spacing w:after="0"/>
              <w:rPr>
                <w:sz w:val="20"/>
                <w:szCs w:val="20"/>
                <w:color w:val="auto"/>
              </w:rPr>
            </w:pPr>
            <w:r>
              <w:rPr>
                <w:rFonts w:ascii="Arial" w:cs="Arial" w:eastAsia="Arial" w:hAnsi="Arial"/>
                <w:sz w:val="18"/>
                <w:szCs w:val="18"/>
                <w:color w:val="auto"/>
              </w:rPr>
              <w:t>Exchange differences, net</w:t>
            </w:r>
          </w:p>
        </w:tc>
        <w:tc>
          <w:tcPr>
            <w:tcW w:w="15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(3,513)</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Other, net</w:t>
            </w:r>
          </w:p>
        </w:tc>
        <w:tc>
          <w:tcPr>
            <w:tcW w:w="15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556</w:t>
            </w:r>
          </w:p>
        </w:tc>
        <w:tc>
          <w:tcPr>
            <w:tcW w:w="110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20" w:type="dxa"/>
            <w:vAlign w:val="bottom"/>
            <w:tcBorders>
              <w:top w:val="single" w:sz="8" w:color="CCEEFF"/>
              <w:bottom w:val="single" w:sz="8" w:color="CCEEFF"/>
            </w:tcBorders>
          </w:tcPr>
          <w:p>
            <w:pPr>
              <w:spacing w:after="0"/>
              <w:rPr>
                <w:sz w:val="16"/>
                <w:szCs w:val="16"/>
                <w:color w:val="auto"/>
              </w:rPr>
            </w:pPr>
          </w:p>
        </w:tc>
        <w:tc>
          <w:tcPr>
            <w:tcW w:w="1580" w:type="dxa"/>
            <w:vAlign w:val="bottom"/>
            <w:tcBorders>
              <w:top w:val="single" w:sz="8" w:color="CCEEFF"/>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(71,091)</w:t>
            </w:r>
          </w:p>
        </w:tc>
        <w:tc>
          <w:tcPr>
            <w:tcW w:w="220" w:type="dxa"/>
            <w:vAlign w:val="bottom"/>
            <w:tcBorders>
              <w:top w:val="single" w:sz="8" w:color="CCEEFF"/>
              <w:bottom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(60,490)</w:t>
            </w:r>
          </w:p>
        </w:tc>
        <w:tc>
          <w:tcPr>
            <w:tcW w:w="10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Profit before income tax</w:t>
            </w:r>
          </w:p>
        </w:tc>
        <w:tc>
          <w:tcPr>
            <w:tcW w:w="15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5,027,800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3,697,210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Income tax</w:t>
            </w:r>
          </w:p>
        </w:tc>
        <w:tc>
          <w:tcPr>
            <w:tcW w:w="1580" w:type="dxa"/>
            <w:vAlign w:val="bottom"/>
            <w:shd w:val="clear" w:color="auto" w:fill="CCEEFF"/>
          </w:tcPr>
          <w:p>
            <w:pPr>
              <w:jc w:val="center"/>
              <w:ind w:left="91"/>
              <w:spacing w:after="0" w:line="199" w:lineRule="exact"/>
              <w:rPr>
                <w:sz w:val="20"/>
                <w:szCs w:val="20"/>
                <w:color w:val="auto"/>
              </w:rPr>
            </w:pPr>
            <w:r>
              <w:rPr>
                <w:rFonts w:ascii="Arial" w:cs="Arial" w:eastAsia="Arial" w:hAnsi="Arial"/>
                <w:sz w:val="18"/>
                <w:szCs w:val="18"/>
                <w:color w:val="auto"/>
                <w:w w:val="99"/>
              </w:rPr>
              <w:t>10</w:t>
            </w:r>
          </w:p>
        </w:tc>
        <w:tc>
          <w:tcPr>
            <w:tcW w:w="1220" w:type="dxa"/>
            <w:vAlign w:val="bottom"/>
            <w:gridSpan w:val="2"/>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(168,290)</w:t>
            </w:r>
          </w:p>
        </w:tc>
        <w:tc>
          <w:tcPr>
            <w:tcW w:w="110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(78,082)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40" w:type="dxa"/>
            <w:vAlign w:val="bottom"/>
            <w:gridSpan w:val="2"/>
          </w:tcPr>
          <w:p>
            <w:pPr>
              <w:spacing w:after="0" w:line="186" w:lineRule="exact"/>
              <w:rPr>
                <w:sz w:val="20"/>
                <w:szCs w:val="20"/>
                <w:color w:val="auto"/>
              </w:rPr>
            </w:pPr>
            <w:r>
              <w:rPr>
                <w:rFonts w:ascii="Arial" w:cs="Arial" w:eastAsia="Arial" w:hAnsi="Arial"/>
                <w:sz w:val="18"/>
                <w:szCs w:val="18"/>
                <w:color w:val="auto"/>
              </w:rPr>
              <w:t>Net income</w:t>
            </w:r>
          </w:p>
        </w:tc>
        <w:tc>
          <w:tcPr>
            <w:tcW w:w="1580" w:type="dxa"/>
            <w:vAlign w:val="bottom"/>
          </w:tcPr>
          <w:p>
            <w:pPr>
              <w:spacing w:after="0"/>
              <w:rPr>
                <w:sz w:val="16"/>
                <w:szCs w:val="16"/>
                <w:color w:val="auto"/>
              </w:rPr>
            </w:pPr>
          </w:p>
        </w:tc>
        <w:tc>
          <w:tcPr>
            <w:tcW w:w="1000" w:type="dxa"/>
            <w:vAlign w:val="bottom"/>
          </w:tcPr>
          <w:p>
            <w:pPr>
              <w:jc w:val="right"/>
              <w:spacing w:after="0" w:line="186" w:lineRule="exact"/>
              <w:rPr>
                <w:sz w:val="20"/>
                <w:szCs w:val="20"/>
                <w:color w:val="auto"/>
              </w:rPr>
            </w:pPr>
            <w:r>
              <w:rPr>
                <w:rFonts w:ascii="Arial" w:cs="Arial" w:eastAsia="Arial" w:hAnsi="Arial"/>
                <w:sz w:val="18"/>
                <w:szCs w:val="18"/>
                <w:color w:val="auto"/>
              </w:rPr>
              <w:t>4,859,510</w:t>
            </w:r>
          </w:p>
        </w:tc>
        <w:tc>
          <w:tcPr>
            <w:tcW w:w="220" w:type="dxa"/>
            <w:vAlign w:val="bottom"/>
            <w:vMerge w:val="continue"/>
          </w:tcPr>
          <w:p>
            <w:pPr>
              <w:spacing w:after="0"/>
              <w:rPr>
                <w:sz w:val="16"/>
                <w:szCs w:val="16"/>
                <w:color w:val="auto"/>
              </w:rPr>
            </w:pPr>
          </w:p>
        </w:tc>
        <w:tc>
          <w:tcPr>
            <w:tcW w:w="1000" w:type="dxa"/>
            <w:vAlign w:val="bottom"/>
          </w:tcPr>
          <w:p>
            <w:pPr>
              <w:jc w:val="right"/>
              <w:spacing w:after="0" w:line="186" w:lineRule="exact"/>
              <w:rPr>
                <w:sz w:val="20"/>
                <w:szCs w:val="20"/>
                <w:color w:val="auto"/>
              </w:rPr>
            </w:pPr>
            <w:r>
              <w:rPr>
                <w:rFonts w:ascii="Arial" w:cs="Arial" w:eastAsia="Arial" w:hAnsi="Arial"/>
                <w:sz w:val="18"/>
                <w:szCs w:val="18"/>
                <w:color w:val="auto"/>
              </w:rPr>
              <w:t>3,619,128</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340" w:type="dxa"/>
            <w:vAlign w:val="bottom"/>
            <w:gridSpan w:val="2"/>
          </w:tcPr>
          <w:p>
            <w:pPr>
              <w:spacing w:after="0" w:line="199" w:lineRule="exact"/>
              <w:rPr>
                <w:sz w:val="20"/>
                <w:szCs w:val="20"/>
                <w:color w:val="auto"/>
              </w:rPr>
            </w:pPr>
            <w:r>
              <w:rPr>
                <w:rFonts w:ascii="Arial" w:cs="Arial" w:eastAsia="Arial" w:hAnsi="Arial"/>
                <w:sz w:val="18"/>
                <w:szCs w:val="18"/>
                <w:color w:val="auto"/>
              </w:rPr>
              <w:t>Other comprehensive income</w:t>
            </w:r>
          </w:p>
        </w:tc>
        <w:tc>
          <w:tcPr>
            <w:tcW w:w="1580" w:type="dxa"/>
            <w:vAlign w:val="bottom"/>
          </w:tcPr>
          <w:p>
            <w:pPr>
              <w:spacing w:after="0"/>
              <w:rPr>
                <w:sz w:val="17"/>
                <w:szCs w:val="17"/>
                <w:color w:val="auto"/>
              </w:rPr>
            </w:pPr>
          </w:p>
        </w:tc>
        <w:tc>
          <w:tcPr>
            <w:tcW w:w="1220" w:type="dxa"/>
            <w:vAlign w:val="bottom"/>
            <w:gridSpan w:val="2"/>
          </w:tcPr>
          <w:p>
            <w:pPr>
              <w:jc w:val="right"/>
              <w:ind w:right="160"/>
              <w:spacing w:after="0" w:line="199" w:lineRule="exact"/>
              <w:rPr>
                <w:sz w:val="20"/>
                <w:szCs w:val="20"/>
                <w:color w:val="auto"/>
              </w:rPr>
            </w:pPr>
            <w:r>
              <w:rPr>
                <w:rFonts w:ascii="Arial" w:cs="Arial" w:eastAsia="Arial" w:hAnsi="Arial"/>
                <w:sz w:val="18"/>
                <w:szCs w:val="18"/>
                <w:color w:val="auto"/>
              </w:rPr>
              <w:t>(897,242)</w:t>
            </w:r>
          </w:p>
        </w:tc>
        <w:tc>
          <w:tcPr>
            <w:tcW w:w="110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(1,604,318)</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7320" w:type="dxa"/>
            <w:vAlign w:val="bottom"/>
          </w:tcPr>
          <w:p>
            <w:pPr>
              <w:spacing w:after="0" w:line="199" w:lineRule="exact"/>
              <w:rPr>
                <w:sz w:val="20"/>
                <w:szCs w:val="20"/>
                <w:color w:val="auto"/>
              </w:rPr>
            </w:pPr>
            <w:r>
              <w:rPr>
                <w:rFonts w:ascii="Arial" w:cs="Arial" w:eastAsia="Arial" w:hAnsi="Arial"/>
                <w:sz w:val="18"/>
                <w:szCs w:val="18"/>
                <w:b w:val="1"/>
                <w:bCs w:val="1"/>
                <w:color w:val="auto"/>
              </w:rPr>
              <w:t>Total comprehensive income</w:t>
            </w:r>
          </w:p>
        </w:tc>
        <w:tc>
          <w:tcPr>
            <w:tcW w:w="1580" w:type="dxa"/>
            <w:vAlign w:val="bottom"/>
          </w:tcPr>
          <w:p>
            <w:pPr>
              <w:spacing w:after="0"/>
              <w:rPr>
                <w:sz w:val="17"/>
                <w:szCs w:val="17"/>
                <w:color w:val="auto"/>
              </w:rPr>
            </w:pPr>
          </w:p>
        </w:tc>
        <w:tc>
          <w:tcPr>
            <w:tcW w:w="1220" w:type="dxa"/>
            <w:vAlign w:val="bottom"/>
            <w:gridSpan w:val="2"/>
          </w:tcPr>
          <w:p>
            <w:pPr>
              <w:jc w:val="right"/>
              <w:ind w:right="220"/>
              <w:spacing w:after="0" w:line="199" w:lineRule="exact"/>
              <w:rPr>
                <w:sz w:val="20"/>
                <w:szCs w:val="20"/>
                <w:color w:val="auto"/>
              </w:rPr>
            </w:pPr>
            <w:r>
              <w:rPr>
                <w:rFonts w:ascii="Arial" w:cs="Arial" w:eastAsia="Arial" w:hAnsi="Arial"/>
                <w:sz w:val="18"/>
                <w:szCs w:val="18"/>
                <w:color w:val="auto"/>
              </w:rPr>
              <w:t>3,962,268</w:t>
            </w:r>
          </w:p>
        </w:tc>
        <w:tc>
          <w:tcPr>
            <w:tcW w:w="110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2,014,810</w:t>
            </w:r>
          </w:p>
        </w:tc>
        <w:tc>
          <w:tcPr>
            <w:tcW w:w="0" w:type="dxa"/>
            <w:vAlign w:val="bottom"/>
          </w:tcPr>
          <w:p>
            <w:pPr>
              <w:spacing w:after="0"/>
              <w:rPr>
                <w:sz w:val="1"/>
                <w:szCs w:val="1"/>
                <w:color w:val="auto"/>
              </w:rPr>
            </w:pPr>
          </w:p>
        </w:tc>
      </w:tr>
      <w:tr>
        <w:trPr>
          <w:trHeight w:val="411"/>
        </w:trPr>
        <w:tc>
          <w:tcPr>
            <w:tcW w:w="7340" w:type="dxa"/>
            <w:vAlign w:val="bottom"/>
            <w:gridSpan w:val="2"/>
          </w:tcPr>
          <w:p>
            <w:pPr>
              <w:spacing w:after="0"/>
              <w:rPr>
                <w:sz w:val="20"/>
                <w:szCs w:val="20"/>
                <w:color w:val="auto"/>
              </w:rPr>
            </w:pPr>
            <w:r>
              <w:rPr>
                <w:rFonts w:ascii="Arial" w:cs="Arial" w:eastAsia="Arial" w:hAnsi="Arial"/>
                <w:sz w:val="18"/>
                <w:szCs w:val="18"/>
                <w:color w:val="auto"/>
              </w:rPr>
              <w:t>The attached notes from page 10 to 39 are part of the separate financial statements.</w:t>
            </w:r>
          </w:p>
        </w:tc>
        <w:tc>
          <w:tcPr>
            <w:tcW w:w="15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4"/>
        </w:trPr>
        <w:tc>
          <w:tcPr>
            <w:tcW w:w="7340" w:type="dxa"/>
            <w:vAlign w:val="bottom"/>
            <w:gridSpan w:val="2"/>
          </w:tcPr>
          <w:p>
            <w:pPr>
              <w:ind w:left="5460"/>
              <w:spacing w:after="0"/>
              <w:rPr>
                <w:sz w:val="20"/>
                <w:szCs w:val="20"/>
                <w:color w:val="auto"/>
              </w:rPr>
            </w:pPr>
            <w:r>
              <w:rPr>
                <w:rFonts w:ascii="Arial" w:cs="Arial" w:eastAsia="Arial" w:hAnsi="Arial"/>
                <w:sz w:val="18"/>
                <w:szCs w:val="18"/>
                <w:color w:val="auto"/>
              </w:rPr>
              <w:t>- 5 -</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3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(Free translation from the original in Spanish)</w:t>
      </w:r>
    </w:p>
    <w:p>
      <w:pPr>
        <w:spacing w:after="0"/>
        <w:rPr>
          <w:sz w:val="20"/>
          <w:szCs w:val="20"/>
          <w:color w:val="auto"/>
        </w:rPr>
      </w:pPr>
      <w:r>
        <w:rPr>
          <w:rFonts w:ascii="Arial" w:cs="Arial" w:eastAsia="Arial" w:hAnsi="Arial"/>
          <w:sz w:val="18"/>
          <w:szCs w:val="18"/>
          <w:b w:val="1"/>
          <w:bCs w:val="1"/>
          <w:color w:val="auto"/>
        </w:rPr>
        <w:t>CREDICORP LTD.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SEPARATE STATEMENT OF COMPREHENSIVE INCOME</w:t>
      </w:r>
    </w:p>
    <w:p>
      <w:pPr>
        <w:spacing w:after="0" w:line="184" w:lineRule="exact"/>
        <w:rPr>
          <w:sz w:val="20"/>
          <w:szCs w:val="20"/>
          <w:color w:val="auto"/>
        </w:rPr>
      </w:pPr>
    </w:p>
    <w:tbl>
      <w:tblPr>
        <w:tblLayout w:type="fixed"/>
        <w:tblInd w:w="778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4"/>
          </w:tcPr>
          <w:p>
            <w:pPr>
              <w:spacing w:after="0"/>
              <w:rPr>
                <w:sz w:val="20"/>
                <w:szCs w:val="20"/>
                <w:color w:val="auto"/>
              </w:rPr>
            </w:pPr>
            <w:r>
              <w:rPr>
                <w:rFonts w:ascii="Arial" w:cs="Arial" w:eastAsia="Arial" w:hAnsi="Arial"/>
                <w:sz w:val="18"/>
                <w:szCs w:val="18"/>
                <w:b w:val="1"/>
                <w:bCs w:val="1"/>
                <w:color w:val="auto"/>
              </w:rPr>
              <w:t>For the year ended</w:t>
            </w:r>
          </w:p>
        </w:tc>
      </w:tr>
      <w:tr>
        <w:trPr>
          <w:trHeight w:val="229"/>
        </w:trPr>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19"/>
                <w:szCs w:val="19"/>
                <w:color w:val="auto"/>
              </w:rPr>
            </w:pPr>
          </w:p>
        </w:tc>
      </w:tr>
      <w:tr>
        <w:trPr>
          <w:trHeight w:val="219"/>
        </w:trPr>
        <w:tc>
          <w:tcPr>
            <w:tcW w:w="900" w:type="dxa"/>
            <w:vAlign w:val="bottom"/>
          </w:tcPr>
          <w:p>
            <w:pPr>
              <w:ind w:left="260"/>
              <w:spacing w:after="0"/>
              <w:rPr>
                <w:sz w:val="20"/>
                <w:szCs w:val="20"/>
                <w:color w:val="auto"/>
              </w:rPr>
            </w:pPr>
            <w:r>
              <w:rPr>
                <w:rFonts w:ascii="Arial" w:cs="Arial" w:eastAsia="Arial" w:hAnsi="Arial"/>
                <w:sz w:val="18"/>
                <w:szCs w:val="18"/>
                <w:b w:val="1"/>
                <w:bCs w:val="1"/>
                <w:color w:val="auto"/>
              </w:rPr>
              <w:t>Note</w:t>
            </w:r>
          </w:p>
        </w:tc>
        <w:tc>
          <w:tcPr>
            <w:tcW w:w="24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b w:val="1"/>
                <w:bCs w:val="1"/>
                <w:color w:val="auto"/>
              </w:rPr>
              <w:t>2021</w:t>
            </w:r>
          </w:p>
        </w:tc>
      </w:tr>
      <w:tr>
        <w:trPr>
          <w:trHeight w:val="234"/>
        </w:trPr>
        <w:tc>
          <w:tcPr>
            <w:tcW w:w="9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for the year</w:t>
            </w:r>
          </w:p>
        </w:tc>
        <w:tc>
          <w:tcPr>
            <w:tcW w:w="1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4,859,510</w:t>
            </w:r>
          </w:p>
        </w:tc>
        <w:tc>
          <w:tcPr>
            <w:tcW w:w="11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3,619,128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40" w:type="dxa"/>
            <w:vAlign w:val="bottom"/>
            <w:gridSpan w:val="2"/>
          </w:tcPr>
          <w:p>
            <w:pPr>
              <w:spacing w:after="0"/>
              <w:rPr>
                <w:sz w:val="20"/>
                <w:szCs w:val="20"/>
                <w:color w:val="auto"/>
              </w:rPr>
            </w:pPr>
            <w:r>
              <w:rPr>
                <w:rFonts w:ascii="Arial" w:cs="Arial" w:eastAsia="Arial" w:hAnsi="Arial"/>
                <w:sz w:val="18"/>
                <w:szCs w:val="18"/>
                <w:color w:val="auto"/>
              </w:rPr>
              <w:t>Net loss (gain) on investments at fair value</w:t>
            </w: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through other comprehensive income</w:t>
            </w:r>
          </w:p>
        </w:tc>
        <w:tc>
          <w:tcPr>
            <w:tcW w:w="1580" w:type="dxa"/>
            <w:vAlign w:val="bottom"/>
            <w:shd w:val="clear" w:color="auto" w:fill="CCEEFF"/>
          </w:tcPr>
          <w:p>
            <w:pPr>
              <w:jc w:val="center"/>
              <w:ind w:left="91"/>
              <w:spacing w:after="0"/>
              <w:rPr>
                <w:sz w:val="20"/>
                <w:szCs w:val="20"/>
                <w:color w:val="auto"/>
              </w:rPr>
            </w:pPr>
            <w:r>
              <w:rPr>
                <w:rFonts w:ascii="Arial" w:cs="Arial" w:eastAsia="Arial" w:hAnsi="Arial"/>
                <w:sz w:val="18"/>
                <w:szCs w:val="18"/>
                <w:color w:val="auto"/>
                <w:w w:val="99"/>
              </w:rPr>
              <w:t>5(b)</w:t>
            </w:r>
          </w:p>
        </w:tc>
        <w:tc>
          <w:tcPr>
            <w:tcW w:w="122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(39,901)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(125,330)</w:t>
            </w:r>
          </w:p>
        </w:tc>
        <w:tc>
          <w:tcPr>
            <w:tcW w:w="0" w:type="dxa"/>
            <w:vAlign w:val="bottom"/>
          </w:tcPr>
          <w:p>
            <w:pPr>
              <w:spacing w:after="0"/>
              <w:rPr>
                <w:sz w:val="1"/>
                <w:szCs w:val="1"/>
                <w:color w:val="auto"/>
              </w:rPr>
            </w:pPr>
          </w:p>
        </w:tc>
      </w:tr>
      <w:tr>
        <w:trPr>
          <w:trHeight w:val="206"/>
        </w:trPr>
        <w:tc>
          <w:tcPr>
            <w:tcW w:w="7340" w:type="dxa"/>
            <w:vAlign w:val="bottom"/>
            <w:gridSpan w:val="2"/>
          </w:tcPr>
          <w:p>
            <w:pPr>
              <w:spacing w:after="0" w:line="199" w:lineRule="exact"/>
              <w:rPr>
                <w:sz w:val="20"/>
                <w:szCs w:val="20"/>
                <w:color w:val="auto"/>
              </w:rPr>
            </w:pPr>
            <w:r>
              <w:rPr>
                <w:rFonts w:ascii="Arial" w:cs="Arial" w:eastAsia="Arial" w:hAnsi="Arial"/>
                <w:sz w:val="18"/>
                <w:szCs w:val="18"/>
                <w:color w:val="auto"/>
              </w:rPr>
              <w:t>Income tax</w:t>
            </w:r>
          </w:p>
        </w:tc>
        <w:tc>
          <w:tcPr>
            <w:tcW w:w="1580" w:type="dxa"/>
            <w:vAlign w:val="bottom"/>
          </w:tcPr>
          <w:p>
            <w:pPr>
              <w:spacing w:after="0"/>
              <w:rPr>
                <w:sz w:val="17"/>
                <w:szCs w:val="17"/>
                <w:color w:val="auto"/>
              </w:rPr>
            </w:pPr>
          </w:p>
        </w:tc>
        <w:tc>
          <w:tcPr>
            <w:tcW w:w="1220" w:type="dxa"/>
            <w:vAlign w:val="bottom"/>
            <w:gridSpan w:val="2"/>
          </w:tcPr>
          <w:p>
            <w:pPr>
              <w:jc w:val="right"/>
              <w:ind w:right="143"/>
              <w:spacing w:after="0" w:line="199" w:lineRule="exact"/>
              <w:rPr>
                <w:sz w:val="20"/>
                <w:szCs w:val="20"/>
                <w:color w:val="auto"/>
              </w:rPr>
            </w:pPr>
            <w:r>
              <w:rPr>
                <w:rFonts w:ascii="Arial" w:cs="Arial" w:eastAsia="Arial" w:hAnsi="Arial"/>
                <w:sz w:val="18"/>
                <w:szCs w:val="18"/>
                <w:color w:val="auto"/>
              </w:rPr>
              <w:t>1,993</w:t>
            </w:r>
          </w:p>
        </w:tc>
        <w:tc>
          <w:tcPr>
            <w:tcW w:w="1100" w:type="dxa"/>
            <w:vAlign w:val="bottom"/>
            <w:gridSpan w:val="2"/>
          </w:tcPr>
          <w:p>
            <w:pPr>
              <w:jc w:val="right"/>
              <w:ind w:right="23"/>
              <w:spacing w:after="0" w:line="199" w:lineRule="exact"/>
              <w:rPr>
                <w:sz w:val="20"/>
                <w:szCs w:val="20"/>
                <w:color w:val="auto"/>
              </w:rPr>
            </w:pPr>
            <w:r>
              <w:rPr>
                <w:rFonts w:ascii="Arial" w:cs="Arial" w:eastAsia="Arial" w:hAnsi="Arial"/>
                <w:sz w:val="18"/>
                <w:szCs w:val="18"/>
                <w:color w:val="auto"/>
              </w:rPr>
              <w:t>4,985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(37,908</w:t>
            </w:r>
          </w:p>
        </w:tc>
        <w:tc>
          <w:tcPr>
            <w:tcW w:w="220" w:type="dxa"/>
            <w:vAlign w:val="bottom"/>
            <w:tcBorders>
              <w:top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9"/>
              </w:rPr>
              <w:t>)</w:t>
            </w:r>
          </w:p>
        </w:tc>
        <w:tc>
          <w:tcPr>
            <w:tcW w:w="100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(120,345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12"/>
        </w:trPr>
        <w:tc>
          <w:tcPr>
            <w:tcW w:w="734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Unrealized gain of subsidiaries</w:t>
            </w:r>
          </w:p>
        </w:tc>
        <w:tc>
          <w:tcPr>
            <w:tcW w:w="1580" w:type="dxa"/>
            <w:vAlign w:val="bottom"/>
            <w:shd w:val="clear" w:color="auto" w:fill="CCEEFF"/>
          </w:tcPr>
          <w:p>
            <w:pPr>
              <w:jc w:val="center"/>
              <w:ind w:left="111"/>
              <w:spacing w:after="0" w:line="199" w:lineRule="exact"/>
              <w:rPr>
                <w:sz w:val="20"/>
                <w:szCs w:val="20"/>
                <w:color w:val="auto"/>
              </w:rPr>
            </w:pPr>
            <w:r>
              <w:rPr>
                <w:rFonts w:ascii="Arial" w:cs="Arial" w:eastAsia="Arial" w:hAnsi="Arial"/>
                <w:sz w:val="18"/>
                <w:szCs w:val="18"/>
                <w:color w:val="auto"/>
                <w:w w:val="96"/>
              </w:rPr>
              <w:t>5(c)</w:t>
            </w:r>
          </w:p>
        </w:tc>
        <w:tc>
          <w:tcPr>
            <w:tcW w:w="1220" w:type="dxa"/>
            <w:vAlign w:val="bottom"/>
            <w:gridSpan w:val="2"/>
            <w:shd w:val="clear" w:color="auto" w:fill="CCEEFF"/>
          </w:tcPr>
          <w:p>
            <w:pPr>
              <w:jc w:val="right"/>
              <w:ind w:right="83"/>
              <w:spacing w:after="0" w:line="199" w:lineRule="exact"/>
              <w:rPr>
                <w:sz w:val="20"/>
                <w:szCs w:val="20"/>
                <w:color w:val="auto"/>
              </w:rPr>
            </w:pPr>
            <w:r>
              <w:rPr>
                <w:rFonts w:ascii="Arial" w:cs="Arial" w:eastAsia="Arial" w:hAnsi="Arial"/>
                <w:sz w:val="18"/>
                <w:szCs w:val="18"/>
                <w:color w:val="auto"/>
              </w:rPr>
              <w:t>(805,815)</w:t>
            </w:r>
          </w:p>
        </w:tc>
        <w:tc>
          <w:tcPr>
            <w:tcW w:w="11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(1,612,224)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32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8"/>
                <w:szCs w:val="18"/>
                <w:color w:val="auto"/>
              </w:rPr>
              <w:t>(805,815</w:t>
            </w:r>
          </w:p>
        </w:tc>
        <w:tc>
          <w:tcPr>
            <w:tcW w:w="220" w:type="dxa"/>
            <w:vAlign w:val="bottom"/>
            <w:tcBorders>
              <w:top w:val="single" w:sz="8" w:color="CCEEFF"/>
            </w:tcBorders>
          </w:tcPr>
          <w:p>
            <w:pPr>
              <w:jc w:val="right"/>
              <w:ind w:right="83"/>
              <w:spacing w:after="0"/>
              <w:rPr>
                <w:sz w:val="20"/>
                <w:szCs w:val="20"/>
                <w:color w:val="auto"/>
              </w:rPr>
            </w:pPr>
            <w:r>
              <w:rPr>
                <w:rFonts w:ascii="Arial" w:cs="Arial" w:eastAsia="Arial" w:hAnsi="Arial"/>
                <w:sz w:val="15"/>
                <w:szCs w:val="15"/>
                <w:color w:val="auto"/>
                <w:w w:val="79"/>
              </w:rPr>
              <w:t>)</w:t>
            </w:r>
          </w:p>
        </w:tc>
        <w:tc>
          <w:tcPr>
            <w:tcW w:w="1000" w:type="dxa"/>
            <w:vAlign w:val="bottom"/>
            <w:tcBorders>
              <w:top w:val="single" w:sz="8" w:color="auto"/>
            </w:tcBorders>
          </w:tcPr>
          <w:p>
            <w:pPr>
              <w:jc w:val="right"/>
              <w:spacing w:after="0" w:line="186" w:lineRule="exact"/>
              <w:rPr>
                <w:sz w:val="20"/>
                <w:szCs w:val="20"/>
                <w:color w:val="auto"/>
              </w:rPr>
            </w:pPr>
            <w:r>
              <w:rPr>
                <w:rFonts w:ascii="Arial" w:cs="Arial" w:eastAsia="Arial" w:hAnsi="Arial"/>
                <w:sz w:val="18"/>
                <w:szCs w:val="18"/>
                <w:color w:val="auto"/>
              </w:rPr>
              <w:t>(1,612,224</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340" w:type="dxa"/>
            <w:vAlign w:val="bottom"/>
            <w:gridSpan w:val="2"/>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1580" w:type="dxa"/>
            <w:vAlign w:val="bottom"/>
          </w:tcPr>
          <w:p>
            <w:pPr>
              <w:jc w:val="center"/>
              <w:ind w:left="111"/>
              <w:spacing w:after="0"/>
              <w:rPr>
                <w:sz w:val="20"/>
                <w:szCs w:val="20"/>
                <w:color w:val="auto"/>
              </w:rPr>
            </w:pPr>
            <w:r>
              <w:rPr>
                <w:rFonts w:ascii="Arial" w:cs="Arial" w:eastAsia="Arial" w:hAnsi="Arial"/>
                <w:sz w:val="18"/>
                <w:szCs w:val="18"/>
                <w:color w:val="auto"/>
                <w:w w:val="96"/>
              </w:rPr>
              <w:t>5(c)</w:t>
            </w:r>
          </w:p>
        </w:tc>
        <w:tc>
          <w:tcPr>
            <w:tcW w:w="1220" w:type="dxa"/>
            <w:vAlign w:val="bottom"/>
            <w:gridSpan w:val="2"/>
          </w:tcPr>
          <w:p>
            <w:pPr>
              <w:jc w:val="right"/>
              <w:ind w:right="83"/>
              <w:spacing w:after="0"/>
              <w:rPr>
                <w:sz w:val="20"/>
                <w:szCs w:val="20"/>
                <w:color w:val="auto"/>
              </w:rPr>
            </w:pPr>
            <w:r>
              <w:rPr>
                <w:rFonts w:ascii="Arial" w:cs="Arial" w:eastAsia="Arial" w:hAnsi="Arial"/>
                <w:sz w:val="18"/>
                <w:szCs w:val="18"/>
                <w:color w:val="auto"/>
              </w:rPr>
              <w:t>(93,103)</w:t>
            </w:r>
          </w:p>
        </w:tc>
        <w:tc>
          <w:tcPr>
            <w:tcW w:w="1100" w:type="dxa"/>
            <w:vAlign w:val="bottom"/>
            <w:gridSpan w:val="2"/>
          </w:tcPr>
          <w:p>
            <w:pPr>
              <w:jc w:val="right"/>
              <w:ind w:right="23"/>
              <w:spacing w:after="0"/>
              <w:rPr>
                <w:sz w:val="20"/>
                <w:szCs w:val="20"/>
                <w:color w:val="auto"/>
              </w:rPr>
            </w:pPr>
            <w:r>
              <w:rPr>
                <w:rFonts w:ascii="Arial" w:cs="Arial" w:eastAsia="Arial" w:hAnsi="Arial"/>
                <w:sz w:val="18"/>
                <w:szCs w:val="18"/>
                <w:color w:val="auto"/>
              </w:rPr>
              <w:t>185,570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movement in hedges of net</w:t>
            </w:r>
          </w:p>
        </w:tc>
        <w:tc>
          <w:tcPr>
            <w:tcW w:w="1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340" w:type="dxa"/>
            <w:vAlign w:val="bottom"/>
            <w:gridSpan w:val="2"/>
          </w:tcPr>
          <w:p>
            <w:pPr>
              <w:spacing w:after="0" w:line="199" w:lineRule="exact"/>
              <w:rPr>
                <w:sz w:val="20"/>
                <w:szCs w:val="20"/>
                <w:color w:val="auto"/>
              </w:rPr>
            </w:pPr>
            <w:r>
              <w:rPr>
                <w:rFonts w:ascii="Arial" w:cs="Arial" w:eastAsia="Arial" w:hAnsi="Arial"/>
                <w:sz w:val="18"/>
                <w:szCs w:val="18"/>
                <w:color w:val="auto"/>
              </w:rPr>
              <w:t>investments in foreign businesses</w:t>
            </w:r>
          </w:p>
        </w:tc>
        <w:tc>
          <w:tcPr>
            <w:tcW w:w="1580" w:type="dxa"/>
            <w:vAlign w:val="bottom"/>
          </w:tcPr>
          <w:p>
            <w:pPr>
              <w:jc w:val="center"/>
              <w:ind w:left="111"/>
              <w:spacing w:after="0" w:line="199" w:lineRule="exact"/>
              <w:rPr>
                <w:sz w:val="20"/>
                <w:szCs w:val="20"/>
                <w:color w:val="auto"/>
              </w:rPr>
            </w:pPr>
            <w:r>
              <w:rPr>
                <w:rFonts w:ascii="Arial" w:cs="Arial" w:eastAsia="Arial" w:hAnsi="Arial"/>
                <w:sz w:val="18"/>
                <w:szCs w:val="18"/>
                <w:color w:val="auto"/>
                <w:w w:val="99"/>
              </w:rPr>
              <w:t>6</w:t>
            </w:r>
          </w:p>
        </w:tc>
        <w:tc>
          <w:tcPr>
            <w:tcW w:w="1220" w:type="dxa"/>
            <w:vAlign w:val="bottom"/>
            <w:gridSpan w:val="2"/>
          </w:tcPr>
          <w:p>
            <w:pPr>
              <w:jc w:val="right"/>
              <w:ind w:right="143"/>
              <w:spacing w:after="0" w:line="199" w:lineRule="exact"/>
              <w:rPr>
                <w:sz w:val="20"/>
                <w:szCs w:val="20"/>
                <w:color w:val="auto"/>
              </w:rPr>
            </w:pPr>
            <w:r>
              <w:rPr>
                <w:rFonts w:ascii="Arial" w:cs="Arial" w:eastAsia="Arial" w:hAnsi="Arial"/>
                <w:sz w:val="18"/>
                <w:szCs w:val="18"/>
                <w:color w:val="auto"/>
              </w:rPr>
              <w:t>39,584</w:t>
            </w:r>
          </w:p>
        </w:tc>
        <w:tc>
          <w:tcPr>
            <w:tcW w:w="110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(57,319)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2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(53,519</w:t>
            </w:r>
          </w:p>
        </w:tc>
        <w:tc>
          <w:tcPr>
            <w:tcW w:w="220" w:type="dxa"/>
            <w:vAlign w:val="bottom"/>
            <w:tcBorders>
              <w:top w:val="single" w:sz="8" w:color="CCEEFF"/>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9"/>
              </w:rPr>
              <w:t>)</w:t>
            </w:r>
          </w:p>
        </w:tc>
        <w:tc>
          <w:tcPr>
            <w:tcW w:w="1000" w:type="dxa"/>
            <w:vAlign w:val="bottom"/>
            <w:tcBorders>
              <w:top w:val="single" w:sz="8" w:color="auto"/>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128,251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34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rPr>
              <w:t>Other comprehensive income (loss) for the year, net of income tax</w:t>
            </w:r>
          </w:p>
        </w:tc>
        <w:tc>
          <w:tcPr>
            <w:tcW w:w="158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(897,242)</w:t>
            </w: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(1,604,318)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year, net of income tax</w:t>
            </w:r>
          </w:p>
        </w:tc>
        <w:tc>
          <w:tcPr>
            <w:tcW w:w="15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3,962,268</w:t>
            </w:r>
          </w:p>
        </w:tc>
        <w:tc>
          <w:tcPr>
            <w:tcW w:w="11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2,014,810</w:t>
            </w:r>
          </w:p>
        </w:tc>
        <w:tc>
          <w:tcPr>
            <w:tcW w:w="0" w:type="dxa"/>
            <w:vAlign w:val="bottom"/>
          </w:tcPr>
          <w:p>
            <w:pPr>
              <w:spacing w:after="0"/>
              <w:rPr>
                <w:sz w:val="1"/>
                <w:szCs w:val="1"/>
                <w:color w:val="auto"/>
              </w:rPr>
            </w:pPr>
          </w:p>
        </w:tc>
      </w:tr>
      <w:tr>
        <w:trPr>
          <w:trHeight w:val="411"/>
        </w:trPr>
        <w:tc>
          <w:tcPr>
            <w:tcW w:w="7340" w:type="dxa"/>
            <w:vAlign w:val="bottom"/>
            <w:gridSpan w:val="2"/>
          </w:tcPr>
          <w:p>
            <w:pPr>
              <w:spacing w:after="0"/>
              <w:rPr>
                <w:sz w:val="20"/>
                <w:szCs w:val="20"/>
                <w:color w:val="auto"/>
              </w:rPr>
            </w:pPr>
            <w:r>
              <w:rPr>
                <w:rFonts w:ascii="Arial" w:cs="Arial" w:eastAsia="Arial" w:hAnsi="Arial"/>
                <w:sz w:val="18"/>
                <w:szCs w:val="18"/>
                <w:color w:val="auto"/>
              </w:rPr>
              <w:t>The attached notes from page 10 to 39 are part of the separate financial statements.</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4"/>
        </w:trPr>
        <w:tc>
          <w:tcPr>
            <w:tcW w:w="7340" w:type="dxa"/>
            <w:vAlign w:val="bottom"/>
            <w:gridSpan w:val="2"/>
          </w:tcPr>
          <w:p>
            <w:pPr>
              <w:ind w:left="5460"/>
              <w:spacing w:after="0"/>
              <w:rPr>
                <w:sz w:val="20"/>
                <w:szCs w:val="20"/>
                <w:color w:val="auto"/>
              </w:rPr>
            </w:pPr>
            <w:r>
              <w:rPr>
                <w:rFonts w:ascii="Arial" w:cs="Arial" w:eastAsia="Arial" w:hAnsi="Arial"/>
                <w:sz w:val="18"/>
                <w:szCs w:val="18"/>
                <w:color w:val="auto"/>
              </w:rPr>
              <w:t>- 6 -</w:t>
            </w: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3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(Free translation from the original in Spanish)</w:t>
      </w:r>
    </w:p>
    <w:p>
      <w:pPr>
        <w:spacing w:after="0"/>
        <w:rPr>
          <w:sz w:val="20"/>
          <w:szCs w:val="20"/>
          <w:color w:val="auto"/>
        </w:rPr>
      </w:pPr>
      <w:r>
        <w:rPr>
          <w:rFonts w:ascii="Arial" w:cs="Arial" w:eastAsia="Arial" w:hAnsi="Arial"/>
          <w:sz w:val="18"/>
          <w:szCs w:val="18"/>
          <w:b w:val="1"/>
          <w:bCs w:val="1"/>
          <w:color w:val="auto"/>
        </w:rPr>
        <w:t>CREDICORP LTD.</w:t>
      </w:r>
    </w:p>
    <w:p>
      <w:pPr>
        <w:spacing w:after="0" w:line="169" w:lineRule="exact"/>
        <w:rPr>
          <w:sz w:val="20"/>
          <w:szCs w:val="20"/>
          <w:color w:val="auto"/>
        </w:rPr>
      </w:pPr>
    </w:p>
    <w:p>
      <w:pPr>
        <w:ind w:right="4880"/>
        <w:spacing w:after="0" w:line="262" w:lineRule="auto"/>
        <w:rPr>
          <w:sz w:val="20"/>
          <w:szCs w:val="20"/>
          <w:color w:val="auto"/>
        </w:rPr>
      </w:pPr>
      <w:r>
        <w:rPr>
          <w:rFonts w:ascii="Arial" w:cs="Arial" w:eastAsia="Arial" w:hAnsi="Arial"/>
          <w:sz w:val="18"/>
          <w:szCs w:val="18"/>
          <w:b w:val="1"/>
          <w:bCs w:val="1"/>
          <w:color w:val="auto"/>
        </w:rPr>
        <w:t>SEPARATE STATEMENT OF CHANGES IN EQUITY FOR THE YEARS ENDED DECEMBER 31, 2022 AND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Number of</w:t>
            </w: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Capital</w:t>
            </w: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Treasury</w:t>
            </w: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Unrealized</w:t>
            </w: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stock</w:t>
            </w: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stock</w:t>
            </w: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surplus</w:t>
            </w: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rPr>
              <w:t>Reserves</w:t>
            </w: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results</w:t>
            </w: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earnings</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18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18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2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2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2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520" w:type="dxa"/>
            <w:vAlign w:val="bottom"/>
            <w:tcBorders>
              <w:right w:val="single" w:sz="8" w:color="CCEEFF"/>
            </w:tcBorders>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Balances at January 1, 2021</w:t>
            </w:r>
          </w:p>
        </w:tc>
        <w:tc>
          <w:tcPr>
            <w:tcW w:w="9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94,382,317</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1,318,993</w:t>
            </w:r>
          </w:p>
        </w:tc>
        <w:tc>
          <w:tcPr>
            <w:tcW w:w="9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384,542</w:t>
            </w:r>
          </w:p>
        </w:tc>
        <w:tc>
          <w:tcPr>
            <w:tcW w:w="10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21,070,409</w:t>
            </w:r>
          </w:p>
        </w:tc>
        <w:tc>
          <w:tcPr>
            <w:tcW w:w="200" w:type="dxa"/>
            <w:vAlign w:val="bottom"/>
            <w:tcBorders>
              <w:right w:val="single" w:sz="8" w:color="CCEEFF"/>
            </w:tcBorders>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1,666,481</w:t>
            </w:r>
          </w:p>
        </w:tc>
        <w:tc>
          <w:tcPr>
            <w:tcW w:w="114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4,584,898</w:t>
            </w:r>
          </w:p>
        </w:tc>
        <w:tc>
          <w:tcPr>
            <w:tcW w:w="108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29,025,323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tcPr>
          <w:p>
            <w:pPr>
              <w:spacing w:after="0" w:line="199" w:lineRule="exact"/>
              <w:rPr>
                <w:sz w:val="20"/>
                <w:szCs w:val="20"/>
                <w:color w:val="auto"/>
              </w:rPr>
            </w:pPr>
            <w:r>
              <w:rPr>
                <w:rFonts w:ascii="Arial" w:cs="Arial" w:eastAsia="Arial" w:hAnsi="Arial"/>
                <w:sz w:val="18"/>
                <w:szCs w:val="18"/>
                <w:color w:val="auto"/>
              </w:rPr>
              <w:t>Net income</w:t>
            </w:r>
          </w:p>
        </w:tc>
        <w:tc>
          <w:tcPr>
            <w:tcW w:w="98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6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3,619,128</w:t>
            </w:r>
          </w:p>
        </w:tc>
        <w:tc>
          <w:tcPr>
            <w:tcW w:w="108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3,619,128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tcBorders>
              <w:right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Other comprehensive income</w:t>
            </w:r>
          </w:p>
        </w:tc>
        <w:tc>
          <w:tcPr>
            <w:tcW w:w="9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(1,604,318)</w:t>
            </w:r>
          </w:p>
        </w:tc>
        <w:tc>
          <w:tcPr>
            <w:tcW w:w="114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(1,604,318)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540" w:type="dxa"/>
            <w:vAlign w:val="bottom"/>
            <w:gridSpan w:val="2"/>
          </w:tcPr>
          <w:p>
            <w:pPr>
              <w:spacing w:after="0" w:line="186" w:lineRule="exact"/>
              <w:rPr>
                <w:sz w:val="20"/>
                <w:szCs w:val="20"/>
                <w:color w:val="auto"/>
              </w:rPr>
            </w:pPr>
            <w:r>
              <w:rPr>
                <w:rFonts w:ascii="Arial" w:cs="Arial" w:eastAsia="Arial" w:hAnsi="Arial"/>
                <w:sz w:val="18"/>
                <w:szCs w:val="18"/>
                <w:color w:val="auto"/>
              </w:rPr>
              <w:t>Total comprehensive income</w:t>
            </w:r>
          </w:p>
        </w:tc>
        <w:tc>
          <w:tcPr>
            <w:tcW w:w="980" w:type="dxa"/>
            <w:vAlign w:val="bottom"/>
          </w:tcPr>
          <w:p>
            <w:pPr>
              <w:jc w:val="right"/>
              <w:spacing w:after="0" w:line="18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880" w:type="dxa"/>
            <w:vAlign w:val="bottom"/>
          </w:tcPr>
          <w:p>
            <w:pPr>
              <w:jc w:val="right"/>
              <w:spacing w:after="0" w:line="18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780" w:type="dxa"/>
            <w:vAlign w:val="bottom"/>
          </w:tcPr>
          <w:p>
            <w:pPr>
              <w:jc w:val="right"/>
              <w:spacing w:after="0" w:line="18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760" w:type="dxa"/>
            <w:vAlign w:val="bottom"/>
          </w:tcPr>
          <w:p>
            <w:pPr>
              <w:jc w:val="right"/>
              <w:spacing w:after="0" w:line="18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8"/>
                <w:szCs w:val="18"/>
                <w:color w:val="auto"/>
              </w:rPr>
              <w:t>(1,604,318)</w:t>
            </w:r>
          </w:p>
        </w:tc>
        <w:tc>
          <w:tcPr>
            <w:tcW w:w="200" w:type="dxa"/>
            <w:vAlign w:val="bottom"/>
          </w:tcPr>
          <w:p>
            <w:pPr>
              <w:spacing w:after="0"/>
              <w:rPr>
                <w:sz w:val="16"/>
                <w:szCs w:val="16"/>
                <w:color w:val="auto"/>
              </w:rPr>
            </w:pPr>
          </w:p>
        </w:tc>
        <w:tc>
          <w:tcPr>
            <w:tcW w:w="940" w:type="dxa"/>
            <w:vAlign w:val="bottom"/>
          </w:tcPr>
          <w:p>
            <w:pPr>
              <w:jc w:val="right"/>
              <w:spacing w:after="0" w:line="186" w:lineRule="exact"/>
              <w:rPr>
                <w:sz w:val="20"/>
                <w:szCs w:val="20"/>
                <w:color w:val="auto"/>
              </w:rPr>
            </w:pPr>
            <w:r>
              <w:rPr>
                <w:rFonts w:ascii="Arial" w:cs="Arial" w:eastAsia="Arial" w:hAnsi="Arial"/>
                <w:sz w:val="18"/>
                <w:szCs w:val="18"/>
                <w:color w:val="auto"/>
              </w:rPr>
              <w:t>3,619,128</w:t>
            </w:r>
          </w:p>
        </w:tc>
        <w:tc>
          <w:tcPr>
            <w:tcW w:w="200" w:type="dxa"/>
            <w:vAlign w:val="bottom"/>
          </w:tcPr>
          <w:p>
            <w:pPr>
              <w:spacing w:after="0"/>
              <w:rPr>
                <w:sz w:val="16"/>
                <w:szCs w:val="16"/>
                <w:color w:val="auto"/>
              </w:rPr>
            </w:pPr>
          </w:p>
        </w:tc>
        <w:tc>
          <w:tcPr>
            <w:tcW w:w="980" w:type="dxa"/>
            <w:vAlign w:val="bottom"/>
          </w:tcPr>
          <w:p>
            <w:pPr>
              <w:jc w:val="right"/>
              <w:spacing w:after="0" w:line="186" w:lineRule="exact"/>
              <w:rPr>
                <w:sz w:val="20"/>
                <w:szCs w:val="20"/>
                <w:color w:val="auto"/>
              </w:rPr>
            </w:pPr>
            <w:r>
              <w:rPr>
                <w:rFonts w:ascii="Arial" w:cs="Arial" w:eastAsia="Arial" w:hAnsi="Arial"/>
                <w:sz w:val="18"/>
                <w:szCs w:val="18"/>
                <w:color w:val="auto"/>
              </w:rPr>
              <w:t>2,014,810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tcBorders>
              <w:right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Dividend distribution, Note 8(c)</w:t>
            </w:r>
          </w:p>
        </w:tc>
        <w:tc>
          <w:tcPr>
            <w:tcW w:w="9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3"/>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(471,912)</w:t>
            </w:r>
          </w:p>
        </w:tc>
        <w:tc>
          <w:tcPr>
            <w:tcW w:w="116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(471,912)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tcPr>
          <w:p>
            <w:pPr>
              <w:spacing w:after="0" w:line="199" w:lineRule="exact"/>
              <w:rPr>
                <w:sz w:val="20"/>
                <w:szCs w:val="20"/>
                <w:color w:val="auto"/>
              </w:rPr>
            </w:pPr>
            <w:r>
              <w:rPr>
                <w:rFonts w:ascii="Arial" w:cs="Arial" w:eastAsia="Arial" w:hAnsi="Arial"/>
                <w:sz w:val="18"/>
                <w:szCs w:val="18"/>
                <w:color w:val="auto"/>
              </w:rPr>
              <w:t>Transfer to legal reserve, Note</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40" w:type="dxa"/>
            <w:vAlign w:val="bottom"/>
            <w:gridSpan w:val="2"/>
          </w:tcPr>
          <w:p>
            <w:pPr>
              <w:spacing w:after="0" w:line="200" w:lineRule="exact"/>
              <w:rPr>
                <w:sz w:val="20"/>
                <w:szCs w:val="20"/>
                <w:color w:val="auto"/>
              </w:rPr>
            </w:pPr>
            <w:r>
              <w:rPr>
                <w:rFonts w:ascii="Arial" w:cs="Arial" w:eastAsia="Arial" w:hAnsi="Arial"/>
                <w:sz w:val="18"/>
                <w:szCs w:val="18"/>
                <w:color w:val="auto"/>
              </w:rPr>
              <w:t>8(b)</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346,994</w:t>
            </w:r>
          </w:p>
        </w:tc>
        <w:tc>
          <w:tcPr>
            <w:tcW w:w="200" w:type="dxa"/>
            <w:vAlign w:val="bottom"/>
          </w:tcPr>
          <w:p>
            <w:pPr>
              <w:spacing w:after="0"/>
              <w:rPr>
                <w:sz w:val="17"/>
                <w:szCs w:val="17"/>
                <w:color w:val="auto"/>
              </w:rPr>
            </w:pPr>
          </w:p>
        </w:tc>
        <w:tc>
          <w:tcPr>
            <w:tcW w:w="116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(346,994)</w:t>
            </w:r>
          </w:p>
        </w:tc>
        <w:tc>
          <w:tcPr>
            <w:tcW w:w="108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20" w:type="dxa"/>
            <w:vAlign w:val="bottom"/>
            <w:tcBorders>
              <w:right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Others</w:t>
            </w:r>
          </w:p>
        </w:tc>
        <w:tc>
          <w:tcPr>
            <w:tcW w:w="9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37,365</w:t>
            </w:r>
          </w:p>
        </w:tc>
        <w:tc>
          <w:tcPr>
            <w:tcW w:w="108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37,365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520" w:type="dxa"/>
            <w:vAlign w:val="bottom"/>
            <w:tcBorders>
              <w:top w:val="single" w:sz="8" w:color="CCEEFF"/>
            </w:tcBorders>
          </w:tcPr>
          <w:p>
            <w:pPr>
              <w:spacing w:after="0" w:line="150" w:lineRule="exact"/>
              <w:rPr>
                <w:sz w:val="20"/>
                <w:szCs w:val="20"/>
                <w:color w:val="auto"/>
              </w:rPr>
            </w:pPr>
            <w:r>
              <w:rPr>
                <w:rFonts w:ascii="Arial" w:cs="Arial" w:eastAsia="Arial" w:hAnsi="Arial"/>
                <w:sz w:val="17"/>
                <w:szCs w:val="17"/>
                <w:b w:val="1"/>
                <w:bCs w:val="1"/>
                <w:color w:val="auto"/>
              </w:rPr>
              <w:t>Balances at December 31,</w:t>
            </w:r>
          </w:p>
        </w:tc>
        <w:tc>
          <w:tcPr>
            <w:tcW w:w="9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2021</w:t>
            </w:r>
          </w:p>
        </w:tc>
        <w:tc>
          <w:tcPr>
            <w:tcW w:w="980" w:type="dxa"/>
            <w:vAlign w:val="bottom"/>
          </w:tcPr>
          <w:p>
            <w:pPr>
              <w:jc w:val="right"/>
              <w:spacing w:after="0"/>
              <w:rPr>
                <w:sz w:val="20"/>
                <w:szCs w:val="20"/>
                <w:color w:val="auto"/>
              </w:rPr>
            </w:pPr>
            <w:r>
              <w:rPr>
                <w:rFonts w:ascii="Arial" w:cs="Arial" w:eastAsia="Arial" w:hAnsi="Arial"/>
                <w:sz w:val="18"/>
                <w:szCs w:val="18"/>
                <w:color w:val="auto"/>
              </w:rPr>
              <w:t>94,382,317</w:t>
            </w: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1,318,993</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384,542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20,945,491</w:t>
            </w: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62,163</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7,894,397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30,605,586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tcBorders>
              <w:right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4,859,510</w:t>
            </w:r>
          </w:p>
        </w:tc>
        <w:tc>
          <w:tcPr>
            <w:tcW w:w="108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4,859,510</w:t>
            </w:r>
          </w:p>
        </w:tc>
        <w:tc>
          <w:tcPr>
            <w:tcW w:w="0" w:type="dxa"/>
            <w:vAlign w:val="bottom"/>
          </w:tcPr>
          <w:p>
            <w:pPr>
              <w:spacing w:after="0"/>
              <w:rPr>
                <w:sz w:val="1"/>
                <w:szCs w:val="1"/>
                <w:color w:val="auto"/>
              </w:rPr>
            </w:pPr>
          </w:p>
        </w:tc>
      </w:tr>
      <w:tr>
        <w:trPr>
          <w:trHeight w:val="206"/>
        </w:trPr>
        <w:tc>
          <w:tcPr>
            <w:tcW w:w="2540" w:type="dxa"/>
            <w:vAlign w:val="bottom"/>
            <w:gridSpan w:val="2"/>
          </w:tcPr>
          <w:p>
            <w:pPr>
              <w:spacing w:after="0" w:line="199" w:lineRule="exact"/>
              <w:rPr>
                <w:sz w:val="20"/>
                <w:szCs w:val="20"/>
                <w:color w:val="auto"/>
              </w:rPr>
            </w:pPr>
            <w:r>
              <w:rPr>
                <w:rFonts w:ascii="Arial" w:cs="Arial" w:eastAsia="Arial" w:hAnsi="Arial"/>
                <w:sz w:val="18"/>
                <w:szCs w:val="18"/>
                <w:color w:val="auto"/>
              </w:rPr>
              <w:t>Other comprehensive income</w:t>
            </w:r>
          </w:p>
        </w:tc>
        <w:tc>
          <w:tcPr>
            <w:tcW w:w="98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6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rPr>
              <w:t>(897,242)</w:t>
            </w:r>
          </w:p>
        </w:tc>
        <w:tc>
          <w:tcPr>
            <w:tcW w:w="114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(897,242)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tcBorders>
              <w:top w:val="single" w:sz="8" w:color="CCEEFF"/>
              <w:right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Total comprehensive income</w:t>
            </w:r>
          </w:p>
        </w:tc>
        <w:tc>
          <w:tcPr>
            <w:tcW w:w="98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(897,242)</w:t>
            </w: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4,859,510</w:t>
            </w: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3,962,268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20" w:type="dxa"/>
            <w:vAlign w:val="bottom"/>
          </w:tcPr>
          <w:p>
            <w:pPr>
              <w:spacing w:after="0" w:line="199" w:lineRule="exact"/>
              <w:rPr>
                <w:sz w:val="20"/>
                <w:szCs w:val="20"/>
                <w:color w:val="auto"/>
              </w:rPr>
            </w:pPr>
            <w:r>
              <w:rPr>
                <w:rFonts w:ascii="Arial" w:cs="Arial" w:eastAsia="Arial" w:hAnsi="Arial"/>
                <w:sz w:val="18"/>
                <w:szCs w:val="18"/>
                <w:color w:val="auto"/>
              </w:rPr>
              <w:t>Dividend distribution, Note 8(c)</w:t>
            </w:r>
          </w:p>
        </w:tc>
        <w:tc>
          <w:tcPr>
            <w:tcW w:w="98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6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rPr>
              <w:t>(1,415,734)</w:t>
            </w:r>
          </w:p>
        </w:tc>
        <w:tc>
          <w:tcPr>
            <w:tcW w:w="108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(1,415,734)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tcBorders>
              <w:right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Transfer to legal reserve, Note</w:t>
            </w: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20" w:type="dxa"/>
            <w:vAlign w:val="bottom"/>
            <w:tcBorders>
              <w:right w:val="single" w:sz="8" w:color="CCEEFF"/>
            </w:tcBorders>
            <w:shd w:val="clear" w:color="auto" w:fill="CCEEFF"/>
          </w:tcPr>
          <w:p>
            <w:pPr>
              <w:spacing w:after="0" w:line="200" w:lineRule="exact"/>
              <w:rPr>
                <w:sz w:val="20"/>
                <w:szCs w:val="20"/>
                <w:color w:val="auto"/>
              </w:rPr>
            </w:pPr>
            <w:r>
              <w:rPr>
                <w:rFonts w:ascii="Arial" w:cs="Arial" w:eastAsia="Arial" w:hAnsi="Arial"/>
                <w:sz w:val="18"/>
                <w:szCs w:val="18"/>
                <w:color w:val="auto"/>
              </w:rPr>
              <w:t>8(b)</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200"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3"/>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2,354,859</w:t>
            </w:r>
          </w:p>
        </w:tc>
        <w:tc>
          <w:tcPr>
            <w:tcW w:w="116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(2,354,859)</w:t>
            </w:r>
          </w:p>
        </w:tc>
        <w:tc>
          <w:tcPr>
            <w:tcW w:w="10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540" w:type="dxa"/>
            <w:vAlign w:val="bottom"/>
            <w:gridSpan w:val="2"/>
          </w:tcPr>
          <w:p>
            <w:pPr>
              <w:spacing w:after="0" w:line="199" w:lineRule="exact"/>
              <w:rPr>
                <w:sz w:val="20"/>
                <w:szCs w:val="20"/>
                <w:color w:val="auto"/>
              </w:rPr>
            </w:pPr>
            <w:r>
              <w:rPr>
                <w:rFonts w:ascii="Arial" w:cs="Arial" w:eastAsia="Arial" w:hAnsi="Arial"/>
                <w:sz w:val="18"/>
                <w:szCs w:val="18"/>
                <w:color w:val="auto"/>
              </w:rPr>
              <w:t>Others</w:t>
            </w:r>
          </w:p>
        </w:tc>
        <w:tc>
          <w:tcPr>
            <w:tcW w:w="98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6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9,306</w:t>
            </w:r>
          </w:p>
        </w:tc>
        <w:tc>
          <w:tcPr>
            <w:tcW w:w="108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9,306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20" w:type="dxa"/>
            <w:vAlign w:val="bottom"/>
            <w:tcBorders>
              <w:right w:val="single" w:sz="8" w:color="CCEEFF"/>
            </w:tcBorders>
            <w:vMerge w:val="restart"/>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Balances at December</w:t>
            </w: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tcBorders>
              <w:right w:val="single" w:sz="8" w:color="CCEEFF"/>
            </w:tcBorders>
            <w:vMerge w:val="continue"/>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94,382,317</w:t>
            </w:r>
          </w:p>
        </w:tc>
        <w:tc>
          <w:tcPr>
            <w:tcW w:w="2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1,318,993</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384,542</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23,300,350</w:t>
            </w:r>
          </w:p>
        </w:tc>
        <w:tc>
          <w:tcPr>
            <w:tcW w:w="200" w:type="dxa"/>
            <w:vAlign w:val="bottom"/>
            <w:tcBorders>
              <w:right w:val="single" w:sz="8" w:color="CCEEFF"/>
            </w:tcBorders>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(835,079)</w:t>
            </w: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8,992,620</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33,161,426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31,2022</w:t>
            </w:r>
          </w:p>
        </w:tc>
        <w:tc>
          <w:tcPr>
            <w:tcW w:w="9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attached notes from page 10 to 39 are part of the separate financial statements.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348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(Free translation from the original in Spanish)</w:t>
      </w:r>
    </w:p>
    <w:p>
      <w:pPr>
        <w:spacing w:after="0"/>
        <w:rPr>
          <w:sz w:val="20"/>
          <w:szCs w:val="20"/>
          <w:color w:val="auto"/>
        </w:rPr>
      </w:pPr>
      <w:r>
        <w:rPr>
          <w:rFonts w:ascii="Arial" w:cs="Arial" w:eastAsia="Arial" w:hAnsi="Arial"/>
          <w:sz w:val="18"/>
          <w:szCs w:val="18"/>
          <w:b w:val="1"/>
          <w:bCs w:val="1"/>
          <w:color w:val="auto"/>
        </w:rPr>
        <w:t>CREDICORP LTD.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80" w:type="dxa"/>
            <w:vAlign w:val="bottom"/>
            <w:gridSpan w:val="5"/>
          </w:tcPr>
          <w:p>
            <w:pPr>
              <w:spacing w:after="0"/>
              <w:rPr>
                <w:sz w:val="20"/>
                <w:szCs w:val="20"/>
                <w:color w:val="auto"/>
              </w:rPr>
            </w:pPr>
            <w:r>
              <w:rPr>
                <w:rFonts w:ascii="Arial" w:cs="Arial" w:eastAsia="Arial" w:hAnsi="Arial"/>
                <w:sz w:val="18"/>
                <w:szCs w:val="18"/>
                <w:b w:val="1"/>
                <w:bCs w:val="1"/>
                <w:color w:val="auto"/>
              </w:rPr>
              <w:t>SEPARATE STATEMENT OF CASH FLOWS</w:t>
            </w:r>
          </w:p>
        </w:tc>
        <w:tc>
          <w:tcPr>
            <w:tcW w:w="960" w:type="dxa"/>
            <w:vAlign w:val="bottom"/>
          </w:tcPr>
          <w:p>
            <w:pPr>
              <w:spacing w:after="0"/>
              <w:rPr>
                <w:sz w:val="20"/>
                <w:szCs w:val="20"/>
                <w:color w:val="auto"/>
              </w:rPr>
            </w:pPr>
          </w:p>
        </w:tc>
      </w:tr>
      <w:tr>
        <w:trPr>
          <w:trHeight w:val="363"/>
        </w:trPr>
        <w:tc>
          <w:tcPr>
            <w:tcW w:w="8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For the year ended</w:t>
            </w:r>
          </w:p>
        </w:tc>
      </w:tr>
      <w:tr>
        <w:trPr>
          <w:trHeight w:val="229"/>
        </w:trPr>
        <w:tc>
          <w:tcPr>
            <w:tcW w:w="8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December 31,</w:t>
            </w:r>
          </w:p>
        </w:tc>
        <w:tc>
          <w:tcPr>
            <w:tcW w:w="960" w:type="dxa"/>
            <w:vAlign w:val="bottom"/>
            <w:tcBorders>
              <w:bottom w:val="single" w:sz="8" w:color="auto"/>
            </w:tcBorders>
          </w:tcPr>
          <w:p>
            <w:pPr>
              <w:spacing w:after="0"/>
              <w:rPr>
                <w:sz w:val="19"/>
                <w:szCs w:val="19"/>
                <w:color w:val="auto"/>
              </w:rPr>
            </w:pPr>
          </w:p>
        </w:tc>
      </w:tr>
      <w:tr>
        <w:trPr>
          <w:trHeight w:val="219"/>
        </w:trPr>
        <w:tc>
          <w:tcPr>
            <w:tcW w:w="814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Note</w:t>
            </w: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2022</w:t>
            </w:r>
          </w:p>
        </w:tc>
        <w:tc>
          <w:tcPr>
            <w:tcW w:w="960" w:type="dxa"/>
            <w:vAlign w:val="bottom"/>
          </w:tcPr>
          <w:p>
            <w:pPr>
              <w:spacing w:after="0"/>
              <w:rPr>
                <w:sz w:val="20"/>
                <w:szCs w:val="20"/>
                <w:color w:val="auto"/>
              </w:rPr>
            </w:pPr>
            <w:r>
              <w:rPr>
                <w:rFonts w:ascii="Arial" w:cs="Arial" w:eastAsia="Arial" w:hAnsi="Arial"/>
                <w:sz w:val="18"/>
                <w:szCs w:val="18"/>
                <w:b w:val="1"/>
                <w:bCs w:val="1"/>
                <w:color w:val="auto"/>
              </w:rPr>
              <w:t>2021</w:t>
            </w:r>
          </w:p>
        </w:tc>
      </w:tr>
      <w:tr>
        <w:trPr>
          <w:trHeight w:val="234"/>
        </w:trPr>
        <w:tc>
          <w:tcPr>
            <w:tcW w:w="814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940" w:type="dxa"/>
            <w:vAlign w:val="bottom"/>
          </w:tcPr>
          <w:p>
            <w:pPr>
              <w:spacing w:after="0"/>
              <w:rPr>
                <w:sz w:val="18"/>
                <w:szCs w:val="18"/>
                <w:color w:val="auto"/>
              </w:rPr>
            </w:pPr>
          </w:p>
        </w:tc>
        <w:tc>
          <w:tcPr>
            <w:tcW w:w="1160" w:type="dxa"/>
            <w:vAlign w:val="bottom"/>
            <w:gridSpan w:val="2"/>
          </w:tcPr>
          <w:p>
            <w:pPr>
              <w:jc w:val="right"/>
              <w:ind w:right="143"/>
              <w:spacing w:after="0"/>
              <w:rPr>
                <w:sz w:val="20"/>
                <w:szCs w:val="20"/>
                <w:color w:val="auto"/>
              </w:rPr>
            </w:pPr>
            <w:r>
              <w:rPr>
                <w:rFonts w:ascii="Arial" w:cs="Arial" w:eastAsia="Arial" w:hAnsi="Arial"/>
                <w:sz w:val="18"/>
                <w:szCs w:val="18"/>
                <w:color w:val="auto"/>
              </w:rPr>
              <w:t>4,859,510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3,619,128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investments in subsidiaries and associates</w:t>
            </w:r>
          </w:p>
        </w:tc>
        <w:tc>
          <w:tcPr>
            <w:tcW w:w="194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5(c)</w:t>
            </w:r>
          </w:p>
        </w:tc>
        <w:tc>
          <w:tcPr>
            <w:tcW w:w="11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(5,156,494)</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(3,751,366)</w:t>
            </w:r>
          </w:p>
        </w:tc>
        <w:tc>
          <w:tcPr>
            <w:tcW w:w="0" w:type="dxa"/>
            <w:vAlign w:val="bottom"/>
          </w:tcPr>
          <w:p>
            <w:pPr>
              <w:spacing w:after="0"/>
              <w:rPr>
                <w:sz w:val="1"/>
                <w:szCs w:val="1"/>
                <w:color w:val="auto"/>
              </w:rPr>
            </w:pPr>
          </w:p>
        </w:tc>
      </w:tr>
      <w:tr>
        <w:trPr>
          <w:trHeight w:val="212"/>
        </w:trPr>
        <w:tc>
          <w:tcPr>
            <w:tcW w:w="7080" w:type="dxa"/>
            <w:vAlign w:val="bottom"/>
            <w:gridSpan w:val="2"/>
          </w:tcPr>
          <w:p>
            <w:pPr>
              <w:spacing w:after="0"/>
              <w:rPr>
                <w:sz w:val="20"/>
                <w:szCs w:val="20"/>
                <w:color w:val="auto"/>
              </w:rPr>
            </w:pPr>
            <w:r>
              <w:rPr>
                <w:rFonts w:ascii="Arial" w:cs="Arial" w:eastAsia="Arial" w:hAnsi="Arial"/>
                <w:sz w:val="18"/>
                <w:szCs w:val="18"/>
                <w:color w:val="auto"/>
              </w:rPr>
              <w:t>Deferred income tax</w:t>
            </w:r>
          </w:p>
        </w:tc>
        <w:tc>
          <w:tcPr>
            <w:tcW w:w="1940" w:type="dxa"/>
            <w:vAlign w:val="bottom"/>
          </w:tcPr>
          <w:p>
            <w:pPr>
              <w:spacing w:after="0"/>
              <w:rPr>
                <w:sz w:val="18"/>
                <w:szCs w:val="18"/>
                <w:color w:val="auto"/>
              </w:rPr>
            </w:pPr>
          </w:p>
        </w:tc>
        <w:tc>
          <w:tcPr>
            <w:tcW w:w="1160" w:type="dxa"/>
            <w:vAlign w:val="bottom"/>
            <w:gridSpan w:val="2"/>
          </w:tcPr>
          <w:p>
            <w:pPr>
              <w:jc w:val="right"/>
              <w:ind w:right="143"/>
              <w:spacing w:after="0"/>
              <w:rPr>
                <w:sz w:val="20"/>
                <w:szCs w:val="20"/>
                <w:color w:val="auto"/>
              </w:rPr>
            </w:pPr>
            <w:r>
              <w:rPr>
                <w:rFonts w:ascii="Arial" w:cs="Arial" w:eastAsia="Arial" w:hAnsi="Arial"/>
                <w:sz w:val="18"/>
                <w:szCs w:val="18"/>
                <w:color w:val="auto"/>
              </w:rPr>
              <w:t>72,800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78,082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Variation of investments fair value</w:t>
            </w:r>
          </w:p>
        </w:tc>
        <w:tc>
          <w:tcPr>
            <w:tcW w:w="19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45,831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12"/>
        </w:trPr>
        <w:tc>
          <w:tcPr>
            <w:tcW w:w="7080" w:type="dxa"/>
            <w:vAlign w:val="bottom"/>
            <w:gridSpan w:val="2"/>
          </w:tcPr>
          <w:p>
            <w:pPr>
              <w:spacing w:after="0"/>
              <w:rPr>
                <w:sz w:val="20"/>
                <w:szCs w:val="20"/>
                <w:color w:val="auto"/>
              </w:rPr>
            </w:pPr>
            <w:r>
              <w:rPr>
                <w:rFonts w:ascii="Arial" w:cs="Arial" w:eastAsia="Arial" w:hAnsi="Arial"/>
                <w:sz w:val="18"/>
                <w:szCs w:val="18"/>
                <w:color w:val="auto"/>
              </w:rPr>
              <w:t>Amortization of bond issuance expenses</w:t>
            </w:r>
          </w:p>
        </w:tc>
        <w:tc>
          <w:tcPr>
            <w:tcW w:w="1940" w:type="dxa"/>
            <w:vAlign w:val="bottom"/>
          </w:tcPr>
          <w:p>
            <w:pPr>
              <w:spacing w:after="0"/>
              <w:rPr>
                <w:sz w:val="18"/>
                <w:szCs w:val="18"/>
                <w:color w:val="auto"/>
              </w:rPr>
            </w:pPr>
          </w:p>
        </w:tc>
        <w:tc>
          <w:tcPr>
            <w:tcW w:w="1160" w:type="dxa"/>
            <w:vAlign w:val="bottom"/>
            <w:gridSpan w:val="2"/>
          </w:tcPr>
          <w:p>
            <w:pPr>
              <w:jc w:val="right"/>
              <w:ind w:right="143"/>
              <w:spacing w:after="0"/>
              <w:rPr>
                <w:sz w:val="20"/>
                <w:szCs w:val="20"/>
                <w:color w:val="auto"/>
              </w:rPr>
            </w:pPr>
            <w:r>
              <w:rPr>
                <w:rFonts w:ascii="Arial" w:cs="Arial" w:eastAsia="Arial" w:hAnsi="Arial"/>
                <w:sz w:val="18"/>
                <w:szCs w:val="18"/>
                <w:color w:val="auto"/>
              </w:rPr>
              <w:t>3,848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0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Other assets (Other Liabilities)</w:t>
            </w:r>
          </w:p>
        </w:tc>
        <w:tc>
          <w:tcPr>
            <w:tcW w:w="19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3"/>
              <w:spacing w:after="0" w:line="199" w:lineRule="exact"/>
              <w:rPr>
                <w:sz w:val="20"/>
                <w:szCs w:val="20"/>
                <w:color w:val="auto"/>
              </w:rPr>
            </w:pPr>
            <w:r>
              <w:rPr>
                <w:rFonts w:ascii="Arial" w:cs="Arial" w:eastAsia="Arial" w:hAnsi="Arial"/>
                <w:sz w:val="18"/>
                <w:szCs w:val="18"/>
                <w:color w:val="auto"/>
              </w:rPr>
              <w:t>96,093</w:t>
            </w:r>
          </w:p>
        </w:tc>
        <w:tc>
          <w:tcPr>
            <w:tcW w:w="106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49,714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9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8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rPr>
              <w:t>Net cash flow from operating activities</w:t>
            </w:r>
          </w:p>
        </w:tc>
        <w:tc>
          <w:tcPr>
            <w:tcW w:w="1940" w:type="dxa"/>
            <w:vAlign w:val="bottom"/>
          </w:tcPr>
          <w:p>
            <w:pPr>
              <w:spacing w:after="0"/>
              <w:rPr>
                <w:sz w:val="16"/>
                <w:szCs w:val="16"/>
                <w:color w:val="auto"/>
              </w:rPr>
            </w:pPr>
          </w:p>
        </w:tc>
        <w:tc>
          <w:tcPr>
            <w:tcW w:w="940" w:type="dxa"/>
            <w:vAlign w:val="bottom"/>
          </w:tcPr>
          <w:p>
            <w:pPr>
              <w:jc w:val="right"/>
              <w:spacing w:after="0" w:line="186" w:lineRule="exact"/>
              <w:rPr>
                <w:sz w:val="20"/>
                <w:szCs w:val="20"/>
                <w:color w:val="auto"/>
              </w:rPr>
            </w:pPr>
            <w:r>
              <w:rPr>
                <w:rFonts w:ascii="Arial" w:cs="Arial" w:eastAsia="Arial" w:hAnsi="Arial"/>
                <w:sz w:val="18"/>
                <w:szCs w:val="18"/>
                <w:color w:val="auto"/>
              </w:rPr>
              <w:t>(78,412)</w:t>
            </w:r>
          </w:p>
        </w:tc>
        <w:tc>
          <w:tcPr>
            <w:tcW w:w="22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8"/>
                <w:szCs w:val="18"/>
                <w:color w:val="auto"/>
              </w:rPr>
              <w:t>(3,036)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06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 at fair value through profit or loss</w:t>
            </w:r>
          </w:p>
        </w:tc>
        <w:tc>
          <w:tcPr>
            <w:tcW w:w="1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(1,617,788)</w:t>
            </w:r>
          </w:p>
        </w:tc>
        <w:tc>
          <w:tcPr>
            <w:tcW w:w="0" w:type="dxa"/>
            <w:vAlign w:val="bottom"/>
          </w:tcPr>
          <w:p>
            <w:pPr>
              <w:spacing w:after="0"/>
              <w:rPr>
                <w:sz w:val="1"/>
                <w:szCs w:val="1"/>
                <w:color w:val="auto"/>
              </w:rPr>
            </w:pPr>
          </w:p>
        </w:tc>
      </w:tr>
      <w:tr>
        <w:trPr>
          <w:trHeight w:val="212"/>
        </w:trPr>
        <w:tc>
          <w:tcPr>
            <w:tcW w:w="7080" w:type="dxa"/>
            <w:vAlign w:val="bottom"/>
            <w:gridSpan w:val="2"/>
          </w:tcPr>
          <w:p>
            <w:pPr>
              <w:spacing w:after="0"/>
              <w:rPr>
                <w:sz w:val="20"/>
                <w:szCs w:val="20"/>
                <w:color w:val="auto"/>
              </w:rPr>
            </w:pPr>
            <w:r>
              <w:rPr>
                <w:rFonts w:ascii="Arial" w:cs="Arial" w:eastAsia="Arial" w:hAnsi="Arial"/>
                <w:sz w:val="18"/>
                <w:szCs w:val="18"/>
                <w:color w:val="auto"/>
              </w:rPr>
              <w:t>Sale of investments at fair value through profit or loss</w:t>
            </w:r>
          </w:p>
        </w:tc>
        <w:tc>
          <w:tcPr>
            <w:tcW w:w="19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913,242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Puchase of Investments at fair value through other comprehensive income</w:t>
            </w:r>
          </w:p>
        </w:tc>
        <w:tc>
          <w:tcPr>
            <w:tcW w:w="1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(8,598)</w:t>
            </w:r>
          </w:p>
        </w:tc>
        <w:tc>
          <w:tcPr>
            <w:tcW w:w="0" w:type="dxa"/>
            <w:vAlign w:val="bottom"/>
          </w:tcPr>
          <w:p>
            <w:pPr>
              <w:spacing w:after="0"/>
              <w:rPr>
                <w:sz w:val="1"/>
                <w:szCs w:val="1"/>
                <w:color w:val="auto"/>
              </w:rPr>
            </w:pPr>
          </w:p>
        </w:tc>
      </w:tr>
      <w:tr>
        <w:trPr>
          <w:trHeight w:val="212"/>
        </w:trPr>
        <w:tc>
          <w:tcPr>
            <w:tcW w:w="7080" w:type="dxa"/>
            <w:vAlign w:val="bottom"/>
            <w:gridSpan w:val="2"/>
          </w:tcPr>
          <w:p>
            <w:pPr>
              <w:spacing w:after="0"/>
              <w:rPr>
                <w:sz w:val="20"/>
                <w:szCs w:val="20"/>
                <w:color w:val="auto"/>
              </w:rPr>
            </w:pPr>
            <w:r>
              <w:rPr>
                <w:rFonts w:ascii="Arial" w:cs="Arial" w:eastAsia="Arial" w:hAnsi="Arial"/>
                <w:sz w:val="18"/>
                <w:szCs w:val="18"/>
                <w:color w:val="auto"/>
              </w:rPr>
              <w:t>Capital contribution in subsidiaries</w:t>
            </w:r>
          </w:p>
        </w:tc>
        <w:tc>
          <w:tcPr>
            <w:tcW w:w="1940" w:type="dxa"/>
            <w:vAlign w:val="bottom"/>
          </w:tcPr>
          <w:p>
            <w:pPr>
              <w:ind w:left="1240"/>
              <w:spacing w:after="0"/>
              <w:rPr>
                <w:sz w:val="20"/>
                <w:szCs w:val="20"/>
                <w:color w:val="auto"/>
              </w:rPr>
            </w:pPr>
            <w:r>
              <w:rPr>
                <w:rFonts w:ascii="Arial" w:cs="Arial" w:eastAsia="Arial" w:hAnsi="Arial"/>
                <w:sz w:val="18"/>
                <w:szCs w:val="18"/>
                <w:color w:val="auto"/>
              </w:rPr>
              <w:t>5(c)</w:t>
            </w:r>
          </w:p>
        </w:tc>
        <w:tc>
          <w:tcPr>
            <w:tcW w:w="1160" w:type="dxa"/>
            <w:vAlign w:val="bottom"/>
            <w:gridSpan w:val="2"/>
          </w:tcPr>
          <w:p>
            <w:pPr>
              <w:jc w:val="right"/>
              <w:ind w:right="83"/>
              <w:spacing w:after="0"/>
              <w:rPr>
                <w:sz w:val="20"/>
                <w:szCs w:val="20"/>
                <w:color w:val="auto"/>
              </w:rPr>
            </w:pPr>
            <w:r>
              <w:rPr>
                <w:rFonts w:ascii="Arial" w:cs="Arial" w:eastAsia="Arial" w:hAnsi="Arial"/>
                <w:sz w:val="18"/>
                <w:szCs w:val="18"/>
                <w:color w:val="auto"/>
              </w:rPr>
              <w:t>(60,000)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(364,639)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0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Dividends received</w:t>
            </w:r>
          </w:p>
        </w:tc>
        <w:tc>
          <w:tcPr>
            <w:tcW w:w="1940" w:type="dxa"/>
            <w:vAlign w:val="bottom"/>
            <w:shd w:val="clear" w:color="auto" w:fill="CCEEFF"/>
          </w:tcPr>
          <w:p>
            <w:pPr>
              <w:ind w:left="1240"/>
              <w:spacing w:after="0" w:line="199" w:lineRule="exact"/>
              <w:rPr>
                <w:sz w:val="20"/>
                <w:szCs w:val="20"/>
                <w:color w:val="auto"/>
              </w:rPr>
            </w:pPr>
            <w:r>
              <w:rPr>
                <w:rFonts w:ascii="Arial" w:cs="Arial" w:eastAsia="Arial" w:hAnsi="Arial"/>
                <w:sz w:val="18"/>
                <w:szCs w:val="18"/>
                <w:color w:val="auto"/>
              </w:rPr>
              <w:t>5(c)</w:t>
            </w:r>
          </w:p>
        </w:tc>
        <w:tc>
          <w:tcPr>
            <w:tcW w:w="1160" w:type="dxa"/>
            <w:vAlign w:val="bottom"/>
            <w:gridSpan w:val="2"/>
            <w:shd w:val="clear" w:color="auto" w:fill="CCEEFF"/>
          </w:tcPr>
          <w:p>
            <w:pPr>
              <w:jc w:val="right"/>
              <w:ind w:right="143"/>
              <w:spacing w:after="0" w:line="199" w:lineRule="exact"/>
              <w:rPr>
                <w:sz w:val="20"/>
                <w:szCs w:val="20"/>
                <w:color w:val="auto"/>
              </w:rPr>
            </w:pPr>
            <w:r>
              <w:rPr>
                <w:rFonts w:ascii="Arial" w:cs="Arial" w:eastAsia="Arial" w:hAnsi="Arial"/>
                <w:sz w:val="18"/>
                <w:szCs w:val="18"/>
                <w:color w:val="auto"/>
              </w:rPr>
              <w:t>1,527,710</w:t>
            </w:r>
          </w:p>
        </w:tc>
        <w:tc>
          <w:tcPr>
            <w:tcW w:w="106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645,567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9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08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rPr>
              <w:t>Net cash flows from investing activities</w:t>
            </w:r>
          </w:p>
        </w:tc>
        <w:tc>
          <w:tcPr>
            <w:tcW w:w="1940" w:type="dxa"/>
            <w:vAlign w:val="bottom"/>
          </w:tcPr>
          <w:p>
            <w:pPr>
              <w:spacing w:after="0"/>
              <w:rPr>
                <w:sz w:val="16"/>
                <w:szCs w:val="16"/>
                <w:color w:val="auto"/>
              </w:rPr>
            </w:pPr>
          </w:p>
        </w:tc>
        <w:tc>
          <w:tcPr>
            <w:tcW w:w="940" w:type="dxa"/>
            <w:vAlign w:val="bottom"/>
          </w:tcPr>
          <w:p>
            <w:pPr>
              <w:jc w:val="right"/>
              <w:spacing w:after="0" w:line="186" w:lineRule="exact"/>
              <w:rPr>
                <w:sz w:val="20"/>
                <w:szCs w:val="20"/>
                <w:color w:val="auto"/>
              </w:rPr>
            </w:pPr>
            <w:r>
              <w:rPr>
                <w:rFonts w:ascii="Arial" w:cs="Arial" w:eastAsia="Arial" w:hAnsi="Arial"/>
                <w:sz w:val="18"/>
                <w:szCs w:val="18"/>
                <w:color w:val="auto"/>
              </w:rPr>
              <w:t>1,467,710</w:t>
            </w:r>
          </w:p>
        </w:tc>
        <w:tc>
          <w:tcPr>
            <w:tcW w:w="220" w:type="dxa"/>
            <w:vAlign w:val="bottom"/>
          </w:tcPr>
          <w:p>
            <w:pPr>
              <w:spacing w:after="0"/>
              <w:rPr>
                <w:sz w:val="16"/>
                <w:szCs w:val="16"/>
                <w:color w:val="auto"/>
              </w:rPr>
            </w:pPr>
          </w:p>
        </w:tc>
        <w:tc>
          <w:tcPr>
            <w:tcW w:w="960" w:type="dxa"/>
            <w:vAlign w:val="bottom"/>
          </w:tcPr>
          <w:p>
            <w:pPr>
              <w:jc w:val="right"/>
              <w:spacing w:after="0" w:line="186" w:lineRule="exact"/>
              <w:rPr>
                <w:sz w:val="20"/>
                <w:szCs w:val="20"/>
                <w:color w:val="auto"/>
              </w:rPr>
            </w:pPr>
            <w:r>
              <w:rPr>
                <w:rFonts w:ascii="Arial" w:cs="Arial" w:eastAsia="Arial" w:hAnsi="Arial"/>
                <w:sz w:val="18"/>
                <w:szCs w:val="18"/>
                <w:color w:val="auto"/>
              </w:rPr>
              <w:t>(432,216)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06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Cupon payments</w:t>
            </w:r>
          </w:p>
        </w:tc>
        <w:tc>
          <w:tcPr>
            <w:tcW w:w="194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8(c)</w:t>
            </w:r>
          </w:p>
        </w:tc>
        <w:tc>
          <w:tcPr>
            <w:tcW w:w="116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(52,045)</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(54,795)</w:t>
            </w:r>
          </w:p>
        </w:tc>
        <w:tc>
          <w:tcPr>
            <w:tcW w:w="0" w:type="dxa"/>
            <w:vAlign w:val="bottom"/>
          </w:tcPr>
          <w:p>
            <w:pPr>
              <w:spacing w:after="0"/>
              <w:rPr>
                <w:sz w:val="1"/>
                <w:szCs w:val="1"/>
                <w:color w:val="auto"/>
              </w:rPr>
            </w:pPr>
          </w:p>
        </w:tc>
      </w:tr>
      <w:tr>
        <w:trPr>
          <w:trHeight w:val="206"/>
        </w:trPr>
        <w:tc>
          <w:tcPr>
            <w:tcW w:w="7080" w:type="dxa"/>
            <w:vAlign w:val="bottom"/>
            <w:gridSpan w:val="2"/>
          </w:tcPr>
          <w:p>
            <w:pPr>
              <w:spacing w:after="0" w:line="199" w:lineRule="exact"/>
              <w:rPr>
                <w:sz w:val="20"/>
                <w:szCs w:val="20"/>
                <w:color w:val="auto"/>
              </w:rPr>
            </w:pPr>
            <w:r>
              <w:rPr>
                <w:rFonts w:ascii="Arial" w:cs="Arial" w:eastAsia="Arial" w:hAnsi="Arial"/>
                <w:sz w:val="18"/>
                <w:szCs w:val="18"/>
                <w:color w:val="auto"/>
              </w:rPr>
              <w:t>Dividend distribution</w:t>
            </w:r>
          </w:p>
        </w:tc>
        <w:tc>
          <w:tcPr>
            <w:tcW w:w="1940" w:type="dxa"/>
            <w:vAlign w:val="bottom"/>
          </w:tcPr>
          <w:p>
            <w:pPr>
              <w:spacing w:after="0"/>
              <w:rPr>
                <w:sz w:val="17"/>
                <w:szCs w:val="17"/>
                <w:color w:val="auto"/>
              </w:rPr>
            </w:pPr>
          </w:p>
        </w:tc>
        <w:tc>
          <w:tcPr>
            <w:tcW w:w="1160" w:type="dxa"/>
            <w:vAlign w:val="bottom"/>
            <w:gridSpan w:val="2"/>
          </w:tcPr>
          <w:p>
            <w:pPr>
              <w:jc w:val="right"/>
              <w:ind w:right="83"/>
              <w:spacing w:after="0" w:line="199" w:lineRule="exact"/>
              <w:rPr>
                <w:sz w:val="20"/>
                <w:szCs w:val="20"/>
                <w:color w:val="auto"/>
              </w:rPr>
            </w:pPr>
            <w:r>
              <w:rPr>
                <w:rFonts w:ascii="Arial" w:cs="Arial" w:eastAsia="Arial" w:hAnsi="Arial"/>
                <w:sz w:val="18"/>
                <w:szCs w:val="18"/>
                <w:color w:val="auto"/>
              </w:rPr>
              <w:t>(1,415,734)</w:t>
            </w:r>
          </w:p>
        </w:tc>
        <w:tc>
          <w:tcPr>
            <w:tcW w:w="1060" w:type="dxa"/>
            <w:vAlign w:val="bottom"/>
            <w:gridSpan w:val="2"/>
          </w:tcPr>
          <w:p>
            <w:pPr>
              <w:jc w:val="right"/>
              <w:ind w:right="40"/>
              <w:spacing w:after="0" w:line="199" w:lineRule="exact"/>
              <w:rPr>
                <w:sz w:val="20"/>
                <w:szCs w:val="20"/>
                <w:color w:val="auto"/>
              </w:rPr>
            </w:pPr>
            <w:r>
              <w:rPr>
                <w:rFonts w:ascii="Arial" w:cs="Arial" w:eastAsia="Arial" w:hAnsi="Arial"/>
                <w:sz w:val="18"/>
                <w:szCs w:val="18"/>
                <w:color w:val="auto"/>
              </w:rPr>
              <w:t>(471,912)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60" w:type="dxa"/>
            <w:vAlign w:val="bottom"/>
            <w:tcBorders>
              <w:top w:val="single" w:sz="8" w:color="CCEEFF"/>
            </w:tcBorders>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Net cash flows from financing activities</w:t>
            </w:r>
          </w:p>
        </w:tc>
        <w:tc>
          <w:tcPr>
            <w:tcW w:w="194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(1,467,779</w:t>
            </w:r>
          </w:p>
        </w:tc>
        <w:tc>
          <w:tcPr>
            <w:tcW w:w="220" w:type="dxa"/>
            <w:vAlign w:val="bottom"/>
            <w:tcBorders>
              <w:top w:val="single" w:sz="8" w:color="CCEEFF"/>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(526,707)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of cash and cash equivalents</w:t>
            </w:r>
          </w:p>
        </w:tc>
        <w:tc>
          <w:tcPr>
            <w:tcW w:w="1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80" w:type="dxa"/>
            <w:vAlign w:val="bottom"/>
            <w:gridSpan w:val="2"/>
          </w:tcPr>
          <w:p>
            <w:pPr>
              <w:spacing w:after="0"/>
              <w:rPr>
                <w:sz w:val="20"/>
                <w:szCs w:val="20"/>
                <w:color w:val="auto"/>
              </w:rPr>
            </w:pPr>
            <w:r>
              <w:rPr>
                <w:rFonts w:ascii="Arial" w:cs="Arial" w:eastAsia="Arial" w:hAnsi="Arial"/>
                <w:sz w:val="18"/>
                <w:szCs w:val="18"/>
                <w:color w:val="auto"/>
              </w:rPr>
              <w:t>before effect of changes in exchange rate</w:t>
            </w:r>
          </w:p>
        </w:tc>
        <w:tc>
          <w:tcPr>
            <w:tcW w:w="1940" w:type="dxa"/>
            <w:vAlign w:val="bottom"/>
          </w:tcPr>
          <w:p>
            <w:pPr>
              <w:spacing w:after="0"/>
              <w:rPr>
                <w:sz w:val="18"/>
                <w:szCs w:val="18"/>
                <w:color w:val="auto"/>
              </w:rPr>
            </w:pPr>
          </w:p>
        </w:tc>
        <w:tc>
          <w:tcPr>
            <w:tcW w:w="1160" w:type="dxa"/>
            <w:vAlign w:val="bottom"/>
            <w:gridSpan w:val="2"/>
          </w:tcPr>
          <w:p>
            <w:pPr>
              <w:jc w:val="right"/>
              <w:ind w:right="83"/>
              <w:spacing w:after="0"/>
              <w:rPr>
                <w:sz w:val="20"/>
                <w:szCs w:val="20"/>
                <w:color w:val="auto"/>
              </w:rPr>
            </w:pPr>
            <w:r>
              <w:rPr>
                <w:rFonts w:ascii="Arial" w:cs="Arial" w:eastAsia="Arial" w:hAnsi="Arial"/>
                <w:sz w:val="18"/>
                <w:szCs w:val="18"/>
                <w:color w:val="auto"/>
              </w:rPr>
              <w:t>(78,481)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(961,959)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changes in exchange rate of cash and cash equivalents</w:t>
            </w:r>
          </w:p>
        </w:tc>
        <w:tc>
          <w:tcPr>
            <w:tcW w:w="19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3"/>
              <w:spacing w:after="0"/>
              <w:rPr>
                <w:sz w:val="20"/>
                <w:szCs w:val="20"/>
                <w:color w:val="auto"/>
              </w:rPr>
            </w:pPr>
            <w:r>
              <w:rPr>
                <w:rFonts w:ascii="Arial" w:cs="Arial" w:eastAsia="Arial" w:hAnsi="Arial"/>
                <w:sz w:val="18"/>
                <w:szCs w:val="18"/>
                <w:color w:val="auto"/>
              </w:rPr>
              <w:t>35,776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26,896</w:t>
            </w:r>
          </w:p>
        </w:tc>
        <w:tc>
          <w:tcPr>
            <w:tcW w:w="0" w:type="dxa"/>
            <w:vAlign w:val="bottom"/>
          </w:tcPr>
          <w:p>
            <w:pPr>
              <w:spacing w:after="0"/>
              <w:rPr>
                <w:sz w:val="1"/>
                <w:szCs w:val="1"/>
                <w:color w:val="auto"/>
              </w:rPr>
            </w:pPr>
          </w:p>
        </w:tc>
      </w:tr>
      <w:tr>
        <w:trPr>
          <w:trHeight w:val="206"/>
        </w:trPr>
        <w:tc>
          <w:tcPr>
            <w:tcW w:w="7080" w:type="dxa"/>
            <w:vAlign w:val="bottom"/>
            <w:gridSpan w:val="2"/>
          </w:tcPr>
          <w:p>
            <w:pPr>
              <w:spacing w:after="0" w:line="199" w:lineRule="exact"/>
              <w:rPr>
                <w:sz w:val="20"/>
                <w:szCs w:val="20"/>
                <w:color w:val="auto"/>
              </w:rPr>
            </w:pPr>
            <w:r>
              <w:rPr>
                <w:rFonts w:ascii="Arial" w:cs="Arial" w:eastAsia="Arial" w:hAnsi="Arial"/>
                <w:sz w:val="18"/>
                <w:szCs w:val="18"/>
                <w:color w:val="auto"/>
              </w:rPr>
              <w:t>Cash and cash equivalents at the beginning of the year</w:t>
            </w:r>
          </w:p>
        </w:tc>
        <w:tc>
          <w:tcPr>
            <w:tcW w:w="1940" w:type="dxa"/>
            <w:vAlign w:val="bottom"/>
          </w:tcPr>
          <w:p>
            <w:pPr>
              <w:spacing w:after="0"/>
              <w:rPr>
                <w:sz w:val="17"/>
                <w:szCs w:val="17"/>
                <w:color w:val="auto"/>
              </w:rPr>
            </w:pPr>
          </w:p>
        </w:tc>
        <w:tc>
          <w:tcPr>
            <w:tcW w:w="940" w:type="dxa"/>
            <w:vAlign w:val="bottom"/>
          </w:tcPr>
          <w:p>
            <w:pPr>
              <w:jc w:val="right"/>
              <w:spacing w:after="0" w:line="199" w:lineRule="exact"/>
              <w:rPr>
                <w:sz w:val="20"/>
                <w:szCs w:val="20"/>
                <w:color w:val="auto"/>
              </w:rPr>
            </w:pPr>
            <w:r>
              <w:rPr>
                <w:rFonts w:ascii="Arial" w:cs="Arial" w:eastAsia="Arial" w:hAnsi="Arial"/>
                <w:sz w:val="18"/>
                <w:szCs w:val="18"/>
                <w:color w:val="auto"/>
              </w:rPr>
              <w:t>179,104</w:t>
            </w:r>
          </w:p>
        </w:tc>
        <w:tc>
          <w:tcPr>
            <w:tcW w:w="220" w:type="dxa"/>
            <w:vAlign w:val="bottom"/>
          </w:tcPr>
          <w:p>
            <w:pPr>
              <w:spacing w:after="0"/>
              <w:rPr>
                <w:sz w:val="17"/>
                <w:szCs w:val="17"/>
                <w:color w:val="auto"/>
              </w:rPr>
            </w:pPr>
          </w:p>
        </w:tc>
        <w:tc>
          <w:tcPr>
            <w:tcW w:w="106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rPr>
              <w:t>1,114,167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tcBorders>
              <w:top w:val="single" w:sz="8" w:color="CCEEFF"/>
              <w:bottom w:val="single" w:sz="8" w:color="CCEEFF"/>
            </w:tcBorders>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Cash and cash equivalents at the end of the period</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136,399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179,104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attached notes from page 10 to 39 are part of the separate financial statements.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348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(Free translation from the original in Spanish)</w:t>
      </w:r>
    </w:p>
    <w:p>
      <w:pPr>
        <w:spacing w:after="0"/>
        <w:rPr>
          <w:sz w:val="20"/>
          <w:szCs w:val="20"/>
          <w:color w:val="auto"/>
        </w:rPr>
      </w:pPr>
      <w:r>
        <w:rPr>
          <w:rFonts w:ascii="Arial" w:cs="Arial" w:eastAsia="Arial" w:hAnsi="Arial"/>
          <w:sz w:val="18"/>
          <w:szCs w:val="18"/>
          <w:b w:val="1"/>
          <w:bCs w:val="1"/>
          <w:color w:val="auto"/>
        </w:rPr>
        <w:t>CREDICORP LTD.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SEPARATE STATEMENT OF CASH FLOWS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liabilities arising from financing activities: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60" w:type="dxa"/>
            <w:vAlign w:val="bottom"/>
            <w:gridSpan w:val="4"/>
          </w:tcPr>
          <w:p>
            <w:pPr>
              <w:spacing w:after="0"/>
              <w:rPr>
                <w:sz w:val="20"/>
                <w:szCs w:val="20"/>
                <w:color w:val="auto"/>
              </w:rPr>
            </w:pPr>
            <w:r>
              <w:rPr>
                <w:rFonts w:ascii="Arial" w:cs="Arial" w:eastAsia="Arial" w:hAnsi="Arial"/>
                <w:sz w:val="18"/>
                <w:szCs w:val="18"/>
                <w:b w:val="1"/>
                <w:bCs w:val="1"/>
                <w:color w:val="auto"/>
              </w:rPr>
              <w:t>Changes that generate cash</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flows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80" w:type="dxa"/>
            <w:vAlign w:val="bottom"/>
            <w:gridSpan w:val="7"/>
          </w:tcPr>
          <w:p>
            <w:pPr>
              <w:ind w:left="320"/>
              <w:spacing w:after="0"/>
              <w:rPr>
                <w:sz w:val="20"/>
                <w:szCs w:val="20"/>
                <w:color w:val="auto"/>
              </w:rPr>
            </w:pPr>
            <w:r>
              <w:rPr>
                <w:rFonts w:ascii="Arial" w:cs="Arial" w:eastAsia="Arial" w:hAnsi="Arial"/>
                <w:sz w:val="18"/>
                <w:szCs w:val="18"/>
                <w:b w:val="1"/>
                <w:bCs w:val="1"/>
                <w:color w:val="auto"/>
              </w:rPr>
              <w:t>Changes that do not generate cash flows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320"/>
              <w:spacing w:after="0" w:line="176" w:lineRule="exact"/>
              <w:rPr>
                <w:sz w:val="20"/>
                <w:szCs w:val="20"/>
                <w:color w:val="auto"/>
              </w:rPr>
            </w:pPr>
            <w:r>
              <w:rPr>
                <w:rFonts w:ascii="Arial" w:cs="Arial" w:eastAsia="Arial" w:hAnsi="Arial"/>
                <w:sz w:val="18"/>
                <w:szCs w:val="18"/>
                <w:b w:val="1"/>
                <w:bCs w:val="1"/>
                <w:color w:val="auto"/>
                <w:w w:val="96"/>
              </w:rPr>
              <w:t>Amortization</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1820" w:type="dxa"/>
            <w:vAlign w:val="bottom"/>
            <w:gridSpan w:val="3"/>
          </w:tcPr>
          <w:p>
            <w:pPr>
              <w:ind w:left="360"/>
              <w:spacing w:after="0" w:line="199" w:lineRule="exact"/>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160"/>
              <w:spacing w:after="0" w:line="199" w:lineRule="exact"/>
              <w:rPr>
                <w:sz w:val="20"/>
                <w:szCs w:val="20"/>
                <w:color w:val="auto"/>
              </w:rPr>
            </w:pPr>
            <w:r>
              <w:rPr>
                <w:rFonts w:ascii="Arial" w:cs="Arial" w:eastAsia="Arial" w:hAnsi="Arial"/>
                <w:sz w:val="18"/>
                <w:szCs w:val="18"/>
                <w:b w:val="1"/>
                <w:bCs w:val="1"/>
                <w:color w:val="auto"/>
                <w:w w:val="99"/>
              </w:rPr>
              <w:t>Amortization</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20" w:type="dxa"/>
            <w:vAlign w:val="bottom"/>
            <w:gridSpan w:val="3"/>
          </w:tcPr>
          <w:p>
            <w:pPr>
              <w:ind w:left="320"/>
              <w:spacing w:after="0" w:line="199" w:lineRule="exact"/>
              <w:rPr>
                <w:sz w:val="20"/>
                <w:szCs w:val="20"/>
                <w:color w:val="auto"/>
              </w:rPr>
            </w:pPr>
            <w:r>
              <w:rPr>
                <w:rFonts w:ascii="Arial" w:cs="Arial" w:eastAsia="Arial" w:hAnsi="Arial"/>
                <w:sz w:val="18"/>
                <w:szCs w:val="18"/>
                <w:b w:val="1"/>
                <w:bCs w:val="1"/>
                <w:color w:val="auto"/>
              </w:rPr>
              <w:t>of bond</w:t>
            </w:r>
          </w:p>
        </w:tc>
        <w:tc>
          <w:tcPr>
            <w:tcW w:w="1120" w:type="dxa"/>
            <w:vAlign w:val="bottom"/>
            <w:gridSpan w:val="3"/>
          </w:tcPr>
          <w:p>
            <w:pPr>
              <w:spacing w:after="0" w:line="199" w:lineRule="exact"/>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1820" w:type="dxa"/>
            <w:vAlign w:val="bottom"/>
            <w:gridSpan w:val="3"/>
          </w:tcPr>
          <w:p>
            <w:pPr>
              <w:ind w:left="360"/>
              <w:spacing w:after="0" w:line="199" w:lineRule="exact"/>
              <w:rPr>
                <w:sz w:val="20"/>
                <w:szCs w:val="20"/>
                <w:color w:val="auto"/>
              </w:rPr>
            </w:pPr>
            <w:r>
              <w:rPr>
                <w:rFonts w:ascii="Arial" w:cs="Arial" w:eastAsia="Arial" w:hAnsi="Arial"/>
                <w:sz w:val="18"/>
                <w:szCs w:val="18"/>
                <w:b w:val="1"/>
                <w:bCs w:val="1"/>
                <w:color w:val="auto"/>
              </w:rPr>
              <w:t>January</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160"/>
              <w:spacing w:after="0" w:line="199" w:lineRule="exact"/>
              <w:rPr>
                <w:sz w:val="20"/>
                <w:szCs w:val="20"/>
                <w:color w:val="auto"/>
              </w:rPr>
            </w:pPr>
            <w:r>
              <w:rPr>
                <w:rFonts w:ascii="Arial" w:cs="Arial" w:eastAsia="Arial" w:hAnsi="Arial"/>
                <w:sz w:val="18"/>
                <w:szCs w:val="18"/>
                <w:b w:val="1"/>
                <w:bCs w:val="1"/>
                <w:color w:val="auto"/>
              </w:rPr>
              <w:t>of</w:t>
            </w:r>
          </w:p>
        </w:tc>
        <w:tc>
          <w:tcPr>
            <w:tcW w:w="1760" w:type="dxa"/>
            <w:vAlign w:val="bottom"/>
            <w:gridSpan w:val="3"/>
          </w:tcPr>
          <w:p>
            <w:pPr>
              <w:ind w:left="320"/>
              <w:spacing w:after="0" w:line="199" w:lineRule="exact"/>
              <w:rPr>
                <w:sz w:val="20"/>
                <w:szCs w:val="20"/>
                <w:color w:val="auto"/>
              </w:rPr>
            </w:pPr>
            <w:r>
              <w:rPr>
                <w:rFonts w:ascii="Arial" w:cs="Arial" w:eastAsia="Arial" w:hAnsi="Arial"/>
                <w:sz w:val="18"/>
                <w:szCs w:val="18"/>
                <w:b w:val="1"/>
                <w:bCs w:val="1"/>
                <w:color w:val="auto"/>
              </w:rPr>
              <w:t>Exchange</w:t>
            </w:r>
          </w:p>
        </w:tc>
        <w:tc>
          <w:tcPr>
            <w:tcW w:w="1000" w:type="dxa"/>
            <w:vAlign w:val="bottom"/>
          </w:tcPr>
          <w:p>
            <w:pPr>
              <w:spacing w:after="0" w:line="199" w:lineRule="exact"/>
              <w:rPr>
                <w:sz w:val="20"/>
                <w:szCs w:val="20"/>
                <w:color w:val="auto"/>
              </w:rPr>
            </w:pPr>
            <w:r>
              <w:rPr>
                <w:rFonts w:ascii="Arial" w:cs="Arial" w:eastAsia="Arial" w:hAnsi="Arial"/>
                <w:sz w:val="18"/>
                <w:szCs w:val="18"/>
                <w:b w:val="1"/>
                <w:bCs w:val="1"/>
                <w:color w:val="auto"/>
              </w:rPr>
              <w:t>Changes in</w:t>
            </w:r>
          </w:p>
        </w:tc>
        <w:tc>
          <w:tcPr>
            <w:tcW w:w="1720" w:type="dxa"/>
            <w:vAlign w:val="bottom"/>
            <w:gridSpan w:val="3"/>
          </w:tcPr>
          <w:p>
            <w:pPr>
              <w:ind w:left="320"/>
              <w:spacing w:after="0" w:line="199" w:lineRule="exact"/>
              <w:rPr>
                <w:sz w:val="20"/>
                <w:szCs w:val="20"/>
                <w:color w:val="auto"/>
              </w:rPr>
            </w:pPr>
            <w:r>
              <w:rPr>
                <w:rFonts w:ascii="Arial" w:cs="Arial" w:eastAsia="Arial" w:hAnsi="Arial"/>
                <w:sz w:val="18"/>
                <w:szCs w:val="18"/>
                <w:b w:val="1"/>
                <w:bCs w:val="1"/>
                <w:color w:val="auto"/>
              </w:rPr>
              <w:t>issuance</w:t>
            </w:r>
          </w:p>
        </w:tc>
        <w:tc>
          <w:tcPr>
            <w:tcW w:w="1120" w:type="dxa"/>
            <w:vAlign w:val="bottom"/>
            <w:gridSpan w:val="3"/>
          </w:tcPr>
          <w:p>
            <w:pPr>
              <w:spacing w:after="0" w:line="199" w:lineRule="exact"/>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20"/>
                <w:szCs w:val="20"/>
                <w:color w:val="auto"/>
              </w:rPr>
            </w:pPr>
            <w:r>
              <w:rPr>
                <w:rFonts w:ascii="Arial" w:cs="Arial" w:eastAsia="Arial" w:hAnsi="Arial"/>
                <w:sz w:val="18"/>
                <w:szCs w:val="18"/>
                <w:b w:val="1"/>
                <w:bCs w:val="1"/>
                <w:color w:val="auto"/>
              </w:rPr>
              <w:t>2022</w:t>
            </w:r>
          </w:p>
        </w:tc>
        <w:tc>
          <w:tcPr>
            <w:tcW w:w="1480" w:type="dxa"/>
            <w:vAlign w:val="bottom"/>
            <w:gridSpan w:val="2"/>
          </w:tcPr>
          <w:p>
            <w:pPr>
              <w:ind w:left="360"/>
              <w:spacing w:after="0"/>
              <w:rPr>
                <w:sz w:val="20"/>
                <w:szCs w:val="20"/>
                <w:color w:val="auto"/>
              </w:rPr>
            </w:pPr>
            <w:r>
              <w:rPr>
                <w:rFonts w:ascii="Arial" w:cs="Arial" w:eastAsia="Arial" w:hAnsi="Arial"/>
                <w:sz w:val="18"/>
                <w:szCs w:val="18"/>
                <w:b w:val="1"/>
                <w:bCs w:val="1"/>
                <w:color w:val="auto"/>
              </w:rPr>
              <w:t>1, 2022</w:t>
            </w:r>
          </w:p>
        </w:tc>
        <w:tc>
          <w:tcPr>
            <w:tcW w:w="34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New issues</w:t>
            </w: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principal</w:t>
            </w:r>
          </w:p>
        </w:tc>
        <w:tc>
          <w:tcPr>
            <w:tcW w:w="1760" w:type="dxa"/>
            <w:vAlign w:val="bottom"/>
            <w:gridSpan w:val="3"/>
          </w:tcPr>
          <w:p>
            <w:pPr>
              <w:ind w:left="320"/>
              <w:spacing w:after="0"/>
              <w:rPr>
                <w:sz w:val="20"/>
                <w:szCs w:val="20"/>
                <w:color w:val="auto"/>
              </w:rPr>
            </w:pPr>
            <w:r>
              <w:rPr>
                <w:rFonts w:ascii="Arial" w:cs="Arial" w:eastAsia="Arial" w:hAnsi="Arial"/>
                <w:sz w:val="18"/>
                <w:szCs w:val="18"/>
                <w:b w:val="1"/>
                <w:bCs w:val="1"/>
                <w:color w:val="auto"/>
              </w:rPr>
              <w:t>difference</w:t>
            </w:r>
          </w:p>
        </w:tc>
        <w:tc>
          <w:tcPr>
            <w:tcW w:w="1000" w:type="dxa"/>
            <w:vAlign w:val="bottom"/>
          </w:tcPr>
          <w:p>
            <w:pPr>
              <w:spacing w:after="0"/>
              <w:rPr>
                <w:sz w:val="20"/>
                <w:szCs w:val="20"/>
                <w:color w:val="auto"/>
              </w:rPr>
            </w:pPr>
            <w:r>
              <w:rPr>
                <w:rFonts w:ascii="Arial" w:cs="Arial" w:eastAsia="Arial" w:hAnsi="Arial"/>
                <w:sz w:val="18"/>
                <w:szCs w:val="18"/>
                <w:b w:val="1"/>
                <w:bCs w:val="1"/>
                <w:color w:val="auto"/>
              </w:rPr>
              <w:t>fair value</w:t>
            </w:r>
          </w:p>
        </w:tc>
        <w:tc>
          <w:tcPr>
            <w:tcW w:w="1720" w:type="dxa"/>
            <w:vAlign w:val="bottom"/>
            <w:gridSpan w:val="3"/>
          </w:tcPr>
          <w:p>
            <w:pPr>
              <w:ind w:left="320"/>
              <w:spacing w:after="0"/>
              <w:rPr>
                <w:sz w:val="20"/>
                <w:szCs w:val="20"/>
                <w:color w:val="auto"/>
              </w:rPr>
            </w:pPr>
            <w:r>
              <w:rPr>
                <w:rFonts w:ascii="Arial" w:cs="Arial" w:eastAsia="Arial" w:hAnsi="Arial"/>
                <w:sz w:val="18"/>
                <w:szCs w:val="18"/>
                <w:b w:val="1"/>
                <w:bCs w:val="1"/>
                <w:color w:val="auto"/>
              </w:rPr>
              <w:t>expenses</w:t>
            </w:r>
          </w:p>
        </w:tc>
        <w:tc>
          <w:tcPr>
            <w:tcW w:w="1020" w:type="dxa"/>
            <w:vAlign w:val="bottom"/>
          </w:tcPr>
          <w:p>
            <w:pPr>
              <w:spacing w:after="0"/>
              <w:rPr>
                <w:sz w:val="20"/>
                <w:szCs w:val="20"/>
                <w:color w:val="auto"/>
              </w:rPr>
            </w:pPr>
            <w:r>
              <w:rPr>
                <w:rFonts w:ascii="Arial" w:cs="Arial" w:eastAsia="Arial" w:hAnsi="Arial"/>
                <w:sz w:val="18"/>
                <w:szCs w:val="18"/>
                <w:b w:val="1"/>
                <w:bCs w:val="1"/>
                <w:color w:val="auto"/>
              </w:rPr>
              <w:t>31, 2022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3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3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3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3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2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Amortized cost</w:t>
            </w:r>
          </w:p>
        </w:tc>
        <w:tc>
          <w:tcPr>
            <w:tcW w:w="3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340"/>
              <w:spacing w:after="0" w:line="199" w:lineRule="exact"/>
              <w:rPr>
                <w:sz w:val="20"/>
                <w:szCs w:val="20"/>
                <w:color w:val="auto"/>
              </w:rPr>
            </w:pPr>
            <w:r>
              <w:rPr>
                <w:rFonts w:ascii="Arial" w:cs="Arial" w:eastAsia="Arial" w:hAnsi="Arial"/>
                <w:sz w:val="18"/>
                <w:szCs w:val="18"/>
                <w:color w:val="auto"/>
              </w:rPr>
              <w:t>1,980,311</w:t>
            </w:r>
          </w:p>
        </w:tc>
        <w:tc>
          <w:tcPr>
            <w:tcW w:w="1280" w:type="dxa"/>
            <w:vAlign w:val="bottom"/>
            <w:gridSpan w:val="2"/>
            <w:shd w:val="clear" w:color="auto" w:fill="CCEEFF"/>
          </w:tcPr>
          <w:p>
            <w:pPr>
              <w:ind w:left="1060"/>
              <w:spacing w:after="0" w:line="19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83"/>
              <w:spacing w:after="0" w:line="199" w:lineRule="exact"/>
              <w:rPr>
                <w:sz w:val="20"/>
                <w:szCs w:val="20"/>
                <w:color w:val="auto"/>
              </w:rPr>
            </w:pPr>
            <w:r>
              <w:rPr>
                <w:rFonts w:ascii="Arial" w:cs="Arial" w:eastAsia="Arial" w:hAnsi="Arial"/>
                <w:sz w:val="18"/>
                <w:szCs w:val="18"/>
                <w:color w:val="auto"/>
              </w:rPr>
              <w:t>(78,397)</w:t>
            </w:r>
          </w:p>
        </w:tc>
        <w:tc>
          <w:tcPr>
            <w:tcW w:w="1000" w:type="dxa"/>
            <w:vAlign w:val="bottom"/>
            <w:shd w:val="clear" w:color="auto" w:fill="CCEEFF"/>
          </w:tcPr>
          <w:p>
            <w:pPr>
              <w:ind w:left="940"/>
              <w:spacing w:after="0"/>
              <w:rPr>
                <w:sz w:val="20"/>
                <w:szCs w:val="20"/>
                <w:color w:val="auto"/>
              </w:rPr>
            </w:pPr>
            <w:r>
              <w:rPr>
                <w:rFonts w:ascii="Arial" w:cs="Arial" w:eastAsia="Arial" w:hAnsi="Arial"/>
                <w:sz w:val="15"/>
                <w:szCs w:val="15"/>
                <w:color w:val="auto"/>
                <w:w w:val="79"/>
              </w:rPr>
              <w:t>-</w:t>
            </w:r>
          </w:p>
        </w:tc>
        <w:tc>
          <w:tcPr>
            <w:tcW w:w="1720" w:type="dxa"/>
            <w:vAlign w:val="bottom"/>
            <w:gridSpan w:val="3"/>
            <w:shd w:val="clear" w:color="auto" w:fill="CCEEFF"/>
          </w:tcPr>
          <w:p>
            <w:pPr>
              <w:jc w:val="right"/>
              <w:ind w:right="183"/>
              <w:spacing w:after="0" w:line="199" w:lineRule="exact"/>
              <w:rPr>
                <w:sz w:val="20"/>
                <w:szCs w:val="20"/>
                <w:color w:val="auto"/>
              </w:rPr>
            </w:pPr>
            <w:r>
              <w:rPr>
                <w:rFonts w:ascii="Arial" w:cs="Arial" w:eastAsia="Arial" w:hAnsi="Arial"/>
                <w:sz w:val="18"/>
                <w:szCs w:val="18"/>
                <w:color w:val="auto"/>
              </w:rPr>
              <w:t>(3,848)</w:t>
            </w:r>
          </w:p>
        </w:tc>
        <w:tc>
          <w:tcPr>
            <w:tcW w:w="1040" w:type="dxa"/>
            <w:vAlign w:val="bottom"/>
            <w:gridSpan w:val="2"/>
            <w:shd w:val="clear" w:color="auto" w:fill="CCEEFF"/>
          </w:tcPr>
          <w:p>
            <w:pPr>
              <w:ind w:left="220"/>
              <w:spacing w:after="0" w:line="199" w:lineRule="exact"/>
              <w:rPr>
                <w:sz w:val="20"/>
                <w:szCs w:val="20"/>
                <w:color w:val="auto"/>
              </w:rPr>
            </w:pPr>
            <w:r>
              <w:rPr>
                <w:rFonts w:ascii="Arial" w:cs="Arial" w:eastAsia="Arial" w:hAnsi="Arial"/>
                <w:sz w:val="18"/>
                <w:szCs w:val="18"/>
                <w:color w:val="auto"/>
                <w:w w:val="99"/>
              </w:rPr>
              <w:t>1,898,066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jc w:val="right"/>
              <w:ind w:right="183"/>
              <w:spacing w:after="0"/>
              <w:rPr>
                <w:sz w:val="20"/>
                <w:szCs w:val="20"/>
                <w:color w:val="auto"/>
              </w:rPr>
            </w:pPr>
            <w:r>
              <w:rPr>
                <w:rFonts w:ascii="Arial" w:cs="Arial" w:eastAsia="Arial" w:hAnsi="Arial"/>
                <w:sz w:val="15"/>
                <w:szCs w:val="15"/>
                <w:color w:val="auto"/>
                <w:w w:val="79"/>
              </w:rPr>
              <w:t>)</w:t>
            </w: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jc w:val="right"/>
              <w:ind w:right="183"/>
              <w:spacing w:after="0"/>
              <w:rPr>
                <w:sz w:val="20"/>
                <w:szCs w:val="20"/>
                <w:color w:val="auto"/>
              </w:rPr>
            </w:pPr>
            <w:r>
              <w:rPr>
                <w:rFonts w:ascii="Arial" w:cs="Arial" w:eastAsia="Arial" w:hAnsi="Arial"/>
                <w:sz w:val="15"/>
                <w:szCs w:val="15"/>
                <w:color w:val="auto"/>
                <w:w w:val="79"/>
              </w:rPr>
              <w:t>)</w:t>
            </w: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260" w:type="dxa"/>
            <w:vAlign w:val="bottom"/>
          </w:tcPr>
          <w:p>
            <w:pPr>
              <w:spacing w:after="0" w:line="199" w:lineRule="exact"/>
              <w:rPr>
                <w:sz w:val="20"/>
                <w:szCs w:val="20"/>
                <w:color w:val="auto"/>
              </w:rPr>
            </w:pPr>
            <w:r>
              <w:rPr>
                <w:rFonts w:ascii="Arial" w:cs="Arial" w:eastAsia="Arial" w:hAnsi="Arial"/>
                <w:sz w:val="18"/>
                <w:szCs w:val="18"/>
                <w:color w:val="auto"/>
              </w:rPr>
              <w:t>Total</w:t>
            </w:r>
          </w:p>
        </w:tc>
        <w:tc>
          <w:tcPr>
            <w:tcW w:w="360" w:type="dxa"/>
            <w:vAlign w:val="bottom"/>
          </w:tcPr>
          <w:p>
            <w:pPr>
              <w:spacing w:after="0"/>
              <w:rPr>
                <w:sz w:val="17"/>
                <w:szCs w:val="17"/>
                <w:color w:val="auto"/>
              </w:rPr>
            </w:pPr>
          </w:p>
        </w:tc>
        <w:tc>
          <w:tcPr>
            <w:tcW w:w="1460" w:type="dxa"/>
            <w:vAlign w:val="bottom"/>
            <w:gridSpan w:val="2"/>
          </w:tcPr>
          <w:p>
            <w:pPr>
              <w:ind w:left="340"/>
              <w:spacing w:after="0" w:line="199" w:lineRule="exact"/>
              <w:rPr>
                <w:sz w:val="20"/>
                <w:szCs w:val="20"/>
                <w:color w:val="auto"/>
              </w:rPr>
            </w:pPr>
            <w:r>
              <w:rPr>
                <w:rFonts w:ascii="Arial" w:cs="Arial" w:eastAsia="Arial" w:hAnsi="Arial"/>
                <w:sz w:val="18"/>
                <w:szCs w:val="18"/>
                <w:color w:val="auto"/>
              </w:rPr>
              <w:t>1,980,311</w:t>
            </w:r>
          </w:p>
        </w:tc>
        <w:tc>
          <w:tcPr>
            <w:tcW w:w="1280" w:type="dxa"/>
            <w:vAlign w:val="bottom"/>
            <w:gridSpan w:val="2"/>
          </w:tcPr>
          <w:p>
            <w:pPr>
              <w:ind w:left="1060"/>
              <w:spacing w:after="0" w:line="199"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1120" w:type="dxa"/>
            <w:vAlign w:val="bottom"/>
          </w:tcPr>
          <w:p>
            <w:pPr>
              <w:jc w:val="right"/>
              <w:spacing w:after="0" w:line="199" w:lineRule="exact"/>
              <w:rPr>
                <w:sz w:val="20"/>
                <w:szCs w:val="20"/>
                <w:color w:val="auto"/>
              </w:rPr>
            </w:pPr>
            <w:r>
              <w:rPr>
                <w:rFonts w:ascii="Arial" w:cs="Arial" w:eastAsia="Arial" w:hAnsi="Arial"/>
                <w:sz w:val="18"/>
                <w:szCs w:val="18"/>
                <w:color w:val="auto"/>
              </w:rPr>
              <w:t>(78,397</w:t>
            </w:r>
          </w:p>
        </w:tc>
        <w:tc>
          <w:tcPr>
            <w:tcW w:w="320" w:type="dxa"/>
            <w:vAlign w:val="bottom"/>
            <w:vMerge w:val="continue"/>
          </w:tcPr>
          <w:p>
            <w:pPr>
              <w:spacing w:after="0"/>
              <w:rPr>
                <w:sz w:val="17"/>
                <w:szCs w:val="17"/>
                <w:color w:val="auto"/>
              </w:rPr>
            </w:pPr>
          </w:p>
        </w:tc>
        <w:tc>
          <w:tcPr>
            <w:tcW w:w="1000" w:type="dxa"/>
            <w:vAlign w:val="bottom"/>
          </w:tcPr>
          <w:p>
            <w:pPr>
              <w:ind w:left="940"/>
              <w:spacing w:after="0"/>
              <w:rPr>
                <w:sz w:val="20"/>
                <w:szCs w:val="20"/>
                <w:color w:val="auto"/>
              </w:rPr>
            </w:pPr>
            <w:r>
              <w:rPr>
                <w:rFonts w:ascii="Arial" w:cs="Arial" w:eastAsia="Arial" w:hAnsi="Arial"/>
                <w:sz w:val="15"/>
                <w:szCs w:val="15"/>
                <w:color w:val="auto"/>
                <w:w w:val="79"/>
              </w:rPr>
              <w:t>-</w:t>
            </w:r>
          </w:p>
        </w:tc>
        <w:tc>
          <w:tcPr>
            <w:tcW w:w="320" w:type="dxa"/>
            <w:vAlign w:val="bottom"/>
            <w:vMerge w:val="continue"/>
          </w:tcPr>
          <w:p>
            <w:pPr>
              <w:spacing w:after="0"/>
              <w:rPr>
                <w:sz w:val="17"/>
                <w:szCs w:val="17"/>
                <w:color w:val="auto"/>
              </w:rPr>
            </w:pPr>
          </w:p>
        </w:tc>
        <w:tc>
          <w:tcPr>
            <w:tcW w:w="1080" w:type="dxa"/>
            <w:vAlign w:val="bottom"/>
          </w:tcPr>
          <w:p>
            <w:pPr>
              <w:jc w:val="right"/>
              <w:spacing w:after="0" w:line="199" w:lineRule="exact"/>
              <w:rPr>
                <w:sz w:val="20"/>
                <w:szCs w:val="20"/>
                <w:color w:val="auto"/>
              </w:rPr>
            </w:pPr>
            <w:r>
              <w:rPr>
                <w:rFonts w:ascii="Arial" w:cs="Arial" w:eastAsia="Arial" w:hAnsi="Arial"/>
                <w:sz w:val="18"/>
                <w:szCs w:val="18"/>
                <w:color w:val="auto"/>
              </w:rPr>
              <w:t>(3,848</w:t>
            </w:r>
          </w:p>
        </w:tc>
        <w:tc>
          <w:tcPr>
            <w:tcW w:w="320" w:type="dxa"/>
            <w:vAlign w:val="bottom"/>
            <w:vMerge w:val="continue"/>
          </w:tcPr>
          <w:p>
            <w:pPr>
              <w:spacing w:after="0"/>
              <w:rPr>
                <w:sz w:val="17"/>
                <w:szCs w:val="17"/>
                <w:color w:val="auto"/>
              </w:rPr>
            </w:pPr>
          </w:p>
        </w:tc>
        <w:tc>
          <w:tcPr>
            <w:tcW w:w="1040" w:type="dxa"/>
            <w:vAlign w:val="bottom"/>
            <w:gridSpan w:val="2"/>
          </w:tcPr>
          <w:p>
            <w:pPr>
              <w:ind w:left="220"/>
              <w:spacing w:after="0" w:line="199" w:lineRule="exact"/>
              <w:rPr>
                <w:sz w:val="20"/>
                <w:szCs w:val="20"/>
                <w:color w:val="auto"/>
              </w:rPr>
            </w:pPr>
            <w:r>
              <w:rPr>
                <w:rFonts w:ascii="Arial" w:cs="Arial" w:eastAsia="Arial" w:hAnsi="Arial"/>
                <w:sz w:val="18"/>
                <w:szCs w:val="18"/>
                <w:color w:val="auto"/>
                <w:w w:val="99"/>
              </w:rPr>
              <w:t>1,898,066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8"/>
                <w:szCs w:val="18"/>
                <w:b w:val="1"/>
                <w:bCs w:val="1"/>
                <w:color w:val="auto"/>
              </w:rPr>
              <w:t>Changes that generate cash</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flows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80" w:type="dxa"/>
            <w:vAlign w:val="bottom"/>
            <w:gridSpan w:val="7"/>
          </w:tcPr>
          <w:p>
            <w:pPr>
              <w:ind w:left="320"/>
              <w:spacing w:after="0"/>
              <w:rPr>
                <w:sz w:val="20"/>
                <w:szCs w:val="20"/>
                <w:color w:val="auto"/>
              </w:rPr>
            </w:pPr>
            <w:r>
              <w:rPr>
                <w:rFonts w:ascii="Arial" w:cs="Arial" w:eastAsia="Arial" w:hAnsi="Arial"/>
                <w:sz w:val="18"/>
                <w:szCs w:val="18"/>
                <w:b w:val="1"/>
                <w:bCs w:val="1"/>
                <w:color w:val="auto"/>
              </w:rPr>
              <w:t>Changes that do not generate cash flows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320"/>
              <w:spacing w:after="0" w:line="176" w:lineRule="exact"/>
              <w:rPr>
                <w:sz w:val="20"/>
                <w:szCs w:val="20"/>
                <w:color w:val="auto"/>
              </w:rPr>
            </w:pPr>
            <w:r>
              <w:rPr>
                <w:rFonts w:ascii="Arial" w:cs="Arial" w:eastAsia="Arial" w:hAnsi="Arial"/>
                <w:sz w:val="18"/>
                <w:szCs w:val="18"/>
                <w:b w:val="1"/>
                <w:bCs w:val="1"/>
                <w:color w:val="auto"/>
                <w:w w:val="96"/>
              </w:rPr>
              <w:t>Amortization</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1820" w:type="dxa"/>
            <w:vAlign w:val="bottom"/>
            <w:gridSpan w:val="3"/>
          </w:tcPr>
          <w:p>
            <w:pPr>
              <w:ind w:left="360"/>
              <w:spacing w:after="0" w:line="199" w:lineRule="exact"/>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160"/>
              <w:spacing w:after="0" w:line="199" w:lineRule="exact"/>
              <w:rPr>
                <w:sz w:val="20"/>
                <w:szCs w:val="20"/>
                <w:color w:val="auto"/>
              </w:rPr>
            </w:pPr>
            <w:r>
              <w:rPr>
                <w:rFonts w:ascii="Arial" w:cs="Arial" w:eastAsia="Arial" w:hAnsi="Arial"/>
                <w:sz w:val="18"/>
                <w:szCs w:val="18"/>
                <w:b w:val="1"/>
                <w:bCs w:val="1"/>
                <w:color w:val="auto"/>
                <w:w w:val="99"/>
              </w:rPr>
              <w:t>Amortization</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20" w:type="dxa"/>
            <w:vAlign w:val="bottom"/>
            <w:gridSpan w:val="3"/>
          </w:tcPr>
          <w:p>
            <w:pPr>
              <w:ind w:left="320"/>
              <w:spacing w:after="0" w:line="199" w:lineRule="exact"/>
              <w:rPr>
                <w:sz w:val="20"/>
                <w:szCs w:val="20"/>
                <w:color w:val="auto"/>
              </w:rPr>
            </w:pPr>
            <w:r>
              <w:rPr>
                <w:rFonts w:ascii="Arial" w:cs="Arial" w:eastAsia="Arial" w:hAnsi="Arial"/>
                <w:sz w:val="18"/>
                <w:szCs w:val="18"/>
                <w:b w:val="1"/>
                <w:bCs w:val="1"/>
                <w:color w:val="auto"/>
              </w:rPr>
              <w:t>of bond</w:t>
            </w:r>
          </w:p>
        </w:tc>
        <w:tc>
          <w:tcPr>
            <w:tcW w:w="1120" w:type="dxa"/>
            <w:vAlign w:val="bottom"/>
            <w:gridSpan w:val="3"/>
          </w:tcPr>
          <w:p>
            <w:pPr>
              <w:spacing w:after="0" w:line="199" w:lineRule="exact"/>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1820" w:type="dxa"/>
            <w:vAlign w:val="bottom"/>
            <w:gridSpan w:val="3"/>
          </w:tcPr>
          <w:p>
            <w:pPr>
              <w:ind w:left="360"/>
              <w:spacing w:after="0" w:line="199" w:lineRule="exact"/>
              <w:rPr>
                <w:sz w:val="20"/>
                <w:szCs w:val="20"/>
                <w:color w:val="auto"/>
              </w:rPr>
            </w:pPr>
            <w:r>
              <w:rPr>
                <w:rFonts w:ascii="Arial" w:cs="Arial" w:eastAsia="Arial" w:hAnsi="Arial"/>
                <w:sz w:val="18"/>
                <w:szCs w:val="18"/>
                <w:b w:val="1"/>
                <w:bCs w:val="1"/>
                <w:color w:val="auto"/>
              </w:rPr>
              <w:t>January</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160"/>
              <w:spacing w:after="0" w:line="199" w:lineRule="exact"/>
              <w:rPr>
                <w:sz w:val="20"/>
                <w:szCs w:val="20"/>
                <w:color w:val="auto"/>
              </w:rPr>
            </w:pPr>
            <w:r>
              <w:rPr>
                <w:rFonts w:ascii="Arial" w:cs="Arial" w:eastAsia="Arial" w:hAnsi="Arial"/>
                <w:sz w:val="18"/>
                <w:szCs w:val="18"/>
                <w:b w:val="1"/>
                <w:bCs w:val="1"/>
                <w:color w:val="auto"/>
              </w:rPr>
              <w:t>of</w:t>
            </w:r>
          </w:p>
        </w:tc>
        <w:tc>
          <w:tcPr>
            <w:tcW w:w="1760" w:type="dxa"/>
            <w:vAlign w:val="bottom"/>
            <w:gridSpan w:val="3"/>
          </w:tcPr>
          <w:p>
            <w:pPr>
              <w:ind w:left="320"/>
              <w:spacing w:after="0" w:line="199" w:lineRule="exact"/>
              <w:rPr>
                <w:sz w:val="20"/>
                <w:szCs w:val="20"/>
                <w:color w:val="auto"/>
              </w:rPr>
            </w:pPr>
            <w:r>
              <w:rPr>
                <w:rFonts w:ascii="Arial" w:cs="Arial" w:eastAsia="Arial" w:hAnsi="Arial"/>
                <w:sz w:val="18"/>
                <w:szCs w:val="18"/>
                <w:b w:val="1"/>
                <w:bCs w:val="1"/>
                <w:color w:val="auto"/>
              </w:rPr>
              <w:t>Exchange</w:t>
            </w:r>
          </w:p>
        </w:tc>
        <w:tc>
          <w:tcPr>
            <w:tcW w:w="1000" w:type="dxa"/>
            <w:vAlign w:val="bottom"/>
          </w:tcPr>
          <w:p>
            <w:pPr>
              <w:spacing w:after="0" w:line="199" w:lineRule="exact"/>
              <w:rPr>
                <w:sz w:val="20"/>
                <w:szCs w:val="20"/>
                <w:color w:val="auto"/>
              </w:rPr>
            </w:pPr>
            <w:r>
              <w:rPr>
                <w:rFonts w:ascii="Arial" w:cs="Arial" w:eastAsia="Arial" w:hAnsi="Arial"/>
                <w:sz w:val="18"/>
                <w:szCs w:val="18"/>
                <w:b w:val="1"/>
                <w:bCs w:val="1"/>
                <w:color w:val="auto"/>
              </w:rPr>
              <w:t>Changes in</w:t>
            </w:r>
          </w:p>
        </w:tc>
        <w:tc>
          <w:tcPr>
            <w:tcW w:w="1720" w:type="dxa"/>
            <w:vAlign w:val="bottom"/>
            <w:gridSpan w:val="3"/>
          </w:tcPr>
          <w:p>
            <w:pPr>
              <w:ind w:left="320"/>
              <w:spacing w:after="0" w:line="199" w:lineRule="exact"/>
              <w:rPr>
                <w:sz w:val="20"/>
                <w:szCs w:val="20"/>
                <w:color w:val="auto"/>
              </w:rPr>
            </w:pPr>
            <w:r>
              <w:rPr>
                <w:rFonts w:ascii="Arial" w:cs="Arial" w:eastAsia="Arial" w:hAnsi="Arial"/>
                <w:sz w:val="18"/>
                <w:szCs w:val="18"/>
                <w:b w:val="1"/>
                <w:bCs w:val="1"/>
                <w:color w:val="auto"/>
              </w:rPr>
              <w:t>issuance</w:t>
            </w:r>
          </w:p>
        </w:tc>
        <w:tc>
          <w:tcPr>
            <w:tcW w:w="1120" w:type="dxa"/>
            <w:vAlign w:val="bottom"/>
            <w:gridSpan w:val="3"/>
          </w:tcPr>
          <w:p>
            <w:pPr>
              <w:spacing w:after="0" w:line="199" w:lineRule="exact"/>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29"/>
        </w:trPr>
        <w:tc>
          <w:tcPr>
            <w:tcW w:w="126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1480" w:type="dxa"/>
            <w:vAlign w:val="bottom"/>
            <w:gridSpan w:val="2"/>
          </w:tcPr>
          <w:p>
            <w:pPr>
              <w:ind w:left="360"/>
              <w:spacing w:after="0"/>
              <w:rPr>
                <w:sz w:val="20"/>
                <w:szCs w:val="20"/>
                <w:color w:val="auto"/>
              </w:rPr>
            </w:pPr>
            <w:r>
              <w:rPr>
                <w:rFonts w:ascii="Arial" w:cs="Arial" w:eastAsia="Arial" w:hAnsi="Arial"/>
                <w:sz w:val="18"/>
                <w:szCs w:val="18"/>
                <w:b w:val="1"/>
                <w:bCs w:val="1"/>
                <w:color w:val="auto"/>
              </w:rPr>
              <w:t>1, 2021</w:t>
            </w:r>
          </w:p>
        </w:tc>
        <w:tc>
          <w:tcPr>
            <w:tcW w:w="34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New issues</w:t>
            </w: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principal</w:t>
            </w:r>
          </w:p>
        </w:tc>
        <w:tc>
          <w:tcPr>
            <w:tcW w:w="1760" w:type="dxa"/>
            <w:vAlign w:val="bottom"/>
            <w:gridSpan w:val="3"/>
          </w:tcPr>
          <w:p>
            <w:pPr>
              <w:ind w:left="320"/>
              <w:spacing w:after="0"/>
              <w:rPr>
                <w:sz w:val="20"/>
                <w:szCs w:val="20"/>
                <w:color w:val="auto"/>
              </w:rPr>
            </w:pPr>
            <w:r>
              <w:rPr>
                <w:rFonts w:ascii="Arial" w:cs="Arial" w:eastAsia="Arial" w:hAnsi="Arial"/>
                <w:sz w:val="18"/>
                <w:szCs w:val="18"/>
                <w:b w:val="1"/>
                <w:bCs w:val="1"/>
                <w:color w:val="auto"/>
              </w:rPr>
              <w:t>difference</w:t>
            </w:r>
          </w:p>
        </w:tc>
        <w:tc>
          <w:tcPr>
            <w:tcW w:w="1000" w:type="dxa"/>
            <w:vAlign w:val="bottom"/>
          </w:tcPr>
          <w:p>
            <w:pPr>
              <w:spacing w:after="0"/>
              <w:rPr>
                <w:sz w:val="20"/>
                <w:szCs w:val="20"/>
                <w:color w:val="auto"/>
              </w:rPr>
            </w:pPr>
            <w:r>
              <w:rPr>
                <w:rFonts w:ascii="Arial" w:cs="Arial" w:eastAsia="Arial" w:hAnsi="Arial"/>
                <w:sz w:val="18"/>
                <w:szCs w:val="18"/>
                <w:b w:val="1"/>
                <w:bCs w:val="1"/>
                <w:color w:val="auto"/>
              </w:rPr>
              <w:t>fair value</w:t>
            </w:r>
          </w:p>
        </w:tc>
        <w:tc>
          <w:tcPr>
            <w:tcW w:w="1720" w:type="dxa"/>
            <w:vAlign w:val="bottom"/>
            <w:gridSpan w:val="3"/>
          </w:tcPr>
          <w:p>
            <w:pPr>
              <w:ind w:left="320"/>
              <w:spacing w:after="0"/>
              <w:rPr>
                <w:sz w:val="20"/>
                <w:szCs w:val="20"/>
                <w:color w:val="auto"/>
              </w:rPr>
            </w:pPr>
            <w:r>
              <w:rPr>
                <w:rFonts w:ascii="Arial" w:cs="Arial" w:eastAsia="Arial" w:hAnsi="Arial"/>
                <w:sz w:val="18"/>
                <w:szCs w:val="18"/>
                <w:b w:val="1"/>
                <w:bCs w:val="1"/>
                <w:color w:val="auto"/>
              </w:rPr>
              <w:t>expenses</w:t>
            </w:r>
          </w:p>
        </w:tc>
        <w:tc>
          <w:tcPr>
            <w:tcW w:w="1020" w:type="dxa"/>
            <w:vAlign w:val="bottom"/>
          </w:tcPr>
          <w:p>
            <w:pPr>
              <w:spacing w:after="0"/>
              <w:rPr>
                <w:sz w:val="20"/>
                <w:szCs w:val="20"/>
                <w:color w:val="auto"/>
              </w:rPr>
            </w:pPr>
            <w:r>
              <w:rPr>
                <w:rFonts w:ascii="Arial" w:cs="Arial" w:eastAsia="Arial" w:hAnsi="Arial"/>
                <w:sz w:val="18"/>
                <w:szCs w:val="18"/>
                <w:b w:val="1"/>
                <w:bCs w:val="1"/>
                <w:color w:val="auto"/>
              </w:rPr>
              <w:t>31, 2021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2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3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3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3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3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260" w:type="dxa"/>
            <w:vAlign w:val="bottom"/>
          </w:tcPr>
          <w:p>
            <w:pPr>
              <w:spacing w:after="0"/>
              <w:rPr>
                <w:sz w:val="14"/>
                <w:szCs w:val="14"/>
                <w:color w:val="auto"/>
              </w:rPr>
            </w:pPr>
          </w:p>
        </w:tc>
        <w:tc>
          <w:tcPr>
            <w:tcW w:w="1820" w:type="dxa"/>
            <w:vAlign w:val="bottom"/>
            <w:gridSpan w:val="3"/>
          </w:tcPr>
          <w:p>
            <w:pPr>
              <w:spacing w:after="0"/>
              <w:rPr>
                <w:sz w:val="14"/>
                <w:szCs w:val="14"/>
                <w:color w:val="auto"/>
              </w:rPr>
            </w:pPr>
          </w:p>
        </w:tc>
        <w:tc>
          <w:tcPr>
            <w:tcW w:w="1280" w:type="dxa"/>
            <w:vAlign w:val="bottom"/>
            <w:gridSpan w:val="2"/>
          </w:tcPr>
          <w:p>
            <w:pPr>
              <w:spacing w:after="0"/>
              <w:rPr>
                <w:sz w:val="14"/>
                <w:szCs w:val="14"/>
                <w:color w:val="auto"/>
              </w:rPr>
            </w:pPr>
          </w:p>
        </w:tc>
        <w:tc>
          <w:tcPr>
            <w:tcW w:w="1280" w:type="dxa"/>
            <w:vAlign w:val="bottom"/>
            <w:gridSpan w:val="2"/>
          </w:tcPr>
          <w:p>
            <w:pPr>
              <w:spacing w:after="0"/>
              <w:rPr>
                <w:sz w:val="14"/>
                <w:szCs w:val="14"/>
                <w:color w:val="auto"/>
              </w:rPr>
            </w:pPr>
          </w:p>
        </w:tc>
        <w:tc>
          <w:tcPr>
            <w:tcW w:w="144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gridSpan w:val="3"/>
          </w:tcPr>
          <w:p>
            <w:pPr>
              <w:spacing w:after="0"/>
              <w:rPr>
                <w:sz w:val="14"/>
                <w:szCs w:val="14"/>
                <w:color w:val="auto"/>
              </w:rPr>
            </w:pPr>
          </w:p>
        </w:tc>
        <w:tc>
          <w:tcPr>
            <w:tcW w:w="10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2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Amortized cost</w:t>
            </w:r>
          </w:p>
        </w:tc>
        <w:tc>
          <w:tcPr>
            <w:tcW w:w="1820" w:type="dxa"/>
            <w:vAlign w:val="bottom"/>
            <w:gridSpan w:val="3"/>
            <w:shd w:val="clear" w:color="auto" w:fill="CCEEFF"/>
          </w:tcPr>
          <w:p>
            <w:pPr>
              <w:ind w:left="700"/>
              <w:spacing w:after="0" w:line="199" w:lineRule="exact"/>
              <w:rPr>
                <w:sz w:val="20"/>
                <w:szCs w:val="20"/>
                <w:color w:val="auto"/>
              </w:rPr>
            </w:pPr>
            <w:r>
              <w:rPr>
                <w:rFonts w:ascii="Arial" w:cs="Arial" w:eastAsia="Arial" w:hAnsi="Arial"/>
                <w:sz w:val="18"/>
                <w:szCs w:val="18"/>
                <w:color w:val="auto"/>
              </w:rPr>
              <w:t>1,794,879</w:t>
            </w:r>
          </w:p>
        </w:tc>
        <w:tc>
          <w:tcPr>
            <w:tcW w:w="1280" w:type="dxa"/>
            <w:vAlign w:val="bottom"/>
            <w:gridSpan w:val="2"/>
            <w:shd w:val="clear" w:color="auto" w:fill="CCEEFF"/>
          </w:tcPr>
          <w:p>
            <w:pPr>
              <w:ind w:left="1060"/>
              <w:spacing w:after="0" w:line="199"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189,363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ind w:left="940"/>
              <w:spacing w:after="0"/>
              <w:rPr>
                <w:sz w:val="20"/>
                <w:szCs w:val="20"/>
                <w:color w:val="auto"/>
              </w:rPr>
            </w:pPr>
            <w:r>
              <w:rPr>
                <w:rFonts w:ascii="Arial" w:cs="Arial" w:eastAsia="Arial" w:hAnsi="Arial"/>
                <w:sz w:val="15"/>
                <w:szCs w:val="15"/>
                <w:color w:val="auto"/>
                <w:w w:val="79"/>
              </w:rPr>
              <w:t>-</w:t>
            </w:r>
          </w:p>
        </w:tc>
        <w:tc>
          <w:tcPr>
            <w:tcW w:w="1720" w:type="dxa"/>
            <w:vAlign w:val="bottom"/>
            <w:gridSpan w:val="3"/>
            <w:shd w:val="clear" w:color="auto" w:fill="CCEEFF"/>
          </w:tcPr>
          <w:p>
            <w:pPr>
              <w:jc w:val="right"/>
              <w:ind w:right="183"/>
              <w:spacing w:after="0" w:line="199" w:lineRule="exact"/>
              <w:rPr>
                <w:sz w:val="20"/>
                <w:szCs w:val="20"/>
                <w:color w:val="auto"/>
              </w:rPr>
            </w:pPr>
            <w:r>
              <w:rPr>
                <w:rFonts w:ascii="Arial" w:cs="Arial" w:eastAsia="Arial" w:hAnsi="Arial"/>
                <w:sz w:val="18"/>
                <w:szCs w:val="18"/>
                <w:color w:val="auto"/>
              </w:rPr>
              <w:t>(3,931)</w:t>
            </w:r>
          </w:p>
        </w:tc>
        <w:tc>
          <w:tcPr>
            <w:tcW w:w="1040" w:type="dxa"/>
            <w:vAlign w:val="bottom"/>
            <w:gridSpan w:val="2"/>
            <w:shd w:val="clear" w:color="auto" w:fill="CCEEFF"/>
          </w:tcPr>
          <w:p>
            <w:pPr>
              <w:ind w:left="220"/>
              <w:spacing w:after="0" w:line="199" w:lineRule="exact"/>
              <w:rPr>
                <w:sz w:val="20"/>
                <w:szCs w:val="20"/>
                <w:color w:val="auto"/>
              </w:rPr>
            </w:pPr>
            <w:r>
              <w:rPr>
                <w:rFonts w:ascii="Arial" w:cs="Arial" w:eastAsia="Arial" w:hAnsi="Arial"/>
                <w:sz w:val="18"/>
                <w:szCs w:val="18"/>
                <w:color w:val="auto"/>
                <w:w w:val="99"/>
              </w:rPr>
              <w:t>1,980,311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260" w:type="dxa"/>
            <w:vAlign w:val="bottom"/>
            <w:tcBorders>
              <w:top w:val="single" w:sz="8" w:color="CCEEFF"/>
            </w:tcBorders>
          </w:tcPr>
          <w:p>
            <w:pPr>
              <w:spacing w:after="0" w:line="186" w:lineRule="exact"/>
              <w:rPr>
                <w:sz w:val="20"/>
                <w:szCs w:val="20"/>
                <w:color w:val="auto"/>
              </w:rPr>
            </w:pPr>
            <w:r>
              <w:rPr>
                <w:rFonts w:ascii="Arial" w:cs="Arial" w:eastAsia="Arial" w:hAnsi="Arial"/>
                <w:sz w:val="18"/>
                <w:szCs w:val="18"/>
                <w:color w:val="auto"/>
              </w:rPr>
              <w:t>Total</w:t>
            </w:r>
          </w:p>
        </w:tc>
        <w:tc>
          <w:tcPr>
            <w:tcW w:w="36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ind w:left="340"/>
              <w:spacing w:after="0" w:line="186" w:lineRule="exact"/>
              <w:rPr>
                <w:sz w:val="20"/>
                <w:szCs w:val="20"/>
                <w:color w:val="auto"/>
              </w:rPr>
            </w:pPr>
            <w:r>
              <w:rPr>
                <w:rFonts w:ascii="Arial" w:cs="Arial" w:eastAsia="Arial" w:hAnsi="Arial"/>
                <w:sz w:val="18"/>
                <w:szCs w:val="18"/>
                <w:color w:val="auto"/>
                <w:w w:val="94"/>
              </w:rPr>
              <w:t>1,794,879</w:t>
            </w:r>
          </w:p>
        </w:tc>
        <w:tc>
          <w:tcPr>
            <w:tcW w:w="34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5"/>
                <w:szCs w:val="15"/>
                <w:color w:val="auto"/>
                <w:w w:val="79"/>
              </w:rPr>
              <w:t>-</w:t>
            </w: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189,363</w:t>
            </w:r>
          </w:p>
        </w:tc>
        <w:tc>
          <w:tcPr>
            <w:tcW w:w="320" w:type="dxa"/>
            <w:vAlign w:val="bottom"/>
            <w:tcBorders>
              <w:top w:val="single" w:sz="8" w:color="CCEEFF"/>
            </w:tcBorders>
          </w:tcPr>
          <w:p>
            <w:pPr>
              <w:spacing w:after="0"/>
              <w:rPr>
                <w:sz w:val="16"/>
                <w:szCs w:val="16"/>
                <w:color w:val="auto"/>
              </w:rPr>
            </w:pPr>
          </w:p>
        </w:tc>
        <w:tc>
          <w:tcPr>
            <w:tcW w:w="10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5"/>
                <w:szCs w:val="15"/>
                <w:color w:val="auto"/>
                <w:w w:val="79"/>
              </w:rPr>
              <w:t>-</w:t>
            </w:r>
          </w:p>
        </w:tc>
        <w:tc>
          <w:tcPr>
            <w:tcW w:w="320" w:type="dxa"/>
            <w:vAlign w:val="bottom"/>
            <w:tcBorders>
              <w:top w:val="single" w:sz="8" w:color="CCEEFF"/>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(3,931</w:t>
            </w:r>
          </w:p>
        </w:tc>
        <w:tc>
          <w:tcPr>
            <w:tcW w:w="320" w:type="dxa"/>
            <w:vAlign w:val="bottom"/>
            <w:tcBorders>
              <w:top w:val="single" w:sz="8" w:color="CCEEFF"/>
            </w:tcBorders>
          </w:tcPr>
          <w:p>
            <w:pPr>
              <w:jc w:val="right"/>
              <w:ind w:right="183"/>
              <w:spacing w:after="0"/>
              <w:rPr>
                <w:sz w:val="20"/>
                <w:szCs w:val="20"/>
                <w:color w:val="auto"/>
              </w:rPr>
            </w:pPr>
            <w:r>
              <w:rPr>
                <w:rFonts w:ascii="Arial" w:cs="Arial" w:eastAsia="Arial" w:hAnsi="Arial"/>
                <w:sz w:val="15"/>
                <w:szCs w:val="15"/>
                <w:color w:val="auto"/>
                <w:w w:val="79"/>
              </w:rPr>
              <w:t>)</w:t>
            </w:r>
          </w:p>
        </w:tc>
        <w:tc>
          <w:tcPr>
            <w:tcW w:w="1020" w:type="dxa"/>
            <w:vAlign w:val="bottom"/>
            <w:tcBorders>
              <w:top w:val="single" w:sz="8" w:color="auto"/>
              <w:bottom w:val="single" w:sz="8" w:color="auto"/>
            </w:tcBorders>
          </w:tcPr>
          <w:p>
            <w:pPr>
              <w:ind w:left="220"/>
              <w:spacing w:after="0" w:line="186" w:lineRule="exact"/>
              <w:rPr>
                <w:sz w:val="20"/>
                <w:szCs w:val="20"/>
                <w:color w:val="auto"/>
              </w:rPr>
            </w:pPr>
            <w:r>
              <w:rPr>
                <w:rFonts w:ascii="Arial" w:cs="Arial" w:eastAsia="Arial" w:hAnsi="Arial"/>
                <w:sz w:val="18"/>
                <w:szCs w:val="18"/>
                <w:color w:val="auto"/>
                <w:w w:val="97"/>
              </w:rPr>
              <w:t>1,980,311</w:t>
            </w:r>
          </w:p>
        </w:tc>
        <w:tc>
          <w:tcPr>
            <w:tcW w:w="2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attached notes from page 10 to 39 are part of the separate financial statements.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348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15" w:name="page16"/>
    <w:bookmarkEnd w:id="15"/>
    <w:p>
      <w:pPr>
        <w:ind w:left="634"/>
        <w:spacing w:after="0"/>
        <w:rPr>
          <w:sz w:val="20"/>
          <w:szCs w:val="20"/>
          <w:color w:val="auto"/>
        </w:rPr>
      </w:pPr>
      <w:r>
        <w:rPr>
          <w:rFonts w:ascii="Arial" w:cs="Arial" w:eastAsia="Arial" w:hAnsi="Arial"/>
          <w:sz w:val="19"/>
          <w:szCs w:val="19"/>
          <w:b w:val="1"/>
          <w:bCs w:val="1"/>
          <w:color w:val="auto"/>
        </w:rPr>
        <w:t>CREDICORP LTD.</w:t>
      </w:r>
    </w:p>
    <w:p>
      <w:pPr>
        <w:spacing w:after="0" w:line="212" w:lineRule="exact"/>
        <w:rPr>
          <w:sz w:val="20"/>
          <w:szCs w:val="20"/>
          <w:color w:val="auto"/>
        </w:rPr>
      </w:pPr>
    </w:p>
    <w:p>
      <w:pPr>
        <w:ind w:left="634"/>
        <w:spacing w:after="0"/>
        <w:rPr>
          <w:sz w:val="20"/>
          <w:szCs w:val="20"/>
          <w:color w:val="auto"/>
        </w:rPr>
      </w:pPr>
      <w:r>
        <w:rPr>
          <w:rFonts w:ascii="Arial" w:cs="Arial" w:eastAsia="Arial" w:hAnsi="Arial"/>
          <w:sz w:val="18"/>
          <w:szCs w:val="18"/>
          <w:color w:val="auto"/>
        </w:rPr>
        <w:t>NOTES TO THE SEPARATE FINANCIAL STATEMENTS</w:t>
      </w:r>
    </w:p>
    <w:p>
      <w:pPr>
        <w:ind w:left="634"/>
        <w:spacing w:after="0"/>
        <w:rPr>
          <w:sz w:val="20"/>
          <w:szCs w:val="20"/>
          <w:color w:val="auto"/>
        </w:rPr>
      </w:pPr>
      <w:r>
        <w:rPr>
          <w:rFonts w:ascii="Arial" w:cs="Arial" w:eastAsia="Arial" w:hAnsi="Arial"/>
          <w:sz w:val="18"/>
          <w:szCs w:val="18"/>
          <w:color w:val="auto"/>
        </w:rPr>
        <w:t>AS OF DECEMBER 31, 2022 AND 2021</w:t>
      </w:r>
    </w:p>
    <w:p>
      <w:pPr>
        <w:spacing w:after="0" w:line="169" w:lineRule="exact"/>
        <w:rPr>
          <w:sz w:val="20"/>
          <w:szCs w:val="20"/>
          <w:color w:val="auto"/>
        </w:rPr>
      </w:pPr>
    </w:p>
    <w:p>
      <w:pPr>
        <w:ind w:left="634" w:hanging="634"/>
        <w:spacing w:after="0"/>
        <w:tabs>
          <w:tab w:leader="none" w:pos="63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w:t>
      </w:r>
    </w:p>
    <w:p>
      <w:pPr>
        <w:spacing w:after="0" w:line="213" w:lineRule="exact"/>
        <w:rPr>
          <w:rFonts w:ascii="Arial" w:cs="Arial" w:eastAsia="Arial" w:hAnsi="Arial"/>
          <w:sz w:val="18"/>
          <w:szCs w:val="18"/>
          <w:b w:val="1"/>
          <w:bCs w:val="1"/>
          <w:color w:val="auto"/>
        </w:rPr>
      </w:pPr>
    </w:p>
    <w:p>
      <w:pPr>
        <w:ind w:left="634" w:right="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Credicorp Ltd. (hereinafter “Credicorp”) is a limited liability company incorporated in Bermuda in 1995. Its objective is to act as a holding company and according to Bermuda’s economic substance regulation, Credicorp Ltd. as an independent legal entity, is considered a “Pure Equity Holding Entity” (PEHE). Credicorp’s activity is to maintain equity interests and receive passive income such as dividends, capital gains and other income from investments in securities.</w:t>
      </w:r>
    </w:p>
    <w:p>
      <w:pPr>
        <w:spacing w:after="0" w:line="188" w:lineRule="exact"/>
        <w:rPr>
          <w:rFonts w:ascii="Arial" w:cs="Arial" w:eastAsia="Arial" w:hAnsi="Arial"/>
          <w:sz w:val="18"/>
          <w:szCs w:val="18"/>
          <w:b w:val="1"/>
          <w:bCs w:val="1"/>
          <w:color w:val="auto"/>
        </w:rPr>
      </w:pPr>
    </w:p>
    <w:p>
      <w:pPr>
        <w:ind w:left="634"/>
        <w:spacing w:after="0" w:line="232" w:lineRule="auto"/>
        <w:rPr>
          <w:rFonts w:ascii="Arial" w:cs="Arial" w:eastAsia="Arial" w:hAnsi="Arial"/>
          <w:sz w:val="18"/>
          <w:szCs w:val="18"/>
          <w:b w:val="1"/>
          <w:bCs w:val="1"/>
          <w:color w:val="auto"/>
        </w:rPr>
      </w:pPr>
      <w:r>
        <w:rPr>
          <w:rFonts w:ascii="Arial" w:cs="Arial" w:eastAsia="Arial" w:hAnsi="Arial"/>
          <w:sz w:val="18"/>
          <w:szCs w:val="18"/>
          <w:color w:val="auto"/>
        </w:rPr>
        <w:t>In order to keep Credicorp’s structure and organization fully aligned with the new legislation on economic substance approved by the Government of Bermuda on January 11, 2019, as of October 29, 2020, the decisions of the Credicorp Board of Directors will be limited to issues related to Credicorp’s strategy, objectives and goals, main action plans and policies, risk control and management, annual budgets, business plans and control of their implementation, supervision of the main expenses, investments, acquisitions and disposals, among other “passive” decisions related to Credicorp. The authority to make decisions applicable to Credicorp’s subsidiaries, such as the adoption of relevant strategic or management decisions, the assumption of expenses for the benefit of its affiliates, the coordination of Credicorp Ltd. activities, and the granting of credit facilities in favor of its affiliates, it has been transferred to Grupo Crédito SA, a subsidiary of Credicorp.</w:t>
      </w:r>
    </w:p>
    <w:p>
      <w:pPr>
        <w:spacing w:after="0" w:line="192" w:lineRule="exact"/>
        <w:rPr>
          <w:rFonts w:ascii="Arial" w:cs="Arial" w:eastAsia="Arial" w:hAnsi="Arial"/>
          <w:sz w:val="18"/>
          <w:szCs w:val="18"/>
          <w:b w:val="1"/>
          <w:bCs w:val="1"/>
          <w:color w:val="auto"/>
        </w:rPr>
      </w:pPr>
    </w:p>
    <w:p>
      <w:pPr>
        <w:ind w:left="634" w:right="320"/>
        <w:spacing w:after="0" w:line="236" w:lineRule="auto"/>
        <w:rPr>
          <w:rFonts w:ascii="Arial" w:cs="Arial" w:eastAsia="Arial" w:hAnsi="Arial"/>
          <w:sz w:val="18"/>
          <w:szCs w:val="18"/>
          <w:b w:val="1"/>
          <w:bCs w:val="1"/>
          <w:color w:val="auto"/>
        </w:rPr>
      </w:pPr>
      <w:r>
        <w:rPr>
          <w:rFonts w:ascii="Arial" w:cs="Arial" w:eastAsia="Arial" w:hAnsi="Arial"/>
          <w:sz w:val="18"/>
          <w:szCs w:val="18"/>
          <w:color w:val="auto"/>
        </w:rPr>
        <w:t>Credicorp, through its banking and non-banking subsidiaries and its associate Entidad Prestadora de Salud, offers a wide range of financial, insurance and health services and products, mainly throughout Perú and in other countries (see note 3(h)). Its main subsidiary is Banco de Crédito del Perú (hereinafter “BCP” or the “Bank”), a multiple bank incorporated in Perú.</w:t>
      </w:r>
    </w:p>
    <w:p>
      <w:pPr>
        <w:spacing w:after="0" w:line="186" w:lineRule="exact"/>
        <w:rPr>
          <w:rFonts w:ascii="Arial" w:cs="Arial" w:eastAsia="Arial" w:hAnsi="Arial"/>
          <w:sz w:val="18"/>
          <w:szCs w:val="18"/>
          <w:b w:val="1"/>
          <w:bCs w:val="1"/>
          <w:color w:val="auto"/>
        </w:rPr>
      </w:pPr>
    </w:p>
    <w:p>
      <w:pPr>
        <w:ind w:left="634" w:right="1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Credicorp’s legal address is Clarendon House 2 Church Street Hamilton, Bermuda; likewise, the main offices from where Credicorp’s businesses are managed are located at Calle Centenario N° 156, La Molina, Lima, Perú.</w:t>
      </w:r>
    </w:p>
    <w:p>
      <w:pPr>
        <w:spacing w:after="0" w:line="187" w:lineRule="exact"/>
        <w:rPr>
          <w:rFonts w:ascii="Arial" w:cs="Arial" w:eastAsia="Arial" w:hAnsi="Arial"/>
          <w:sz w:val="18"/>
          <w:szCs w:val="18"/>
          <w:b w:val="1"/>
          <w:bCs w:val="1"/>
          <w:color w:val="auto"/>
        </w:rPr>
      </w:pPr>
    </w:p>
    <w:p>
      <w:pPr>
        <w:ind w:left="634" w:right="8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The separate financial statements as of December 31, 2021, and for the year then ended were approved by the Board of Directors on February 24, 2022 and presented to the General Shareholders’ Meeting on March 29, 2022. The separate financial statements as of December 31, 2022, and for the year ended on that date were approved and authorized for issuance by the Board of Directors and Management on February 23, 2023, and will be presented for final approval in the General Shareholders’ Meeting, which will be held within the deadlines established by law. Management consider that they will be approved without amendments.</w:t>
      </w:r>
    </w:p>
    <w:p>
      <w:pPr>
        <w:spacing w:after="0" w:line="186" w:lineRule="exact"/>
        <w:rPr>
          <w:rFonts w:ascii="Arial" w:cs="Arial" w:eastAsia="Arial" w:hAnsi="Arial"/>
          <w:sz w:val="18"/>
          <w:szCs w:val="18"/>
          <w:b w:val="1"/>
          <w:bCs w:val="1"/>
          <w:color w:val="auto"/>
        </w:rPr>
      </w:pPr>
    </w:p>
    <w:p>
      <w:pPr>
        <w:ind w:left="634"/>
        <w:spacing w:after="0"/>
        <w:rPr>
          <w:rFonts w:ascii="Arial" w:cs="Arial" w:eastAsia="Arial" w:hAnsi="Arial"/>
          <w:sz w:val="18"/>
          <w:szCs w:val="18"/>
          <w:b w:val="1"/>
          <w:bCs w:val="1"/>
          <w:color w:val="auto"/>
        </w:rPr>
      </w:pPr>
      <w:r>
        <w:rPr>
          <w:rFonts w:ascii="Arial" w:cs="Arial" w:eastAsia="Arial" w:hAnsi="Arial"/>
          <w:sz w:val="18"/>
          <w:szCs w:val="18"/>
          <w:color w:val="auto"/>
        </w:rPr>
        <w:t>Credicorp is listed on the Lima and New York stock exchanges.</w:t>
      </w:r>
    </w:p>
    <w:p>
      <w:pPr>
        <w:spacing w:after="0" w:line="164" w:lineRule="exact"/>
        <w:rPr>
          <w:rFonts w:ascii="Arial" w:cs="Arial" w:eastAsia="Arial" w:hAnsi="Arial"/>
          <w:sz w:val="18"/>
          <w:szCs w:val="18"/>
          <w:b w:val="1"/>
          <w:bCs w:val="1"/>
          <w:color w:val="auto"/>
        </w:rPr>
      </w:pPr>
    </w:p>
    <w:p>
      <w:pPr>
        <w:ind w:left="5514" w:hanging="102"/>
        <w:spacing w:after="0"/>
        <w:tabs>
          <w:tab w:leader="none" w:pos="5514" w:val="left"/>
        </w:tabs>
        <w:numPr>
          <w:ilvl w:val="1"/>
          <w:numId w:val="3"/>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348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54"/>
          </w:cols>
          <w:pgMar w:left="326" w:top="324" w:right="419" w:bottom="1440" w:gutter="0" w:footer="0" w:header="0"/>
        </w:sectPr>
      </w:pPr>
    </w:p>
    <w:bookmarkStart w:id="16" w:name="page17"/>
    <w:bookmarkEnd w:id="16"/>
    <w:p>
      <w:pPr>
        <w:ind w:left="634" w:hanging="634"/>
        <w:spacing w:after="0"/>
        <w:tabs>
          <w:tab w:leader="none" w:pos="63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TRANSACTIONS</w:t>
      </w:r>
    </w:p>
    <w:p>
      <w:pPr>
        <w:spacing w:after="0" w:line="212" w:lineRule="exact"/>
        <w:rPr>
          <w:rFonts w:ascii="Arial" w:cs="Arial" w:eastAsia="Arial" w:hAnsi="Arial"/>
          <w:sz w:val="18"/>
          <w:szCs w:val="18"/>
          <w:b w:val="1"/>
          <w:bCs w:val="1"/>
          <w:color w:val="auto"/>
        </w:rPr>
      </w:pPr>
    </w:p>
    <w:p>
      <w:pPr>
        <w:ind w:left="954" w:hanging="316"/>
        <w:spacing w:after="0"/>
        <w:tabs>
          <w:tab w:leader="none" w:pos="954" w:val="left"/>
        </w:tabs>
        <w:numPr>
          <w:ilvl w:val="1"/>
          <w:numId w:val="4"/>
        </w:numPr>
        <w:rPr>
          <w:rFonts w:ascii="Arial" w:cs="Arial" w:eastAsia="Arial" w:hAnsi="Arial"/>
          <w:sz w:val="18"/>
          <w:szCs w:val="18"/>
          <w:color w:val="auto"/>
        </w:rPr>
      </w:pPr>
      <w:r>
        <w:rPr>
          <w:rFonts w:ascii="Arial" w:cs="Arial" w:eastAsia="Arial" w:hAnsi="Arial"/>
          <w:sz w:val="18"/>
          <w:szCs w:val="18"/>
          <w:color w:val="auto"/>
        </w:rPr>
        <w:t>Main acquisitions, incorporations and mergers</w:t>
      </w:r>
    </w:p>
    <w:p>
      <w:pPr>
        <w:spacing w:after="0" w:line="191" w:lineRule="exact"/>
        <w:rPr>
          <w:rFonts w:ascii="Arial" w:cs="Arial" w:eastAsia="Arial" w:hAnsi="Arial"/>
          <w:sz w:val="18"/>
          <w:szCs w:val="18"/>
          <w:color w:val="auto"/>
        </w:rPr>
      </w:pPr>
    </w:p>
    <w:p>
      <w:pPr>
        <w:ind w:left="954"/>
        <w:spacing w:after="0" w:line="238" w:lineRule="auto"/>
        <w:rPr>
          <w:rFonts w:ascii="Arial" w:cs="Arial" w:eastAsia="Arial" w:hAnsi="Arial"/>
          <w:sz w:val="18"/>
          <w:szCs w:val="18"/>
          <w:color w:val="auto"/>
        </w:rPr>
      </w:pPr>
      <w:r>
        <w:rPr>
          <w:rFonts w:ascii="Arial" w:cs="Arial" w:eastAsia="Arial" w:hAnsi="Arial"/>
          <w:sz w:val="18"/>
          <w:szCs w:val="18"/>
          <w:color w:val="auto"/>
        </w:rPr>
        <w:t>In 2022, Credicorp Ltd. has not carried out significant transactions of acquisitions, incorporation or mergers of companies. In 2021, the following significant transactions have been carried out under common control:</w:t>
      </w:r>
    </w:p>
    <w:p>
      <w:pPr>
        <w:spacing w:after="0" w:line="187" w:lineRule="exact"/>
        <w:rPr>
          <w:rFonts w:ascii="Arial" w:cs="Arial" w:eastAsia="Arial" w:hAnsi="Arial"/>
          <w:sz w:val="18"/>
          <w:szCs w:val="18"/>
          <w:color w:val="auto"/>
        </w:rPr>
      </w:pPr>
    </w:p>
    <w:p>
      <w:pPr>
        <w:ind w:left="1274" w:hanging="318"/>
        <w:spacing w:after="0"/>
        <w:tabs>
          <w:tab w:leader="none" w:pos="1274" w:val="left"/>
        </w:tabs>
        <w:numPr>
          <w:ilvl w:val="2"/>
          <w:numId w:val="4"/>
        </w:numPr>
        <w:rPr>
          <w:rFonts w:ascii="Arial" w:cs="Arial" w:eastAsia="Arial" w:hAnsi="Arial"/>
          <w:sz w:val="18"/>
          <w:szCs w:val="18"/>
          <w:color w:val="auto"/>
        </w:rPr>
      </w:pPr>
      <w:r>
        <w:rPr>
          <w:rFonts w:ascii="Arial" w:cs="Arial" w:eastAsia="Arial" w:hAnsi="Arial"/>
          <w:sz w:val="18"/>
          <w:szCs w:val="18"/>
          <w:color w:val="auto"/>
        </w:rPr>
        <w:t>Merger by absorption between ASB Bank Corp. and Atlantic Security Bank -</w:t>
      </w:r>
    </w:p>
    <w:p>
      <w:pPr>
        <w:spacing w:after="0" w:line="191" w:lineRule="exact"/>
        <w:rPr>
          <w:rFonts w:ascii="Arial" w:cs="Arial" w:eastAsia="Arial" w:hAnsi="Arial"/>
          <w:sz w:val="18"/>
          <w:szCs w:val="18"/>
          <w:color w:val="auto"/>
        </w:rPr>
      </w:pPr>
    </w:p>
    <w:p>
      <w:pPr>
        <w:ind w:left="1274" w:right="180"/>
        <w:spacing w:after="0" w:line="234" w:lineRule="auto"/>
        <w:rPr>
          <w:rFonts w:ascii="Arial" w:cs="Arial" w:eastAsia="Arial" w:hAnsi="Arial"/>
          <w:sz w:val="18"/>
          <w:szCs w:val="18"/>
          <w:color w:val="auto"/>
        </w:rPr>
      </w:pPr>
      <w:r>
        <w:rPr>
          <w:rFonts w:ascii="Arial" w:cs="Arial" w:eastAsia="Arial" w:hAnsi="Arial"/>
          <w:sz w:val="18"/>
          <w:szCs w:val="18"/>
          <w:color w:val="auto"/>
        </w:rPr>
        <w:t>At the General Shareholders’ Meeting - Extraordinary Meeting held on November 27, 2020, the shareholders of ASB Bank Corp. approved the merger by absorption of Atlantic Security Bank. This operation was authorized by the Superintendency of Banks of Panama through Resolution SBP-033-2021 held on April 9, 2021. Also, on August 2, 2021, ASB Bank Corp. (absorbing entity) acquired all the assets, liabilities, rights and obligations of Atlantic Security Bank (absorbed entity).</w:t>
      </w:r>
    </w:p>
    <w:p>
      <w:pPr>
        <w:spacing w:after="0" w:line="188" w:lineRule="exact"/>
        <w:rPr>
          <w:rFonts w:ascii="Arial" w:cs="Arial" w:eastAsia="Arial" w:hAnsi="Arial"/>
          <w:sz w:val="18"/>
          <w:szCs w:val="18"/>
          <w:color w:val="auto"/>
        </w:rPr>
      </w:pPr>
    </w:p>
    <w:p>
      <w:pPr>
        <w:ind w:left="1274"/>
        <w:spacing w:after="0"/>
        <w:rPr>
          <w:rFonts w:ascii="Arial" w:cs="Arial" w:eastAsia="Arial" w:hAnsi="Arial"/>
          <w:sz w:val="18"/>
          <w:szCs w:val="18"/>
          <w:color w:val="auto"/>
        </w:rPr>
      </w:pPr>
      <w:r>
        <w:rPr>
          <w:rFonts w:ascii="Arial" w:cs="Arial" w:eastAsia="Arial" w:hAnsi="Arial"/>
          <w:sz w:val="18"/>
          <w:szCs w:val="18"/>
          <w:color w:val="auto"/>
        </w:rPr>
        <w:t>This transaction has not generated a significant impact on the Credicorp’s separate financial statements.</w:t>
      </w:r>
    </w:p>
    <w:p>
      <w:pPr>
        <w:spacing w:after="0" w:line="191" w:lineRule="exact"/>
        <w:rPr>
          <w:rFonts w:ascii="Arial" w:cs="Arial" w:eastAsia="Arial" w:hAnsi="Arial"/>
          <w:sz w:val="18"/>
          <w:szCs w:val="18"/>
          <w:color w:val="auto"/>
        </w:rPr>
      </w:pPr>
    </w:p>
    <w:p>
      <w:pPr>
        <w:ind w:left="1274" w:hanging="318"/>
        <w:spacing w:after="0"/>
        <w:tabs>
          <w:tab w:leader="none" w:pos="1274" w:val="left"/>
        </w:tabs>
        <w:numPr>
          <w:ilvl w:val="2"/>
          <w:numId w:val="4"/>
        </w:numPr>
        <w:rPr>
          <w:rFonts w:ascii="Arial" w:cs="Arial" w:eastAsia="Arial" w:hAnsi="Arial"/>
          <w:sz w:val="18"/>
          <w:szCs w:val="18"/>
          <w:color w:val="auto"/>
        </w:rPr>
      </w:pPr>
      <w:r>
        <w:rPr>
          <w:rFonts w:ascii="Arial" w:cs="Arial" w:eastAsia="Arial" w:hAnsi="Arial"/>
          <w:sz w:val="18"/>
          <w:szCs w:val="18"/>
          <w:color w:val="auto"/>
        </w:rPr>
        <w:t>Merger by absorption between Ultralat Capital Markets, LLC and Credicorp Capital Securities, Inc. -</w:t>
      </w:r>
    </w:p>
    <w:p>
      <w:pPr>
        <w:spacing w:after="0" w:line="191" w:lineRule="exact"/>
        <w:rPr>
          <w:rFonts w:ascii="Arial" w:cs="Arial" w:eastAsia="Arial" w:hAnsi="Arial"/>
          <w:sz w:val="18"/>
          <w:szCs w:val="18"/>
          <w:color w:val="auto"/>
        </w:rPr>
      </w:pPr>
    </w:p>
    <w:p>
      <w:pPr>
        <w:ind w:left="1274" w:right="80"/>
        <w:spacing w:after="0" w:line="248" w:lineRule="auto"/>
        <w:rPr>
          <w:rFonts w:ascii="Arial" w:cs="Arial" w:eastAsia="Arial" w:hAnsi="Arial"/>
          <w:sz w:val="18"/>
          <w:szCs w:val="18"/>
          <w:color w:val="auto"/>
        </w:rPr>
      </w:pPr>
      <w:r>
        <w:rPr>
          <w:rFonts w:ascii="Arial" w:cs="Arial" w:eastAsia="Arial" w:hAnsi="Arial"/>
          <w:sz w:val="17"/>
          <w:szCs w:val="17"/>
          <w:color w:val="auto"/>
        </w:rPr>
        <w:t>On February 28, 2020, the Board of Directors of Ultralat Group Inc., parent company and sole shareholder of Ultralat Capital Markets, LLC and of Credicorp Capital Securities, Inc. approved the merger by absorption process between Ultralat Capital Markets, LLC and Credicorp Capital Securities, Inc. It also agreed that, as of the date of the merger, the legal name of the new merged entity will be “Credicorp Capital LLC.” This operation was authorized by the Financial Industry Regulatory Authority (FINRA) of the United States on December 4, 2020. Likewise, on February 1, 2021, Ultralat Capital Markets, LLC (absorbing entity) acquired the assets, liabilities, rights and obligations of Credicorp Capital Securities, Inc. (absorbed entity).</w:t>
      </w:r>
    </w:p>
    <w:p>
      <w:pPr>
        <w:spacing w:after="0" w:line="182" w:lineRule="exact"/>
        <w:rPr>
          <w:rFonts w:ascii="Arial" w:cs="Arial" w:eastAsia="Arial" w:hAnsi="Arial"/>
          <w:sz w:val="18"/>
          <w:szCs w:val="18"/>
          <w:color w:val="auto"/>
        </w:rPr>
      </w:pPr>
    </w:p>
    <w:p>
      <w:pPr>
        <w:ind w:left="1274"/>
        <w:spacing w:after="0"/>
        <w:rPr>
          <w:rFonts w:ascii="Arial" w:cs="Arial" w:eastAsia="Arial" w:hAnsi="Arial"/>
          <w:sz w:val="18"/>
          <w:szCs w:val="18"/>
          <w:color w:val="auto"/>
        </w:rPr>
      </w:pPr>
      <w:r>
        <w:rPr>
          <w:rFonts w:ascii="Arial" w:cs="Arial" w:eastAsia="Arial" w:hAnsi="Arial"/>
          <w:sz w:val="18"/>
          <w:szCs w:val="18"/>
          <w:color w:val="auto"/>
        </w:rPr>
        <w:t>This transaction has not generated a significant impact on the Credicorp’s separated financial statements.</w:t>
      </w:r>
    </w:p>
    <w:p>
      <w:pPr>
        <w:spacing w:after="0" w:line="191" w:lineRule="exact"/>
        <w:rPr>
          <w:rFonts w:ascii="Arial" w:cs="Arial" w:eastAsia="Arial" w:hAnsi="Arial"/>
          <w:sz w:val="18"/>
          <w:szCs w:val="18"/>
          <w:color w:val="auto"/>
        </w:rPr>
      </w:pPr>
    </w:p>
    <w:p>
      <w:pPr>
        <w:ind w:left="954" w:hanging="316"/>
        <w:spacing w:after="0" w:line="238" w:lineRule="auto"/>
        <w:tabs>
          <w:tab w:leader="none" w:pos="954"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accompanying separate financial statements reflect the individual activity of Credicorp Ltd., and do not include the effects of the consolidation of these separate financial statements with those of its subsidiaries. See Note 5(c).</w:t>
      </w:r>
    </w:p>
    <w:p>
      <w:pPr>
        <w:spacing w:after="0" w:line="187" w:lineRule="exact"/>
        <w:rPr>
          <w:rFonts w:ascii="Arial" w:cs="Arial" w:eastAsia="Arial" w:hAnsi="Arial"/>
          <w:sz w:val="18"/>
          <w:szCs w:val="18"/>
          <w:color w:val="auto"/>
        </w:rPr>
      </w:pPr>
    </w:p>
    <w:p>
      <w:pPr>
        <w:ind w:left="954" w:right="260"/>
        <w:spacing w:after="0" w:line="265" w:lineRule="auto"/>
        <w:rPr>
          <w:rFonts w:ascii="Arial" w:cs="Arial" w:eastAsia="Arial" w:hAnsi="Arial"/>
          <w:sz w:val="18"/>
          <w:szCs w:val="18"/>
          <w:color w:val="auto"/>
        </w:rPr>
      </w:pPr>
      <w:r>
        <w:rPr>
          <w:rFonts w:ascii="Arial" w:cs="Arial" w:eastAsia="Arial" w:hAnsi="Arial"/>
          <w:sz w:val="17"/>
          <w:szCs w:val="17"/>
          <w:color w:val="auto"/>
        </w:rPr>
        <w:t xml:space="preserve">These separate financial statements should be read together with Credicorp’s consolidated financial statements as of December 31, 2022 and issued on February 23, 2023, such financial statements can be found at </w:t>
      </w:r>
      <w:r>
        <w:rPr>
          <w:rFonts w:ascii="Arial" w:cs="Arial" w:eastAsia="Arial" w:hAnsi="Arial"/>
          <w:sz w:val="17"/>
          <w:szCs w:val="17"/>
          <w:u w:val="single" w:color="auto"/>
          <w:color w:val="auto"/>
        </w:rPr>
        <w:t>www.credicorp.gcs-web.com</w:t>
      </w:r>
      <w:r>
        <w:rPr>
          <w:rFonts w:ascii="Arial" w:cs="Arial" w:eastAsia="Arial" w:hAnsi="Arial"/>
          <w:sz w:val="17"/>
          <w:szCs w:val="17"/>
          <w:color w:val="auto"/>
        </w:rPr>
        <w:t>.</w:t>
      </w:r>
    </w:p>
    <w:p>
      <w:pPr>
        <w:spacing w:after="0" w:line="139" w:lineRule="exact"/>
        <w:rPr>
          <w:rFonts w:ascii="Arial" w:cs="Arial" w:eastAsia="Arial" w:hAnsi="Arial"/>
          <w:sz w:val="18"/>
          <w:szCs w:val="18"/>
          <w:color w:val="auto"/>
        </w:rPr>
      </w:pPr>
    </w:p>
    <w:p>
      <w:pPr>
        <w:ind w:left="5514" w:hanging="102"/>
        <w:spacing w:after="0"/>
        <w:tabs>
          <w:tab w:leader="none" w:pos="5514" w:val="left"/>
        </w:tabs>
        <w:numPr>
          <w:ilvl w:val="3"/>
          <w:numId w:val="4"/>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348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34"/>
          </w:cols>
          <w:pgMar w:left="326" w:top="118" w:right="339" w:bottom="1440" w:gutter="0" w:footer="0" w:header="0"/>
        </w:sectPr>
      </w:pPr>
    </w:p>
    <w:bookmarkStart w:id="17" w:name="page18"/>
    <w:bookmarkEnd w:id="17"/>
    <w:p>
      <w:pPr>
        <w:ind w:left="960" w:right="360"/>
        <w:spacing w:after="0" w:line="238" w:lineRule="auto"/>
        <w:rPr>
          <w:sz w:val="20"/>
          <w:szCs w:val="20"/>
          <w:color w:val="auto"/>
        </w:rPr>
      </w:pPr>
      <w:r>
        <w:rPr>
          <w:rFonts w:ascii="Arial" w:cs="Arial" w:eastAsia="Arial" w:hAnsi="Arial"/>
          <w:sz w:val="18"/>
          <w:szCs w:val="18"/>
          <w:color w:val="auto"/>
        </w:rPr>
        <w:t>The main information of the consolidated financial statements of Credicorp and subsidiaries at December 31, 2022 and 2021 is presented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460" w:type="dxa"/>
            <w:vAlign w:val="bottom"/>
            <w:gridSpan w:val="2"/>
          </w:tcPr>
          <w:p>
            <w:pPr>
              <w:ind w:left="122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20"/>
                <w:szCs w:val="20"/>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960" w:type="dxa"/>
            <w:vAlign w:val="bottom"/>
            <w:vMerge w:val="restart"/>
          </w:tcPr>
          <w:p>
            <w:pPr>
              <w:spacing w:after="0"/>
              <w:rPr>
                <w:sz w:val="14"/>
                <w:szCs w:val="14"/>
                <w:color w:val="auto"/>
              </w:rPr>
            </w:pPr>
          </w:p>
        </w:tc>
        <w:tc>
          <w:tcPr>
            <w:tcW w:w="6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60" w:type="dxa"/>
            <w:vAlign w:val="bottom"/>
            <w:vMerge w:val="continue"/>
          </w:tcPr>
          <w:p>
            <w:pPr>
              <w:spacing w:after="0"/>
              <w:rPr>
                <w:sz w:val="17"/>
                <w:szCs w:val="17"/>
                <w:color w:val="auto"/>
              </w:rPr>
            </w:pPr>
          </w:p>
        </w:tc>
        <w:tc>
          <w:tcPr>
            <w:tcW w:w="608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Consolidated statements of financial position</w:t>
            </w:r>
          </w:p>
        </w:tc>
        <w:tc>
          <w:tcPr>
            <w:tcW w:w="1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vMerge w:val="continue"/>
          </w:tcPr>
          <w:p>
            <w:pPr>
              <w:spacing w:after="0"/>
              <w:rPr>
                <w:sz w:val="17"/>
                <w:szCs w:val="17"/>
                <w:color w:val="auto"/>
              </w:rPr>
            </w:pPr>
          </w:p>
        </w:tc>
        <w:tc>
          <w:tcPr>
            <w:tcW w:w="608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Assets -</w:t>
            </w:r>
          </w:p>
        </w:tc>
        <w:tc>
          <w:tcPr>
            <w:tcW w:w="1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tcPr>
          <w:p>
            <w:pPr>
              <w:spacing w:after="0" w:line="199" w:lineRule="exact"/>
              <w:rPr>
                <w:sz w:val="20"/>
                <w:szCs w:val="20"/>
                <w:color w:val="auto"/>
              </w:rPr>
            </w:pPr>
            <w:r>
              <w:rPr>
                <w:rFonts w:ascii="Arial" w:cs="Arial" w:eastAsia="Arial" w:hAnsi="Arial"/>
                <w:sz w:val="18"/>
                <w:szCs w:val="18"/>
                <w:color w:val="auto"/>
              </w:rPr>
              <w:t>Cash and due from banks</w:t>
            </w:r>
          </w:p>
        </w:tc>
        <w:tc>
          <w:tcPr>
            <w:tcW w:w="2680" w:type="dxa"/>
            <w:vAlign w:val="bottom"/>
            <w:gridSpan w:val="3"/>
          </w:tcPr>
          <w:p>
            <w:pPr>
              <w:jc w:val="right"/>
              <w:ind w:right="220"/>
              <w:spacing w:after="0" w:line="199" w:lineRule="exact"/>
              <w:rPr>
                <w:sz w:val="20"/>
                <w:szCs w:val="20"/>
                <w:color w:val="auto"/>
              </w:rPr>
            </w:pPr>
            <w:r>
              <w:rPr>
                <w:rFonts w:ascii="Arial" w:cs="Arial" w:eastAsia="Arial" w:hAnsi="Arial"/>
                <w:sz w:val="18"/>
                <w:szCs w:val="18"/>
                <w:color w:val="auto"/>
              </w:rPr>
              <w:t>34,183,840</w:t>
            </w:r>
          </w:p>
        </w:tc>
        <w:tc>
          <w:tcPr>
            <w:tcW w:w="124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39,320,740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Cash collateral, reverse repurchase agreements</w:t>
            </w:r>
          </w:p>
        </w:tc>
        <w:tc>
          <w:tcPr>
            <w:tcW w:w="1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tcPr>
          <w:p>
            <w:pPr>
              <w:spacing w:after="0" w:line="199" w:lineRule="exact"/>
              <w:rPr>
                <w:sz w:val="20"/>
                <w:szCs w:val="20"/>
                <w:color w:val="auto"/>
              </w:rPr>
            </w:pPr>
            <w:r>
              <w:rPr>
                <w:rFonts w:ascii="Arial" w:cs="Arial" w:eastAsia="Arial" w:hAnsi="Arial"/>
                <w:sz w:val="18"/>
                <w:szCs w:val="18"/>
                <w:color w:val="auto"/>
              </w:rPr>
              <w:t>and securities borrowing</w:t>
            </w:r>
          </w:p>
        </w:tc>
        <w:tc>
          <w:tcPr>
            <w:tcW w:w="2680" w:type="dxa"/>
            <w:vAlign w:val="bottom"/>
            <w:gridSpan w:val="3"/>
          </w:tcPr>
          <w:p>
            <w:pPr>
              <w:jc w:val="right"/>
              <w:ind w:right="220"/>
              <w:spacing w:after="0" w:line="199" w:lineRule="exact"/>
              <w:rPr>
                <w:sz w:val="20"/>
                <w:szCs w:val="20"/>
                <w:color w:val="auto"/>
              </w:rPr>
            </w:pPr>
            <w:r>
              <w:rPr>
                <w:rFonts w:ascii="Arial" w:cs="Arial" w:eastAsia="Arial" w:hAnsi="Arial"/>
                <w:sz w:val="18"/>
                <w:szCs w:val="18"/>
                <w:color w:val="auto"/>
              </w:rPr>
              <w:t>1,101,856</w:t>
            </w:r>
          </w:p>
        </w:tc>
        <w:tc>
          <w:tcPr>
            <w:tcW w:w="1340" w:type="dxa"/>
            <w:vAlign w:val="bottom"/>
            <w:gridSpan w:val="3"/>
          </w:tcPr>
          <w:p>
            <w:pPr>
              <w:jc w:val="right"/>
              <w:ind w:right="100"/>
              <w:spacing w:after="0" w:line="199" w:lineRule="exact"/>
              <w:rPr>
                <w:sz w:val="20"/>
                <w:szCs w:val="20"/>
                <w:color w:val="auto"/>
              </w:rPr>
            </w:pPr>
            <w:r>
              <w:rPr>
                <w:rFonts w:ascii="Arial" w:cs="Arial" w:eastAsia="Arial" w:hAnsi="Arial"/>
                <w:sz w:val="18"/>
                <w:szCs w:val="18"/>
                <w:color w:val="auto"/>
              </w:rPr>
              <w:t>1,766,948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Investments</w:t>
            </w:r>
          </w:p>
        </w:tc>
        <w:tc>
          <w:tcPr>
            <w:tcW w:w="2680" w:type="dxa"/>
            <w:vAlign w:val="bottom"/>
            <w:gridSpan w:val="3"/>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45,431,224</w:t>
            </w:r>
          </w:p>
        </w:tc>
        <w:tc>
          <w:tcPr>
            <w:tcW w:w="12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48,952,540</w:t>
            </w: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tcPr>
          <w:p>
            <w:pPr>
              <w:spacing w:after="0" w:line="199" w:lineRule="exact"/>
              <w:rPr>
                <w:sz w:val="20"/>
                <w:szCs w:val="20"/>
                <w:color w:val="auto"/>
              </w:rPr>
            </w:pPr>
            <w:r>
              <w:rPr>
                <w:rFonts w:ascii="Arial" w:cs="Arial" w:eastAsia="Arial" w:hAnsi="Arial"/>
                <w:sz w:val="18"/>
                <w:szCs w:val="18"/>
                <w:color w:val="auto"/>
              </w:rPr>
              <w:t>Loans, net</w:t>
            </w:r>
          </w:p>
        </w:tc>
        <w:tc>
          <w:tcPr>
            <w:tcW w:w="2680" w:type="dxa"/>
            <w:vAlign w:val="bottom"/>
            <w:gridSpan w:val="3"/>
          </w:tcPr>
          <w:p>
            <w:pPr>
              <w:jc w:val="right"/>
              <w:ind w:right="220"/>
              <w:spacing w:after="0" w:line="199" w:lineRule="exact"/>
              <w:rPr>
                <w:sz w:val="20"/>
                <w:szCs w:val="20"/>
                <w:color w:val="auto"/>
              </w:rPr>
            </w:pPr>
            <w:r>
              <w:rPr>
                <w:rFonts w:ascii="Arial" w:cs="Arial" w:eastAsia="Arial" w:hAnsi="Arial"/>
                <w:sz w:val="18"/>
                <w:szCs w:val="18"/>
                <w:color w:val="auto"/>
              </w:rPr>
              <w:t>140,753,972</w:t>
            </w:r>
          </w:p>
        </w:tc>
        <w:tc>
          <w:tcPr>
            <w:tcW w:w="1340" w:type="dxa"/>
            <w:vAlign w:val="bottom"/>
            <w:gridSpan w:val="3"/>
          </w:tcPr>
          <w:p>
            <w:pPr>
              <w:jc w:val="right"/>
              <w:ind w:right="100"/>
              <w:spacing w:after="0" w:line="199" w:lineRule="exact"/>
              <w:rPr>
                <w:sz w:val="20"/>
                <w:szCs w:val="20"/>
                <w:color w:val="auto"/>
              </w:rPr>
            </w:pPr>
            <w:r>
              <w:rPr>
                <w:rFonts w:ascii="Arial" w:cs="Arial" w:eastAsia="Arial" w:hAnsi="Arial"/>
                <w:sz w:val="18"/>
                <w:szCs w:val="18"/>
                <w:color w:val="auto"/>
              </w:rPr>
              <w:t>139,120,104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Property, furniture and equipment, net</w:t>
            </w:r>
          </w:p>
        </w:tc>
        <w:tc>
          <w:tcPr>
            <w:tcW w:w="2680" w:type="dxa"/>
            <w:vAlign w:val="bottom"/>
            <w:gridSpan w:val="3"/>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1,281,098</w:t>
            </w:r>
          </w:p>
        </w:tc>
        <w:tc>
          <w:tcPr>
            <w:tcW w:w="1340" w:type="dxa"/>
            <w:vAlign w:val="bottom"/>
            <w:gridSpan w:val="3"/>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1,308,779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tcPr>
          <w:p>
            <w:pPr>
              <w:spacing w:after="0" w:line="199" w:lineRule="exact"/>
              <w:rPr>
                <w:sz w:val="20"/>
                <w:szCs w:val="20"/>
                <w:color w:val="auto"/>
              </w:rPr>
            </w:pPr>
            <w:r>
              <w:rPr>
                <w:rFonts w:ascii="Arial" w:cs="Arial" w:eastAsia="Arial" w:hAnsi="Arial"/>
                <w:sz w:val="18"/>
                <w:szCs w:val="18"/>
                <w:color w:val="auto"/>
              </w:rPr>
              <w:t>Intangible assets and goodwill, net</w:t>
            </w:r>
          </w:p>
        </w:tc>
        <w:tc>
          <w:tcPr>
            <w:tcW w:w="2680" w:type="dxa"/>
            <w:vAlign w:val="bottom"/>
            <w:gridSpan w:val="3"/>
          </w:tcPr>
          <w:p>
            <w:pPr>
              <w:jc w:val="right"/>
              <w:ind w:right="220"/>
              <w:spacing w:after="0" w:line="199" w:lineRule="exact"/>
              <w:rPr>
                <w:sz w:val="20"/>
                <w:szCs w:val="20"/>
                <w:color w:val="auto"/>
              </w:rPr>
            </w:pPr>
            <w:r>
              <w:rPr>
                <w:rFonts w:ascii="Arial" w:cs="Arial" w:eastAsia="Arial" w:hAnsi="Arial"/>
                <w:sz w:val="18"/>
                <w:szCs w:val="18"/>
                <w:color w:val="auto"/>
              </w:rPr>
              <w:t>2,899,429</w:t>
            </w:r>
          </w:p>
        </w:tc>
        <w:tc>
          <w:tcPr>
            <w:tcW w:w="1340" w:type="dxa"/>
            <w:vAlign w:val="bottom"/>
            <w:gridSpan w:val="3"/>
          </w:tcPr>
          <w:p>
            <w:pPr>
              <w:jc w:val="right"/>
              <w:ind w:right="100"/>
              <w:spacing w:after="0" w:line="199" w:lineRule="exact"/>
              <w:rPr>
                <w:sz w:val="20"/>
                <w:szCs w:val="20"/>
                <w:color w:val="auto"/>
              </w:rPr>
            </w:pPr>
            <w:r>
              <w:rPr>
                <w:rFonts w:ascii="Arial" w:cs="Arial" w:eastAsia="Arial" w:hAnsi="Arial"/>
                <w:sz w:val="18"/>
                <w:szCs w:val="18"/>
                <w:color w:val="auto"/>
              </w:rPr>
              <w:t>2,710,080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Right-of-use assets, net</w:t>
            </w:r>
          </w:p>
        </w:tc>
        <w:tc>
          <w:tcPr>
            <w:tcW w:w="2680" w:type="dxa"/>
            <w:vAlign w:val="bottom"/>
            <w:gridSpan w:val="3"/>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543,833</w:t>
            </w:r>
          </w:p>
        </w:tc>
        <w:tc>
          <w:tcPr>
            <w:tcW w:w="1340" w:type="dxa"/>
            <w:vAlign w:val="bottom"/>
            <w:gridSpan w:val="3"/>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586,417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40" w:type="dxa"/>
            <w:vAlign w:val="bottom"/>
            <w:gridSpan w:val="2"/>
          </w:tcPr>
          <w:p>
            <w:pPr>
              <w:ind w:left="960"/>
              <w:spacing w:after="0" w:line="199" w:lineRule="exact"/>
              <w:rPr>
                <w:sz w:val="20"/>
                <w:szCs w:val="20"/>
                <w:color w:val="auto"/>
              </w:rPr>
            </w:pPr>
            <w:r>
              <w:rPr>
                <w:rFonts w:ascii="Arial" w:cs="Arial" w:eastAsia="Arial" w:hAnsi="Arial"/>
                <w:sz w:val="18"/>
                <w:szCs w:val="18"/>
                <w:color w:val="auto"/>
              </w:rPr>
              <w:t>Other assets</w:t>
            </w:r>
          </w:p>
        </w:tc>
        <w:tc>
          <w:tcPr>
            <w:tcW w:w="2680" w:type="dxa"/>
            <w:vAlign w:val="bottom"/>
            <w:gridSpan w:val="3"/>
          </w:tcPr>
          <w:p>
            <w:pPr>
              <w:jc w:val="right"/>
              <w:ind w:right="220"/>
              <w:spacing w:after="0" w:line="199" w:lineRule="exact"/>
              <w:rPr>
                <w:sz w:val="20"/>
                <w:szCs w:val="20"/>
                <w:color w:val="auto"/>
              </w:rPr>
            </w:pPr>
            <w:r>
              <w:rPr>
                <w:rFonts w:ascii="Arial" w:cs="Arial" w:eastAsia="Arial" w:hAnsi="Arial"/>
                <w:sz w:val="18"/>
                <w:szCs w:val="18"/>
                <w:color w:val="auto"/>
              </w:rPr>
              <w:t>10,558,357</w:t>
            </w:r>
          </w:p>
        </w:tc>
        <w:tc>
          <w:tcPr>
            <w:tcW w:w="124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11,081,132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60" w:type="dxa"/>
            <w:vAlign w:val="bottom"/>
          </w:tcPr>
          <w:p>
            <w:pPr>
              <w:spacing w:after="0"/>
              <w:rPr>
                <w:sz w:val="19"/>
                <w:szCs w:val="19"/>
                <w:color w:val="auto"/>
              </w:rPr>
            </w:pPr>
          </w:p>
        </w:tc>
        <w:tc>
          <w:tcPr>
            <w:tcW w:w="6080" w:type="dxa"/>
            <w:vAlign w:val="bottom"/>
            <w:tcBorders>
              <w:top w:val="single" w:sz="8" w:color="CCEEFF"/>
              <w:bottom w:val="single" w:sz="8" w:color="CCEEFF"/>
            </w:tcBorders>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Total assets</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236,753,609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244,846,740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60" w:type="dxa"/>
            <w:vAlign w:val="bottom"/>
            <w:vMerge w:val="restart"/>
          </w:tcPr>
          <w:p>
            <w:pPr>
              <w:spacing w:after="0"/>
              <w:rPr>
                <w:sz w:val="14"/>
                <w:szCs w:val="14"/>
                <w:color w:val="auto"/>
              </w:rPr>
            </w:pPr>
          </w:p>
        </w:tc>
        <w:tc>
          <w:tcPr>
            <w:tcW w:w="6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60" w:type="dxa"/>
            <w:vAlign w:val="bottom"/>
            <w:vMerge w:val="continue"/>
          </w:tcPr>
          <w:p>
            <w:pPr>
              <w:spacing w:after="0"/>
              <w:rPr>
                <w:sz w:val="17"/>
                <w:szCs w:val="17"/>
                <w:color w:val="auto"/>
              </w:rPr>
            </w:pPr>
          </w:p>
        </w:tc>
        <w:tc>
          <w:tcPr>
            <w:tcW w:w="608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Liabilities -</w:t>
            </w:r>
          </w:p>
        </w:tc>
        <w:tc>
          <w:tcPr>
            <w:tcW w:w="1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tcPr>
          <w:p>
            <w:pPr>
              <w:spacing w:after="0" w:line="199" w:lineRule="exact"/>
              <w:rPr>
                <w:sz w:val="20"/>
                <w:szCs w:val="20"/>
                <w:color w:val="auto"/>
              </w:rPr>
            </w:pPr>
            <w:r>
              <w:rPr>
                <w:rFonts w:ascii="Arial" w:cs="Arial" w:eastAsia="Arial" w:hAnsi="Arial"/>
                <w:sz w:val="18"/>
                <w:szCs w:val="18"/>
                <w:color w:val="auto"/>
              </w:rPr>
              <w:t>Deposits and obligations</w:t>
            </w:r>
          </w:p>
        </w:tc>
        <w:tc>
          <w:tcPr>
            <w:tcW w:w="2680" w:type="dxa"/>
            <w:vAlign w:val="bottom"/>
            <w:gridSpan w:val="3"/>
          </w:tcPr>
          <w:p>
            <w:pPr>
              <w:jc w:val="right"/>
              <w:ind w:right="220"/>
              <w:spacing w:after="0" w:line="199" w:lineRule="exact"/>
              <w:rPr>
                <w:sz w:val="20"/>
                <w:szCs w:val="20"/>
                <w:color w:val="auto"/>
              </w:rPr>
            </w:pPr>
            <w:r>
              <w:rPr>
                <w:rFonts w:ascii="Arial" w:cs="Arial" w:eastAsia="Arial" w:hAnsi="Arial"/>
                <w:sz w:val="18"/>
                <w:szCs w:val="18"/>
                <w:color w:val="auto"/>
              </w:rPr>
              <w:t>147,020,787</w:t>
            </w:r>
          </w:p>
        </w:tc>
        <w:tc>
          <w:tcPr>
            <w:tcW w:w="1340" w:type="dxa"/>
            <w:vAlign w:val="bottom"/>
            <w:gridSpan w:val="3"/>
          </w:tcPr>
          <w:p>
            <w:pPr>
              <w:jc w:val="right"/>
              <w:ind w:right="100"/>
              <w:spacing w:after="0" w:line="199" w:lineRule="exact"/>
              <w:rPr>
                <w:sz w:val="20"/>
                <w:szCs w:val="20"/>
                <w:color w:val="auto"/>
              </w:rPr>
            </w:pPr>
            <w:r>
              <w:rPr>
                <w:rFonts w:ascii="Arial" w:cs="Arial" w:eastAsia="Arial" w:hAnsi="Arial"/>
                <w:sz w:val="18"/>
                <w:szCs w:val="18"/>
                <w:color w:val="auto"/>
              </w:rPr>
              <w:t>149,596,545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Payables from repurchase agreements and securities lending</w:t>
            </w:r>
          </w:p>
        </w:tc>
        <w:tc>
          <w:tcPr>
            <w:tcW w:w="2680" w:type="dxa"/>
            <w:vAlign w:val="bottom"/>
            <w:gridSpan w:val="3"/>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12,966,725</w:t>
            </w:r>
          </w:p>
        </w:tc>
        <w:tc>
          <w:tcPr>
            <w:tcW w:w="12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22,013,866</w:t>
            </w: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tcPr>
          <w:p>
            <w:pPr>
              <w:spacing w:after="0" w:line="199" w:lineRule="exact"/>
              <w:rPr>
                <w:sz w:val="20"/>
                <w:szCs w:val="20"/>
                <w:color w:val="auto"/>
              </w:rPr>
            </w:pPr>
            <w:r>
              <w:rPr>
                <w:rFonts w:ascii="Arial" w:cs="Arial" w:eastAsia="Arial" w:hAnsi="Arial"/>
                <w:sz w:val="18"/>
                <w:szCs w:val="18"/>
                <w:color w:val="auto"/>
              </w:rPr>
              <w:t>Due to banks and correspondents</w:t>
            </w:r>
          </w:p>
        </w:tc>
        <w:tc>
          <w:tcPr>
            <w:tcW w:w="2680" w:type="dxa"/>
            <w:vAlign w:val="bottom"/>
            <w:gridSpan w:val="3"/>
          </w:tcPr>
          <w:p>
            <w:pPr>
              <w:jc w:val="right"/>
              <w:ind w:right="220"/>
              <w:spacing w:after="0" w:line="199" w:lineRule="exact"/>
              <w:rPr>
                <w:sz w:val="20"/>
                <w:szCs w:val="20"/>
                <w:color w:val="auto"/>
              </w:rPr>
            </w:pPr>
            <w:r>
              <w:rPr>
                <w:rFonts w:ascii="Arial" w:cs="Arial" w:eastAsia="Arial" w:hAnsi="Arial"/>
                <w:sz w:val="18"/>
                <w:szCs w:val="18"/>
                <w:color w:val="auto"/>
              </w:rPr>
              <w:t>8,937,411</w:t>
            </w:r>
          </w:p>
        </w:tc>
        <w:tc>
          <w:tcPr>
            <w:tcW w:w="1340" w:type="dxa"/>
            <w:vAlign w:val="bottom"/>
            <w:gridSpan w:val="3"/>
          </w:tcPr>
          <w:p>
            <w:pPr>
              <w:jc w:val="right"/>
              <w:ind w:right="100"/>
              <w:spacing w:after="0" w:line="199" w:lineRule="exact"/>
              <w:rPr>
                <w:sz w:val="20"/>
                <w:szCs w:val="20"/>
                <w:color w:val="auto"/>
              </w:rPr>
            </w:pPr>
            <w:r>
              <w:rPr>
                <w:rFonts w:ascii="Arial" w:cs="Arial" w:eastAsia="Arial" w:hAnsi="Arial"/>
                <w:sz w:val="18"/>
                <w:szCs w:val="18"/>
                <w:color w:val="auto"/>
              </w:rPr>
              <w:t>7,212,946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Technical reserves for insurance claims and premiums</w:t>
            </w:r>
          </w:p>
        </w:tc>
        <w:tc>
          <w:tcPr>
            <w:tcW w:w="2680" w:type="dxa"/>
            <w:vAlign w:val="bottom"/>
            <w:gridSpan w:val="3"/>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11,990,959</w:t>
            </w:r>
          </w:p>
        </w:tc>
        <w:tc>
          <w:tcPr>
            <w:tcW w:w="12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12,534,511</w:t>
            </w: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tcPr>
          <w:p>
            <w:pPr>
              <w:spacing w:after="0" w:line="199" w:lineRule="exact"/>
              <w:rPr>
                <w:sz w:val="20"/>
                <w:szCs w:val="20"/>
                <w:color w:val="auto"/>
              </w:rPr>
            </w:pPr>
            <w:r>
              <w:rPr>
                <w:rFonts w:ascii="Arial" w:cs="Arial" w:eastAsia="Arial" w:hAnsi="Arial"/>
                <w:sz w:val="18"/>
                <w:szCs w:val="18"/>
                <w:color w:val="auto"/>
              </w:rPr>
              <w:t>Bonds and notes issued</w:t>
            </w:r>
          </w:p>
        </w:tc>
        <w:tc>
          <w:tcPr>
            <w:tcW w:w="2680" w:type="dxa"/>
            <w:vAlign w:val="bottom"/>
            <w:gridSpan w:val="3"/>
          </w:tcPr>
          <w:p>
            <w:pPr>
              <w:jc w:val="right"/>
              <w:ind w:right="220"/>
              <w:spacing w:after="0" w:line="199" w:lineRule="exact"/>
              <w:rPr>
                <w:sz w:val="20"/>
                <w:szCs w:val="20"/>
                <w:color w:val="auto"/>
              </w:rPr>
            </w:pPr>
            <w:r>
              <w:rPr>
                <w:rFonts w:ascii="Arial" w:cs="Arial" w:eastAsia="Arial" w:hAnsi="Arial"/>
                <w:sz w:val="18"/>
                <w:szCs w:val="18"/>
                <w:color w:val="auto"/>
              </w:rPr>
              <w:t>17,007,194</w:t>
            </w:r>
          </w:p>
        </w:tc>
        <w:tc>
          <w:tcPr>
            <w:tcW w:w="124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17,823,146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6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Other liabilities</w:t>
            </w:r>
          </w:p>
        </w:tc>
        <w:tc>
          <w:tcPr>
            <w:tcW w:w="1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9,250,824</w:t>
            </w:r>
          </w:p>
        </w:tc>
        <w:tc>
          <w:tcPr>
            <w:tcW w:w="1340" w:type="dxa"/>
            <w:vAlign w:val="bottom"/>
            <w:gridSpan w:val="3"/>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8,628,287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6080" w:type="dxa"/>
            <w:vAlign w:val="bottom"/>
            <w:tcBorders>
              <w:top w:val="single" w:sz="8" w:color="CCEEFF"/>
            </w:tcBorders>
          </w:tcPr>
          <w:p>
            <w:pPr>
              <w:spacing w:after="0" w:line="186" w:lineRule="exact"/>
              <w:rPr>
                <w:sz w:val="20"/>
                <w:szCs w:val="20"/>
                <w:color w:val="auto"/>
              </w:rPr>
            </w:pPr>
            <w:r>
              <w:rPr>
                <w:rFonts w:ascii="Arial" w:cs="Arial" w:eastAsia="Arial" w:hAnsi="Arial"/>
                <w:sz w:val="18"/>
                <w:szCs w:val="18"/>
                <w:b w:val="1"/>
                <w:bCs w:val="1"/>
                <w:color w:val="auto"/>
              </w:rPr>
              <w:t>Total liabilities</w:t>
            </w:r>
          </w:p>
        </w:tc>
        <w:tc>
          <w:tcPr>
            <w:tcW w:w="1220" w:type="dxa"/>
            <w:vAlign w:val="bottom"/>
            <w:tcBorders>
              <w:top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207,173,900</w:t>
            </w:r>
          </w:p>
        </w:tc>
        <w:tc>
          <w:tcPr>
            <w:tcW w:w="2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217,809,301</w:t>
            </w:r>
          </w:p>
        </w:tc>
        <w:tc>
          <w:tcPr>
            <w:tcW w:w="100" w:type="dxa"/>
            <w:vAlign w:val="bottom"/>
            <w:tcBorders>
              <w:top w:val="single" w:sz="8" w:color="CCEEFF"/>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 w:type="dxa"/>
            <w:vAlign w:val="bottom"/>
            <w:vMerge w:val="restart"/>
          </w:tcPr>
          <w:p>
            <w:pPr>
              <w:spacing w:after="0"/>
              <w:rPr>
                <w:sz w:val="16"/>
                <w:szCs w:val="16"/>
                <w:color w:val="auto"/>
              </w:rPr>
            </w:pPr>
          </w:p>
        </w:tc>
        <w:tc>
          <w:tcPr>
            <w:tcW w:w="60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60" w:type="dxa"/>
            <w:vAlign w:val="bottom"/>
            <w:vMerge w:val="continue"/>
          </w:tcPr>
          <w:p>
            <w:pPr>
              <w:spacing w:after="0"/>
              <w:rPr>
                <w:sz w:val="17"/>
                <w:szCs w:val="17"/>
                <w:color w:val="auto"/>
              </w:rPr>
            </w:pPr>
          </w:p>
        </w:tc>
        <w:tc>
          <w:tcPr>
            <w:tcW w:w="6080" w:type="dxa"/>
            <w:vAlign w:val="bottom"/>
          </w:tcPr>
          <w:p>
            <w:pPr>
              <w:spacing w:after="0" w:line="199" w:lineRule="exact"/>
              <w:rPr>
                <w:sz w:val="20"/>
                <w:szCs w:val="20"/>
                <w:color w:val="auto"/>
              </w:rPr>
            </w:pPr>
            <w:r>
              <w:rPr>
                <w:rFonts w:ascii="Arial" w:cs="Arial" w:eastAsia="Arial" w:hAnsi="Arial"/>
                <w:sz w:val="18"/>
                <w:szCs w:val="18"/>
                <w:b w:val="1"/>
                <w:bCs w:val="1"/>
                <w:color w:val="auto"/>
              </w:rPr>
              <w:t>Equity, net</w:t>
            </w:r>
          </w:p>
        </w:tc>
        <w:tc>
          <w:tcPr>
            <w:tcW w:w="2680" w:type="dxa"/>
            <w:vAlign w:val="bottom"/>
            <w:gridSpan w:val="3"/>
          </w:tcPr>
          <w:p>
            <w:pPr>
              <w:jc w:val="right"/>
              <w:ind w:right="220"/>
              <w:spacing w:after="0" w:line="199" w:lineRule="exact"/>
              <w:rPr>
                <w:sz w:val="20"/>
                <w:szCs w:val="20"/>
                <w:color w:val="auto"/>
              </w:rPr>
            </w:pPr>
            <w:r>
              <w:rPr>
                <w:rFonts w:ascii="Arial" w:cs="Arial" w:eastAsia="Arial" w:hAnsi="Arial"/>
                <w:sz w:val="18"/>
                <w:szCs w:val="18"/>
                <w:color w:val="auto"/>
              </w:rPr>
              <w:t>29,579,709</w:t>
            </w:r>
          </w:p>
        </w:tc>
        <w:tc>
          <w:tcPr>
            <w:tcW w:w="124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27,037,439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60" w:type="dxa"/>
            <w:vAlign w:val="bottom"/>
          </w:tcPr>
          <w:p>
            <w:pPr>
              <w:spacing w:after="0"/>
              <w:rPr>
                <w:sz w:val="19"/>
                <w:szCs w:val="19"/>
                <w:color w:val="auto"/>
              </w:rPr>
            </w:pPr>
          </w:p>
        </w:tc>
        <w:tc>
          <w:tcPr>
            <w:tcW w:w="6080" w:type="dxa"/>
            <w:vAlign w:val="bottom"/>
            <w:tcBorders>
              <w:top w:val="single" w:sz="8" w:color="CCEEFF"/>
              <w:bottom w:val="single" w:sz="8" w:color="CCEEFF"/>
            </w:tcBorders>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Total liabilities and net equity</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236,753,609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244,846,740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60" w:type="dxa"/>
            <w:vAlign w:val="bottom"/>
            <w:vMerge w:val="restart"/>
          </w:tcPr>
          <w:p>
            <w:pPr>
              <w:spacing w:after="0"/>
              <w:rPr>
                <w:sz w:val="14"/>
                <w:szCs w:val="14"/>
                <w:color w:val="auto"/>
              </w:rPr>
            </w:pPr>
          </w:p>
        </w:tc>
        <w:tc>
          <w:tcPr>
            <w:tcW w:w="6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960" w:type="dxa"/>
            <w:vAlign w:val="bottom"/>
            <w:vMerge w:val="continue"/>
          </w:tcPr>
          <w:p>
            <w:pPr>
              <w:spacing w:after="0"/>
              <w:rPr>
                <w:sz w:val="17"/>
                <w:szCs w:val="17"/>
                <w:color w:val="auto"/>
              </w:rPr>
            </w:pPr>
          </w:p>
        </w:tc>
        <w:tc>
          <w:tcPr>
            <w:tcW w:w="608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Consolidated statements of income</w:t>
            </w:r>
          </w:p>
        </w:tc>
        <w:tc>
          <w:tcPr>
            <w:tcW w:w="1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vMerge w:val="continue"/>
          </w:tcPr>
          <w:p>
            <w:pPr>
              <w:spacing w:after="0"/>
              <w:rPr>
                <w:sz w:val="17"/>
                <w:szCs w:val="17"/>
                <w:color w:val="auto"/>
              </w:rPr>
            </w:pPr>
          </w:p>
        </w:tc>
        <w:tc>
          <w:tcPr>
            <w:tcW w:w="6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interest, similar income and expenses</w:t>
            </w:r>
          </w:p>
        </w:tc>
        <w:tc>
          <w:tcPr>
            <w:tcW w:w="2680" w:type="dxa"/>
            <w:vAlign w:val="bottom"/>
            <w:gridSpan w:val="3"/>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11,518,095</w:t>
            </w:r>
          </w:p>
        </w:tc>
        <w:tc>
          <w:tcPr>
            <w:tcW w:w="1340" w:type="dxa"/>
            <w:vAlign w:val="bottom"/>
            <w:gridSpan w:val="3"/>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9,359,604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tcPr>
          <w:p>
            <w:pPr>
              <w:spacing w:after="0" w:line="199" w:lineRule="exact"/>
              <w:rPr>
                <w:sz w:val="20"/>
                <w:szCs w:val="20"/>
                <w:color w:val="auto"/>
              </w:rPr>
            </w:pPr>
            <w:r>
              <w:rPr>
                <w:rFonts w:ascii="Arial" w:cs="Arial" w:eastAsia="Arial" w:hAnsi="Arial"/>
                <w:sz w:val="18"/>
                <w:szCs w:val="18"/>
                <w:color w:val="auto"/>
              </w:rPr>
              <w:t>Provision for credit losses on loan</w:t>
            </w: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portfolio, net of recoveries</w:t>
            </w:r>
          </w:p>
        </w:tc>
        <w:tc>
          <w:tcPr>
            <w:tcW w:w="2680" w:type="dxa"/>
            <w:vAlign w:val="bottom"/>
            <w:gridSpan w:val="3"/>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(1,811,538)</w:t>
            </w:r>
          </w:p>
        </w:tc>
        <w:tc>
          <w:tcPr>
            <w:tcW w:w="1340" w:type="dxa"/>
            <w:vAlign w:val="bottom"/>
            <w:gridSpan w:val="3"/>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(1,212,223)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tcPr>
          <w:p>
            <w:pPr>
              <w:spacing w:after="0" w:line="199" w:lineRule="exact"/>
              <w:rPr>
                <w:sz w:val="20"/>
                <w:szCs w:val="20"/>
                <w:color w:val="auto"/>
              </w:rPr>
            </w:pPr>
            <w:r>
              <w:rPr>
                <w:rFonts w:ascii="Arial" w:cs="Arial" w:eastAsia="Arial" w:hAnsi="Arial"/>
                <w:sz w:val="18"/>
                <w:szCs w:val="18"/>
                <w:color w:val="auto"/>
              </w:rPr>
              <w:t>Total other income</w:t>
            </w:r>
          </w:p>
        </w:tc>
        <w:tc>
          <w:tcPr>
            <w:tcW w:w="2680" w:type="dxa"/>
            <w:vAlign w:val="bottom"/>
            <w:gridSpan w:val="3"/>
          </w:tcPr>
          <w:p>
            <w:pPr>
              <w:jc w:val="right"/>
              <w:ind w:right="220"/>
              <w:spacing w:after="0" w:line="199" w:lineRule="exact"/>
              <w:rPr>
                <w:sz w:val="20"/>
                <w:szCs w:val="20"/>
                <w:color w:val="auto"/>
              </w:rPr>
            </w:pPr>
            <w:r>
              <w:rPr>
                <w:rFonts w:ascii="Arial" w:cs="Arial" w:eastAsia="Arial" w:hAnsi="Arial"/>
                <w:sz w:val="18"/>
                <w:szCs w:val="18"/>
                <w:color w:val="auto"/>
              </w:rPr>
              <w:t>5,108,349</w:t>
            </w:r>
          </w:p>
        </w:tc>
        <w:tc>
          <w:tcPr>
            <w:tcW w:w="1340" w:type="dxa"/>
            <w:vAlign w:val="bottom"/>
            <w:gridSpan w:val="3"/>
          </w:tcPr>
          <w:p>
            <w:pPr>
              <w:jc w:val="right"/>
              <w:ind w:right="100"/>
              <w:spacing w:after="0" w:line="199" w:lineRule="exact"/>
              <w:rPr>
                <w:sz w:val="20"/>
                <w:szCs w:val="20"/>
                <w:color w:val="auto"/>
              </w:rPr>
            </w:pPr>
            <w:r>
              <w:rPr>
                <w:rFonts w:ascii="Arial" w:cs="Arial" w:eastAsia="Arial" w:hAnsi="Arial"/>
                <w:sz w:val="18"/>
                <w:szCs w:val="18"/>
                <w:color w:val="auto"/>
              </w:rPr>
              <w:t>4,929,717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Total insurance underwriting result</w:t>
            </w:r>
          </w:p>
        </w:tc>
        <w:tc>
          <w:tcPr>
            <w:tcW w:w="2680" w:type="dxa"/>
            <w:vAlign w:val="bottom"/>
            <w:gridSpan w:val="3"/>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661,598</w:t>
            </w:r>
          </w:p>
        </w:tc>
        <w:tc>
          <w:tcPr>
            <w:tcW w:w="1340" w:type="dxa"/>
            <w:vAlign w:val="bottom"/>
            <w:gridSpan w:val="3"/>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(3,721)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vMerge w:val="continue"/>
          </w:tcPr>
          <w:p>
            <w:pPr>
              <w:spacing w:after="0"/>
              <w:rPr>
                <w:sz w:val="17"/>
                <w:szCs w:val="17"/>
                <w:color w:val="auto"/>
              </w:rPr>
            </w:pPr>
          </w:p>
        </w:tc>
        <w:tc>
          <w:tcPr>
            <w:tcW w:w="6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Total other expenses</w:t>
            </w:r>
          </w:p>
        </w:tc>
        <w:tc>
          <w:tcPr>
            <w:tcW w:w="2680" w:type="dxa"/>
            <w:vAlign w:val="bottom"/>
            <w:gridSpan w:val="3"/>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(8,620,615)</w:t>
            </w:r>
          </w:p>
        </w:tc>
        <w:tc>
          <w:tcPr>
            <w:tcW w:w="1340" w:type="dxa"/>
            <w:vAlign w:val="bottom"/>
            <w:gridSpan w:val="3"/>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(7,740,561)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04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60" w:type="dxa"/>
            <w:vAlign w:val="bottom"/>
          </w:tcPr>
          <w:p>
            <w:pPr>
              <w:spacing w:after="0"/>
              <w:rPr>
                <w:sz w:val="19"/>
                <w:szCs w:val="19"/>
                <w:color w:val="auto"/>
              </w:rPr>
            </w:pPr>
          </w:p>
        </w:tc>
        <w:tc>
          <w:tcPr>
            <w:tcW w:w="6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Income tax</w:t>
            </w:r>
          </w:p>
        </w:tc>
        <w:tc>
          <w:tcPr>
            <w:tcW w:w="1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(2,110,501)</w:t>
            </w:r>
          </w:p>
        </w:tc>
        <w:tc>
          <w:tcPr>
            <w:tcW w:w="1340" w:type="dxa"/>
            <w:vAlign w:val="bottom"/>
            <w:gridSpan w:val="3"/>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(1,660,987)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960" w:type="dxa"/>
            <w:vAlign w:val="bottom"/>
          </w:tcPr>
          <w:p>
            <w:pPr>
              <w:spacing w:after="0"/>
              <w:rPr>
                <w:sz w:val="16"/>
                <w:szCs w:val="16"/>
                <w:color w:val="auto"/>
              </w:rPr>
            </w:pPr>
          </w:p>
        </w:tc>
        <w:tc>
          <w:tcPr>
            <w:tcW w:w="6080" w:type="dxa"/>
            <w:vAlign w:val="bottom"/>
            <w:tcBorders>
              <w:top w:val="single" w:sz="8" w:color="CCEEFF"/>
            </w:tcBorders>
          </w:tcPr>
          <w:p>
            <w:pPr>
              <w:spacing w:after="0" w:line="186" w:lineRule="exact"/>
              <w:rPr>
                <w:sz w:val="20"/>
                <w:szCs w:val="20"/>
                <w:color w:val="auto"/>
              </w:rPr>
            </w:pPr>
            <w:r>
              <w:rPr>
                <w:rFonts w:ascii="Arial" w:cs="Arial" w:eastAsia="Arial" w:hAnsi="Arial"/>
                <w:sz w:val="18"/>
                <w:szCs w:val="18"/>
                <w:b w:val="1"/>
                <w:bCs w:val="1"/>
                <w:color w:val="auto"/>
              </w:rPr>
              <w:t>Net profit</w:t>
            </w:r>
          </w:p>
        </w:tc>
        <w:tc>
          <w:tcPr>
            <w:tcW w:w="1220" w:type="dxa"/>
            <w:vAlign w:val="bottom"/>
            <w:tcBorders>
              <w:top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4,745,388</w:t>
            </w:r>
          </w:p>
        </w:tc>
        <w:tc>
          <w:tcPr>
            <w:tcW w:w="2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3,671,829</w:t>
            </w:r>
          </w:p>
        </w:tc>
        <w:tc>
          <w:tcPr>
            <w:tcW w:w="100" w:type="dxa"/>
            <w:vAlign w:val="bottom"/>
            <w:tcBorders>
              <w:top w:val="single" w:sz="8" w:color="CCEEFF"/>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 w:type="dxa"/>
            <w:vAlign w:val="bottom"/>
            <w:vMerge w:val="restart"/>
          </w:tcPr>
          <w:p>
            <w:pPr>
              <w:spacing w:after="0"/>
              <w:rPr>
                <w:sz w:val="16"/>
                <w:szCs w:val="16"/>
                <w:color w:val="auto"/>
              </w:rPr>
            </w:pPr>
          </w:p>
        </w:tc>
        <w:tc>
          <w:tcPr>
            <w:tcW w:w="60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60" w:type="dxa"/>
            <w:vAlign w:val="bottom"/>
            <w:vMerge w:val="continue"/>
          </w:tcPr>
          <w:p>
            <w:pPr>
              <w:spacing w:after="0"/>
              <w:rPr>
                <w:sz w:val="17"/>
                <w:szCs w:val="17"/>
                <w:color w:val="auto"/>
              </w:rPr>
            </w:pPr>
          </w:p>
        </w:tc>
        <w:tc>
          <w:tcPr>
            <w:tcW w:w="6080" w:type="dxa"/>
            <w:vAlign w:val="bottom"/>
          </w:tcPr>
          <w:p>
            <w:pPr>
              <w:spacing w:after="0" w:line="199" w:lineRule="exact"/>
              <w:rPr>
                <w:sz w:val="20"/>
                <w:szCs w:val="20"/>
                <w:color w:val="auto"/>
              </w:rPr>
            </w:pPr>
            <w:r>
              <w:rPr>
                <w:rFonts w:ascii="Arial" w:cs="Arial" w:eastAsia="Arial" w:hAnsi="Arial"/>
                <w:sz w:val="18"/>
                <w:szCs w:val="18"/>
                <w:color w:val="auto"/>
              </w:rPr>
              <w:t>Attributable to:</w:t>
            </w: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60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Shareholders of Credicorp Ltd.</w:t>
            </w:r>
          </w:p>
        </w:tc>
        <w:tc>
          <w:tcPr>
            <w:tcW w:w="2680" w:type="dxa"/>
            <w:vAlign w:val="bottom"/>
            <w:gridSpan w:val="3"/>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4,633,096</w:t>
            </w:r>
          </w:p>
        </w:tc>
        <w:tc>
          <w:tcPr>
            <w:tcW w:w="1340" w:type="dxa"/>
            <w:vAlign w:val="bottom"/>
            <w:gridSpan w:val="3"/>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3,584,582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40" w:type="dxa"/>
            <w:vAlign w:val="bottom"/>
            <w:gridSpan w:val="2"/>
          </w:tcPr>
          <w:p>
            <w:pPr>
              <w:ind w:left="960"/>
              <w:spacing w:after="0" w:line="199" w:lineRule="exact"/>
              <w:rPr>
                <w:sz w:val="20"/>
                <w:szCs w:val="20"/>
                <w:color w:val="auto"/>
              </w:rPr>
            </w:pPr>
            <w:r>
              <w:rPr>
                <w:rFonts w:ascii="Arial" w:cs="Arial" w:eastAsia="Arial" w:hAnsi="Arial"/>
                <w:sz w:val="18"/>
                <w:szCs w:val="18"/>
                <w:color w:val="auto"/>
              </w:rPr>
              <w:t>Non-controlling interest</w:t>
            </w:r>
          </w:p>
        </w:tc>
        <w:tc>
          <w:tcPr>
            <w:tcW w:w="2680" w:type="dxa"/>
            <w:vAlign w:val="bottom"/>
            <w:gridSpan w:val="3"/>
          </w:tcPr>
          <w:p>
            <w:pPr>
              <w:jc w:val="right"/>
              <w:ind w:right="220"/>
              <w:spacing w:after="0" w:line="199" w:lineRule="exact"/>
              <w:rPr>
                <w:sz w:val="20"/>
                <w:szCs w:val="20"/>
                <w:color w:val="auto"/>
              </w:rPr>
            </w:pPr>
            <w:r>
              <w:rPr>
                <w:rFonts w:ascii="Arial" w:cs="Arial" w:eastAsia="Arial" w:hAnsi="Arial"/>
                <w:sz w:val="18"/>
                <w:szCs w:val="18"/>
                <w:color w:val="auto"/>
              </w:rPr>
              <w:t>112,292</w:t>
            </w:r>
          </w:p>
        </w:tc>
        <w:tc>
          <w:tcPr>
            <w:tcW w:w="1340" w:type="dxa"/>
            <w:vAlign w:val="bottom"/>
            <w:gridSpan w:val="3"/>
          </w:tcPr>
          <w:p>
            <w:pPr>
              <w:jc w:val="right"/>
              <w:ind w:right="100"/>
              <w:spacing w:after="0" w:line="199" w:lineRule="exact"/>
              <w:rPr>
                <w:sz w:val="20"/>
                <w:szCs w:val="20"/>
                <w:color w:val="auto"/>
              </w:rPr>
            </w:pPr>
            <w:r>
              <w:rPr>
                <w:rFonts w:ascii="Arial" w:cs="Arial" w:eastAsia="Arial" w:hAnsi="Arial"/>
                <w:sz w:val="18"/>
                <w:szCs w:val="18"/>
                <w:color w:val="auto"/>
              </w:rPr>
              <w:t>87,247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60" w:type="dxa"/>
            <w:vAlign w:val="bottom"/>
          </w:tcPr>
          <w:p>
            <w:pPr>
              <w:spacing w:after="0"/>
              <w:rPr>
                <w:sz w:val="19"/>
                <w:szCs w:val="19"/>
                <w:color w:val="auto"/>
              </w:rPr>
            </w:pPr>
          </w:p>
        </w:tc>
        <w:tc>
          <w:tcPr>
            <w:tcW w:w="608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4,745,388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3,671,829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line="20" w:lineRule="exact"/>
              <w:rPr>
                <w:sz w:val="1"/>
                <w:szCs w:val="1"/>
                <w:color w:val="auto"/>
              </w:rPr>
            </w:pPr>
          </w:p>
        </w:tc>
        <w:tc>
          <w:tcPr>
            <w:tcW w:w="6080" w:type="dxa"/>
            <w:vAlign w:val="bottom"/>
            <w:tcBorders>
              <w:top w:val="single" w:sz="8" w:color="CCEEFF"/>
              <w:bottom w:val="single" w:sz="8" w:color="CCEEFF"/>
            </w:tcBorders>
            <w:vMerge w:val="restart"/>
          </w:tcPr>
          <w:p>
            <w:pPr>
              <w:ind w:left="4460"/>
              <w:spacing w:after="0"/>
              <w:rPr>
                <w:sz w:val="20"/>
                <w:szCs w:val="20"/>
                <w:color w:val="auto"/>
              </w:rPr>
            </w:pPr>
            <w:r>
              <w:rPr>
                <w:rFonts w:ascii="Arial" w:cs="Arial" w:eastAsia="Arial" w:hAnsi="Arial"/>
                <w:sz w:val="18"/>
                <w:szCs w:val="18"/>
                <w:color w:val="auto"/>
              </w:rPr>
              <w:t>- 12 -</w:t>
            </w:r>
          </w:p>
        </w:tc>
        <w:tc>
          <w:tcPr>
            <w:tcW w:w="1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60" w:type="dxa"/>
            <w:vAlign w:val="bottom"/>
            <w:vMerge w:val="continue"/>
          </w:tcPr>
          <w:p>
            <w:pPr>
              <w:spacing w:after="0"/>
              <w:rPr>
                <w:sz w:val="24"/>
                <w:szCs w:val="24"/>
                <w:color w:val="auto"/>
              </w:rPr>
            </w:pPr>
          </w:p>
        </w:tc>
        <w:tc>
          <w:tcPr>
            <w:tcW w:w="60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960" w:type="dxa"/>
            <w:vAlign w:val="bottom"/>
            <w:tcBorders>
              <w:bottom w:val="single" w:sz="8" w:color="auto"/>
            </w:tcBorders>
          </w:tcPr>
          <w:p>
            <w:pPr>
              <w:spacing w:after="0"/>
              <w:rPr>
                <w:sz w:val="4"/>
                <w:szCs w:val="4"/>
                <w:color w:val="auto"/>
              </w:rPr>
            </w:pPr>
          </w:p>
        </w:tc>
        <w:tc>
          <w:tcPr>
            <w:tcW w:w="60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8" w:name="page19"/>
    <w:bookmarkEnd w:id="18"/>
    <w:p>
      <w:pPr>
        <w:ind w:left="634" w:hanging="634"/>
        <w:spacing w:after="0"/>
        <w:tabs>
          <w:tab w:leader="none" w:pos="63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12" w:lineRule="exact"/>
        <w:rPr>
          <w:rFonts w:ascii="Arial" w:cs="Arial" w:eastAsia="Arial" w:hAnsi="Arial"/>
          <w:sz w:val="18"/>
          <w:szCs w:val="18"/>
          <w:b w:val="1"/>
          <w:bCs w:val="1"/>
          <w:color w:val="auto"/>
        </w:rPr>
      </w:pPr>
    </w:p>
    <w:p>
      <w:pPr>
        <w:ind w:left="634"/>
        <w:spacing w:after="0"/>
        <w:rPr>
          <w:rFonts w:ascii="Arial" w:cs="Arial" w:eastAsia="Arial" w:hAnsi="Arial"/>
          <w:sz w:val="18"/>
          <w:szCs w:val="18"/>
          <w:b w:val="1"/>
          <w:bCs w:val="1"/>
          <w:color w:val="auto"/>
        </w:rPr>
      </w:pPr>
      <w:r>
        <w:rPr>
          <w:rFonts w:ascii="Arial" w:cs="Arial" w:eastAsia="Arial" w:hAnsi="Arial"/>
          <w:sz w:val="18"/>
          <w:szCs w:val="18"/>
          <w:color w:val="auto"/>
        </w:rPr>
        <w:t>The significant accounting policies applied in the preparation of Credicorp’s separate financial statements are set out below:</w:t>
      </w:r>
    </w:p>
    <w:p>
      <w:pPr>
        <w:spacing w:after="0" w:line="191" w:lineRule="exact"/>
        <w:rPr>
          <w:rFonts w:ascii="Arial" w:cs="Arial" w:eastAsia="Arial" w:hAnsi="Arial"/>
          <w:sz w:val="18"/>
          <w:szCs w:val="18"/>
          <w:b w:val="1"/>
          <w:bCs w:val="1"/>
          <w:color w:val="auto"/>
        </w:rPr>
      </w:pPr>
    </w:p>
    <w:p>
      <w:pPr>
        <w:ind w:left="954" w:hanging="316"/>
        <w:spacing w:after="0"/>
        <w:tabs>
          <w:tab w:leader="none" w:pos="954" w:val="left"/>
        </w:tabs>
        <w:numPr>
          <w:ilvl w:val="1"/>
          <w:numId w:val="5"/>
        </w:numPr>
        <w:rPr>
          <w:rFonts w:ascii="Arial" w:cs="Arial" w:eastAsia="Arial" w:hAnsi="Arial"/>
          <w:sz w:val="18"/>
          <w:szCs w:val="18"/>
          <w:color w:val="auto"/>
        </w:rPr>
      </w:pPr>
      <w:r>
        <w:rPr>
          <w:rFonts w:ascii="Arial" w:cs="Arial" w:eastAsia="Arial" w:hAnsi="Arial"/>
          <w:sz w:val="18"/>
          <w:szCs w:val="18"/>
          <w:color w:val="auto"/>
        </w:rPr>
        <w:t>Basis of presentation, use of estimates and changes in accounting policies -</w:t>
      </w:r>
    </w:p>
    <w:p>
      <w:pPr>
        <w:spacing w:after="0" w:line="191" w:lineRule="exact"/>
        <w:rPr>
          <w:rFonts w:ascii="Arial" w:cs="Arial" w:eastAsia="Arial" w:hAnsi="Arial"/>
          <w:sz w:val="18"/>
          <w:szCs w:val="18"/>
          <w:color w:val="auto"/>
        </w:rPr>
      </w:pPr>
    </w:p>
    <w:p>
      <w:pPr>
        <w:ind w:left="954" w:right="680"/>
        <w:spacing w:after="0" w:line="238" w:lineRule="auto"/>
        <w:rPr>
          <w:rFonts w:ascii="Arial" w:cs="Arial" w:eastAsia="Arial" w:hAnsi="Arial"/>
          <w:sz w:val="18"/>
          <w:szCs w:val="18"/>
          <w:color w:val="auto"/>
        </w:rPr>
      </w:pPr>
      <w:r>
        <w:rPr>
          <w:rFonts w:ascii="Arial" w:cs="Arial" w:eastAsia="Arial" w:hAnsi="Arial"/>
          <w:sz w:val="18"/>
          <w:szCs w:val="18"/>
          <w:color w:val="auto"/>
        </w:rPr>
        <w:t>The accompanying separate financial statements have been prepared in accordance with International Financial Reporting Standards (IFRS) as issued by the International Accounting Standards Board (IASB).</w:t>
      </w:r>
    </w:p>
    <w:p>
      <w:pPr>
        <w:spacing w:after="0" w:line="187" w:lineRule="exact"/>
        <w:rPr>
          <w:rFonts w:ascii="Arial" w:cs="Arial" w:eastAsia="Arial" w:hAnsi="Arial"/>
          <w:sz w:val="18"/>
          <w:szCs w:val="18"/>
          <w:color w:val="auto"/>
        </w:rPr>
      </w:pPr>
    </w:p>
    <w:p>
      <w:pPr>
        <w:jc w:val="both"/>
        <w:ind w:left="954" w:right="320"/>
        <w:spacing w:after="0" w:line="254" w:lineRule="auto"/>
        <w:rPr>
          <w:rFonts w:ascii="Arial" w:cs="Arial" w:eastAsia="Arial" w:hAnsi="Arial"/>
          <w:sz w:val="18"/>
          <w:szCs w:val="18"/>
          <w:color w:val="auto"/>
        </w:rPr>
      </w:pPr>
      <w:r>
        <w:rPr>
          <w:rFonts w:ascii="Arial" w:cs="Arial" w:eastAsia="Arial" w:hAnsi="Arial"/>
          <w:sz w:val="17"/>
          <w:szCs w:val="17"/>
          <w:color w:val="auto"/>
        </w:rPr>
        <w:t>The separate financial statements as of December 31, 2022 and 2021, have been prepared following the historical cost criteria, except for investments at fair value through profit or loss, investments at fair value through other comprehensive income, which have been measured at fair value, and investments in subsidiaries that are measured based on the equity method.</w:t>
      </w:r>
    </w:p>
    <w:p>
      <w:pPr>
        <w:spacing w:after="0" w:line="176" w:lineRule="exact"/>
        <w:rPr>
          <w:sz w:val="20"/>
          <w:szCs w:val="20"/>
          <w:color w:val="auto"/>
        </w:rPr>
      </w:pPr>
    </w:p>
    <w:p>
      <w:pPr>
        <w:ind w:left="954" w:right="260"/>
        <w:spacing w:after="0" w:line="238" w:lineRule="auto"/>
        <w:rPr>
          <w:sz w:val="20"/>
          <w:szCs w:val="20"/>
          <w:color w:val="auto"/>
        </w:rPr>
      </w:pPr>
      <w:r>
        <w:rPr>
          <w:rFonts w:ascii="Arial" w:cs="Arial" w:eastAsia="Arial" w:hAnsi="Arial"/>
          <w:sz w:val="18"/>
          <w:szCs w:val="18"/>
          <w:color w:val="auto"/>
        </w:rPr>
        <w:t>The separated financial statements are presented in Soles (S/), which is the functional currency of Credicorp Ltd, see paragraph (b) below, and values are rounded to thousands of soles, unless otherwise stated.</w:t>
      </w:r>
    </w:p>
    <w:p>
      <w:pPr>
        <w:spacing w:after="0" w:line="187" w:lineRule="exact"/>
        <w:rPr>
          <w:sz w:val="20"/>
          <w:szCs w:val="20"/>
          <w:color w:val="auto"/>
        </w:rPr>
      </w:pPr>
    </w:p>
    <w:p>
      <w:pPr>
        <w:ind w:left="954" w:right="140"/>
        <w:spacing w:after="0" w:line="236" w:lineRule="auto"/>
        <w:rPr>
          <w:sz w:val="20"/>
          <w:szCs w:val="20"/>
          <w:color w:val="auto"/>
        </w:rPr>
      </w:pPr>
      <w:r>
        <w:rPr>
          <w:rFonts w:ascii="Arial" w:cs="Arial" w:eastAsia="Arial" w:hAnsi="Arial"/>
          <w:sz w:val="18"/>
          <w:szCs w:val="18"/>
          <w:color w:val="auto"/>
        </w:rPr>
        <w:t>The preparation of the separate financial statements in accordance with IFRS requires Management to make estimates and assumptions that affect the reported amounts of assets, liabilities, revenues and expenses and the disclosure of significant events in notes to the separate financial statements.</w:t>
      </w:r>
    </w:p>
    <w:p>
      <w:pPr>
        <w:spacing w:after="0" w:line="186" w:lineRule="exact"/>
        <w:rPr>
          <w:sz w:val="20"/>
          <w:szCs w:val="20"/>
          <w:color w:val="auto"/>
        </w:rPr>
      </w:pPr>
    </w:p>
    <w:p>
      <w:pPr>
        <w:ind w:left="954" w:right="40"/>
        <w:spacing w:after="0" w:line="234" w:lineRule="auto"/>
        <w:rPr>
          <w:sz w:val="20"/>
          <w:szCs w:val="20"/>
          <w:color w:val="auto"/>
        </w:rPr>
      </w:pPr>
      <w:r>
        <w:rPr>
          <w:rFonts w:ascii="Arial" w:cs="Arial" w:eastAsia="Arial" w:hAnsi="Arial"/>
          <w:sz w:val="18"/>
          <w:szCs w:val="18"/>
          <w:color w:val="auto"/>
        </w:rPr>
        <w:t>Estimates and judgments are continually evaluated and are based on historical experience and other factors, including expectations of future events that are believed to be reasonable under the current circumstances. The final results could differ from said estimates; however, the Management expects that the variations, if any, will not have a material impact on the separate financial statements.</w:t>
      </w:r>
    </w:p>
    <w:p>
      <w:pPr>
        <w:spacing w:after="0" w:line="189" w:lineRule="exact"/>
        <w:rPr>
          <w:sz w:val="20"/>
          <w:szCs w:val="20"/>
          <w:color w:val="auto"/>
        </w:rPr>
      </w:pPr>
    </w:p>
    <w:p>
      <w:pPr>
        <w:ind w:left="954" w:right="400"/>
        <w:spacing w:after="0" w:line="236" w:lineRule="auto"/>
        <w:rPr>
          <w:sz w:val="20"/>
          <w:szCs w:val="20"/>
          <w:color w:val="auto"/>
        </w:rPr>
      </w:pPr>
      <w:r>
        <w:rPr>
          <w:rFonts w:ascii="Arial" w:cs="Arial" w:eastAsia="Arial" w:hAnsi="Arial"/>
          <w:sz w:val="18"/>
          <w:szCs w:val="18"/>
          <w:color w:val="auto"/>
        </w:rPr>
        <w:t>The most significant estimates included in the accompanying separate financial statements are related to the calculation of the valuation of investments, the expected credit loss for investments at fair value through other comprehensive income and investments at amortized cost.</w:t>
      </w:r>
    </w:p>
    <w:p>
      <w:pPr>
        <w:spacing w:after="0" w:line="186" w:lineRule="exact"/>
        <w:rPr>
          <w:sz w:val="20"/>
          <w:szCs w:val="20"/>
          <w:color w:val="auto"/>
        </w:rPr>
      </w:pPr>
    </w:p>
    <w:p>
      <w:pPr>
        <w:ind w:left="954" w:right="140"/>
        <w:spacing w:after="0" w:line="238" w:lineRule="auto"/>
        <w:rPr>
          <w:sz w:val="20"/>
          <w:szCs w:val="20"/>
          <w:color w:val="auto"/>
        </w:rPr>
      </w:pPr>
      <w:r>
        <w:rPr>
          <w:rFonts w:ascii="Arial" w:cs="Arial" w:eastAsia="Arial" w:hAnsi="Arial"/>
          <w:sz w:val="18"/>
          <w:szCs w:val="18"/>
          <w:color w:val="auto"/>
        </w:rPr>
        <w:t>Furthermore, there are other estimates, such as the deferred income tax assets and liabilities for investments at fair value through other comprehensive income. The accounting criteria used for said estimate is described below.</w:t>
      </w:r>
    </w:p>
    <w:p>
      <w:pPr>
        <w:spacing w:after="0" w:line="179" w:lineRule="exact"/>
        <w:rPr>
          <w:sz w:val="20"/>
          <w:szCs w:val="20"/>
          <w:color w:val="auto"/>
        </w:rPr>
      </w:pPr>
    </w:p>
    <w:p>
      <w:pPr>
        <w:ind w:left="954"/>
        <w:spacing w:after="0"/>
        <w:rPr>
          <w:sz w:val="20"/>
          <w:szCs w:val="20"/>
          <w:color w:val="auto"/>
        </w:rPr>
      </w:pPr>
      <w:r>
        <w:rPr>
          <w:rFonts w:ascii="Arial" w:cs="Arial" w:eastAsia="Arial" w:hAnsi="Arial"/>
          <w:sz w:val="18"/>
          <w:szCs w:val="18"/>
          <w:color w:val="auto"/>
        </w:rPr>
        <w:t>The Company adopted the following standards and amendments for the first time for its annual period beginning on or after</w:t>
      </w:r>
    </w:p>
    <w:p>
      <w:pPr>
        <w:ind w:left="954"/>
        <w:spacing w:after="0"/>
        <w:rPr>
          <w:sz w:val="20"/>
          <w:szCs w:val="20"/>
          <w:color w:val="auto"/>
        </w:rPr>
      </w:pPr>
      <w:r>
        <w:rPr>
          <w:rFonts w:ascii="Arial" w:cs="Arial" w:eastAsia="Arial" w:hAnsi="Arial"/>
          <w:sz w:val="18"/>
          <w:szCs w:val="18"/>
          <w:color w:val="auto"/>
        </w:rPr>
        <w:t>January 1, 2022, as described below:</w:t>
      </w:r>
    </w:p>
    <w:p>
      <w:pPr>
        <w:spacing w:after="0" w:line="191" w:lineRule="exact"/>
        <w:rPr>
          <w:sz w:val="20"/>
          <w:szCs w:val="20"/>
          <w:color w:val="auto"/>
        </w:rPr>
      </w:pPr>
    </w:p>
    <w:p>
      <w:pPr>
        <w:ind w:left="1274" w:hanging="318"/>
        <w:spacing w:after="0"/>
        <w:tabs>
          <w:tab w:leader="none" w:pos="1274"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Amendments to IFRS 3 - Reference to the Conceptual Framework -</w:t>
      </w:r>
    </w:p>
    <w:p>
      <w:pPr>
        <w:spacing w:after="0" w:line="191" w:lineRule="exact"/>
        <w:rPr>
          <w:rFonts w:ascii="Arial" w:cs="Arial" w:eastAsia="Arial" w:hAnsi="Arial"/>
          <w:sz w:val="18"/>
          <w:szCs w:val="18"/>
          <w:color w:val="auto"/>
        </w:rPr>
      </w:pPr>
    </w:p>
    <w:p>
      <w:pPr>
        <w:ind w:left="1274" w:right="560"/>
        <w:spacing w:after="0" w:line="236" w:lineRule="auto"/>
        <w:rPr>
          <w:rFonts w:ascii="Arial" w:cs="Arial" w:eastAsia="Arial" w:hAnsi="Arial"/>
          <w:sz w:val="18"/>
          <w:szCs w:val="18"/>
          <w:color w:val="auto"/>
        </w:rPr>
      </w:pPr>
      <w:r>
        <w:rPr>
          <w:rFonts w:ascii="Arial" w:cs="Arial" w:eastAsia="Arial" w:hAnsi="Arial"/>
          <w:sz w:val="18"/>
          <w:szCs w:val="18"/>
          <w:color w:val="auto"/>
        </w:rPr>
        <w:t>Minor amendments were made to IFRS 3 Business combinations to update references to the Conceptual Framework for Financial Information and add an exception to recognize liabilities and contingent liabilities within the scope of IAS37 Provisions, Contingent Liabilities and the Interpretation IFRIC 21 Levies.</w:t>
      </w:r>
    </w:p>
    <w:p>
      <w:pPr>
        <w:spacing w:after="0" w:line="186" w:lineRule="exact"/>
        <w:rPr>
          <w:rFonts w:ascii="Arial" w:cs="Arial" w:eastAsia="Arial" w:hAnsi="Arial"/>
          <w:sz w:val="18"/>
          <w:szCs w:val="18"/>
          <w:color w:val="auto"/>
        </w:rPr>
      </w:pPr>
    </w:p>
    <w:p>
      <w:pPr>
        <w:ind w:left="1274" w:right="80"/>
        <w:spacing w:after="0" w:line="238" w:lineRule="auto"/>
        <w:rPr>
          <w:rFonts w:ascii="Arial" w:cs="Arial" w:eastAsia="Arial" w:hAnsi="Arial"/>
          <w:sz w:val="18"/>
          <w:szCs w:val="18"/>
          <w:color w:val="auto"/>
        </w:rPr>
      </w:pPr>
      <w:r>
        <w:rPr>
          <w:rFonts w:ascii="Arial" w:cs="Arial" w:eastAsia="Arial" w:hAnsi="Arial"/>
          <w:sz w:val="18"/>
          <w:szCs w:val="18"/>
          <w:color w:val="auto"/>
        </w:rPr>
        <w:t>The amendments also confirm that contingent assets should not be recognized on the date of acquisition. The amendment will be effective for annual reporting periods on or after January 1, 2022.</w:t>
      </w:r>
    </w:p>
    <w:p>
      <w:pPr>
        <w:spacing w:after="0" w:line="187" w:lineRule="exact"/>
        <w:rPr>
          <w:rFonts w:ascii="Arial" w:cs="Arial" w:eastAsia="Arial" w:hAnsi="Arial"/>
          <w:sz w:val="18"/>
          <w:szCs w:val="18"/>
          <w:color w:val="auto"/>
        </w:rPr>
      </w:pPr>
    </w:p>
    <w:p>
      <w:pPr>
        <w:ind w:left="1274"/>
        <w:spacing w:after="0"/>
        <w:rPr>
          <w:rFonts w:ascii="Arial" w:cs="Arial" w:eastAsia="Arial" w:hAnsi="Arial"/>
          <w:sz w:val="18"/>
          <w:szCs w:val="18"/>
          <w:color w:val="auto"/>
        </w:rPr>
      </w:pPr>
      <w:r>
        <w:rPr>
          <w:rFonts w:ascii="Arial" w:cs="Arial" w:eastAsia="Arial" w:hAnsi="Arial"/>
          <w:sz w:val="18"/>
          <w:szCs w:val="18"/>
          <w:color w:val="auto"/>
        </w:rPr>
        <w:t>The adoption of this amendment had no significant effects on the Company’s separate financial statements.</w:t>
      </w:r>
    </w:p>
    <w:p>
      <w:pPr>
        <w:spacing w:after="0" w:line="164" w:lineRule="exact"/>
        <w:rPr>
          <w:rFonts w:ascii="Arial" w:cs="Arial" w:eastAsia="Arial" w:hAnsi="Arial"/>
          <w:sz w:val="18"/>
          <w:szCs w:val="18"/>
          <w:color w:val="auto"/>
        </w:rPr>
      </w:pPr>
    </w:p>
    <w:p>
      <w:pPr>
        <w:ind w:left="5514" w:hanging="102"/>
        <w:spacing w:after="0"/>
        <w:tabs>
          <w:tab w:leader="none" w:pos="5514" w:val="left"/>
        </w:tabs>
        <w:numPr>
          <w:ilvl w:val="1"/>
          <w:numId w:val="6"/>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348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34"/>
          </w:cols>
          <w:pgMar w:left="326" w:top="118" w:right="339" w:bottom="1440" w:gutter="0" w:footer="0" w:header="0"/>
        </w:sectPr>
      </w:pPr>
    </w:p>
    <w:bookmarkStart w:id="19" w:name="page20"/>
    <w:bookmarkEnd w:id="19"/>
    <w:p>
      <w:pPr>
        <w:ind w:left="318" w:hanging="318"/>
        <w:spacing w:after="0"/>
        <w:tabs>
          <w:tab w:leader="none" w:pos="318" w:val="left"/>
        </w:tabs>
        <w:numPr>
          <w:ilvl w:val="0"/>
          <w:numId w:val="7"/>
        </w:numPr>
        <w:rPr>
          <w:rFonts w:ascii="Arial" w:cs="Arial" w:eastAsia="Arial" w:hAnsi="Arial"/>
          <w:sz w:val="18"/>
          <w:szCs w:val="18"/>
          <w:color w:val="auto"/>
        </w:rPr>
      </w:pPr>
      <w:r>
        <w:rPr>
          <w:rFonts w:ascii="Arial" w:cs="Arial" w:eastAsia="Arial" w:hAnsi="Arial"/>
          <w:sz w:val="18"/>
          <w:szCs w:val="18"/>
          <w:color w:val="auto"/>
        </w:rPr>
        <w:t>Onerous Contracts - Cost of Fulfilling a contract - Amendments to IAS37 -</w:t>
      </w:r>
    </w:p>
    <w:p>
      <w:pPr>
        <w:spacing w:after="0" w:line="190" w:lineRule="exact"/>
        <w:rPr>
          <w:rFonts w:ascii="Arial" w:cs="Arial" w:eastAsia="Arial" w:hAnsi="Arial"/>
          <w:sz w:val="18"/>
          <w:szCs w:val="18"/>
          <w:color w:val="auto"/>
        </w:rPr>
      </w:pPr>
    </w:p>
    <w:p>
      <w:pPr>
        <w:ind w:left="318" w:right="160"/>
        <w:spacing w:after="0" w:line="233" w:lineRule="auto"/>
        <w:rPr>
          <w:rFonts w:ascii="Arial" w:cs="Arial" w:eastAsia="Arial" w:hAnsi="Arial"/>
          <w:sz w:val="18"/>
          <w:szCs w:val="18"/>
          <w:color w:val="auto"/>
        </w:rPr>
      </w:pPr>
      <w:r>
        <w:rPr>
          <w:rFonts w:ascii="Arial" w:cs="Arial" w:eastAsia="Arial" w:hAnsi="Arial"/>
          <w:sz w:val="18"/>
          <w:szCs w:val="18"/>
          <w:color w:val="auto"/>
        </w:rPr>
        <w:t>In May 2020, the International Standards Board issued amendments to IAS 37 to specify which cost an entity must include when assessing if a contract is onerous or generates losses. The amendment to IAS37 clarifies that the direct costs of complying with a contract include both the incremental costs of complying with the contract and the assignment of other costs directly required to comply with the contracts. Prior recognizing a separate provision for the onerous contract, the entity will recognize any loss for impairment that occurred relative to the assets used to comply with the contract. The Amendment is effective for the annual periods reported that begin on January 1, 2022.</w:t>
      </w:r>
    </w:p>
    <w:p>
      <w:pPr>
        <w:spacing w:after="0" w:line="188" w:lineRule="exact"/>
        <w:rPr>
          <w:rFonts w:ascii="Arial" w:cs="Arial" w:eastAsia="Arial" w:hAnsi="Arial"/>
          <w:sz w:val="18"/>
          <w:szCs w:val="18"/>
          <w:color w:val="auto"/>
        </w:rPr>
      </w:pPr>
    </w:p>
    <w:p>
      <w:pPr>
        <w:ind w:left="318"/>
        <w:spacing w:after="0"/>
        <w:rPr>
          <w:rFonts w:ascii="Arial" w:cs="Arial" w:eastAsia="Arial" w:hAnsi="Arial"/>
          <w:sz w:val="18"/>
          <w:szCs w:val="18"/>
          <w:color w:val="auto"/>
        </w:rPr>
      </w:pPr>
      <w:r>
        <w:rPr>
          <w:rFonts w:ascii="Arial" w:cs="Arial" w:eastAsia="Arial" w:hAnsi="Arial"/>
          <w:sz w:val="18"/>
          <w:szCs w:val="18"/>
          <w:color w:val="auto"/>
        </w:rPr>
        <w:t>The amendment had no impact on its separate financial statements.</w:t>
      </w:r>
    </w:p>
    <w:p>
      <w:pPr>
        <w:spacing w:after="0" w:line="191" w:lineRule="exact"/>
        <w:rPr>
          <w:rFonts w:ascii="Arial" w:cs="Arial" w:eastAsia="Arial" w:hAnsi="Arial"/>
          <w:sz w:val="18"/>
          <w:szCs w:val="18"/>
          <w:color w:val="auto"/>
        </w:rPr>
      </w:pPr>
    </w:p>
    <w:p>
      <w:pPr>
        <w:ind w:left="318" w:hanging="318"/>
        <w:spacing w:after="0"/>
        <w:tabs>
          <w:tab w:leader="none" w:pos="318"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improvements to the IFRS 2018 - 2020 Cycle -</w:t>
      </w:r>
    </w:p>
    <w:p>
      <w:pPr>
        <w:spacing w:after="0" w:line="191" w:lineRule="exact"/>
        <w:rPr>
          <w:rFonts w:ascii="Arial" w:cs="Arial" w:eastAsia="Arial" w:hAnsi="Arial"/>
          <w:sz w:val="18"/>
          <w:szCs w:val="18"/>
          <w:color w:val="auto"/>
        </w:rPr>
      </w:pPr>
    </w:p>
    <w:p>
      <w:pPr>
        <w:ind w:left="318" w:right="440"/>
        <w:spacing w:after="0" w:line="238" w:lineRule="auto"/>
        <w:rPr>
          <w:rFonts w:ascii="Arial" w:cs="Arial" w:eastAsia="Arial" w:hAnsi="Arial"/>
          <w:sz w:val="18"/>
          <w:szCs w:val="18"/>
          <w:color w:val="auto"/>
        </w:rPr>
      </w:pPr>
      <w:r>
        <w:rPr>
          <w:rFonts w:ascii="Arial" w:cs="Arial" w:eastAsia="Arial" w:hAnsi="Arial"/>
          <w:sz w:val="18"/>
          <w:szCs w:val="18"/>
          <w:color w:val="auto"/>
        </w:rPr>
        <w:t>As part of its annual improvements 2018-2020 to the standard process of IFRS, in May 2020, the International Accounting Standards Board issued the following amendments:</w:t>
      </w:r>
    </w:p>
    <w:p>
      <w:pPr>
        <w:spacing w:after="0" w:line="187" w:lineRule="exact"/>
        <w:rPr>
          <w:rFonts w:ascii="Arial" w:cs="Arial" w:eastAsia="Arial" w:hAnsi="Arial"/>
          <w:sz w:val="18"/>
          <w:szCs w:val="18"/>
          <w:color w:val="auto"/>
        </w:rPr>
      </w:pPr>
    </w:p>
    <w:p>
      <w:pPr>
        <w:ind w:left="638" w:hanging="319"/>
        <w:spacing w:after="0" w:line="238" w:lineRule="auto"/>
        <w:tabs>
          <w:tab w:leader="none" w:pos="638" w:val="left"/>
        </w:tabs>
        <w:numPr>
          <w:ilvl w:val="1"/>
          <w:numId w:val="7"/>
        </w:numPr>
        <w:rPr>
          <w:rFonts w:ascii="Arial" w:cs="Arial" w:eastAsia="Arial" w:hAnsi="Arial"/>
          <w:sz w:val="18"/>
          <w:szCs w:val="18"/>
          <w:color w:val="auto"/>
        </w:rPr>
      </w:pPr>
      <w:r>
        <w:rPr>
          <w:rFonts w:ascii="Arial" w:cs="Arial" w:eastAsia="Arial" w:hAnsi="Arial"/>
          <w:sz w:val="18"/>
          <w:szCs w:val="18"/>
          <w:color w:val="auto"/>
        </w:rPr>
        <w:t>IFRS 9 Financial Instruments - clarifies that commissions should be included in the 10.0 percent test for derecognition of financial liabilities.</w:t>
      </w:r>
    </w:p>
    <w:p>
      <w:pPr>
        <w:spacing w:after="0" w:line="187" w:lineRule="exact"/>
        <w:rPr>
          <w:rFonts w:ascii="Arial" w:cs="Arial" w:eastAsia="Arial" w:hAnsi="Arial"/>
          <w:sz w:val="18"/>
          <w:szCs w:val="18"/>
          <w:color w:val="auto"/>
        </w:rPr>
      </w:pPr>
    </w:p>
    <w:p>
      <w:pPr>
        <w:ind w:left="638" w:right="60" w:hanging="319"/>
        <w:spacing w:after="0" w:line="234" w:lineRule="auto"/>
        <w:tabs>
          <w:tab w:leader="none" w:pos="638" w:val="left"/>
        </w:tabs>
        <w:numPr>
          <w:ilvl w:val="1"/>
          <w:numId w:val="7"/>
        </w:numPr>
        <w:rPr>
          <w:rFonts w:ascii="Arial" w:cs="Arial" w:eastAsia="Arial" w:hAnsi="Arial"/>
          <w:sz w:val="18"/>
          <w:szCs w:val="18"/>
          <w:color w:val="auto"/>
        </w:rPr>
      </w:pPr>
      <w:r>
        <w:rPr>
          <w:rFonts w:ascii="Arial" w:cs="Arial" w:eastAsia="Arial" w:hAnsi="Arial"/>
          <w:sz w:val="18"/>
          <w:szCs w:val="18"/>
          <w:color w:val="auto"/>
        </w:rPr>
        <w:t>IFRS 1 First-time Adoption of International Financial Reporting Standards - allows entities that have measured their assets and liabilities at carrying amount on their headquarters’ books to also measure any accumulative translation using the amounts reported by the parent company. This amendment will also apply to associates and joint ventures that have taken the same expectation to IFRS 1.</w:t>
      </w:r>
    </w:p>
    <w:p>
      <w:pPr>
        <w:spacing w:after="0" w:line="189" w:lineRule="exact"/>
        <w:rPr>
          <w:sz w:val="20"/>
          <w:szCs w:val="20"/>
          <w:color w:val="auto"/>
        </w:rPr>
      </w:pPr>
    </w:p>
    <w:p>
      <w:pPr>
        <w:ind w:left="318"/>
        <w:spacing w:after="0"/>
        <w:rPr>
          <w:sz w:val="20"/>
          <w:szCs w:val="20"/>
          <w:color w:val="auto"/>
        </w:rPr>
      </w:pPr>
      <w:r>
        <w:rPr>
          <w:rFonts w:ascii="Arial" w:cs="Arial" w:eastAsia="Arial" w:hAnsi="Arial"/>
          <w:sz w:val="18"/>
          <w:szCs w:val="18"/>
          <w:color w:val="auto"/>
        </w:rPr>
        <w:t>These amendments will be effective for annual reporting periods beginning on or after January 1, 2022 with early adoption.</w:t>
      </w:r>
    </w:p>
    <w:p>
      <w:pPr>
        <w:spacing w:after="0" w:line="191" w:lineRule="exact"/>
        <w:rPr>
          <w:sz w:val="20"/>
          <w:szCs w:val="20"/>
          <w:color w:val="auto"/>
        </w:rPr>
      </w:pPr>
    </w:p>
    <w:p>
      <w:pPr>
        <w:ind w:left="318"/>
        <w:spacing w:after="0"/>
        <w:rPr>
          <w:sz w:val="20"/>
          <w:szCs w:val="20"/>
          <w:color w:val="auto"/>
        </w:rPr>
      </w:pPr>
      <w:r>
        <w:rPr>
          <w:rFonts w:ascii="Arial" w:cs="Arial" w:eastAsia="Arial" w:hAnsi="Arial"/>
          <w:sz w:val="18"/>
          <w:szCs w:val="18"/>
          <w:color w:val="auto"/>
        </w:rPr>
        <w:t>The amendment has no impact on the separate financial statements.</w:t>
      </w:r>
    </w:p>
    <w:p>
      <w:pPr>
        <w:spacing w:after="0" w:line="191" w:lineRule="exact"/>
        <w:rPr>
          <w:sz w:val="20"/>
          <w:szCs w:val="20"/>
          <w:color w:val="auto"/>
        </w:rPr>
      </w:pPr>
    </w:p>
    <w:p>
      <w:pPr>
        <w:ind w:left="318"/>
        <w:spacing w:after="0"/>
        <w:rPr>
          <w:sz w:val="20"/>
          <w:szCs w:val="20"/>
          <w:color w:val="auto"/>
        </w:rPr>
      </w:pPr>
      <w:r>
        <w:rPr>
          <w:rFonts w:ascii="Arial" w:cs="Arial" w:eastAsia="Arial" w:hAnsi="Arial"/>
          <w:sz w:val="18"/>
          <w:szCs w:val="18"/>
          <w:color w:val="auto"/>
        </w:rPr>
        <w:t>In 2021, the Company adopted the following changes in relation to IFRS 9.</w:t>
      </w:r>
    </w:p>
    <w:p>
      <w:pPr>
        <w:spacing w:after="0" w:line="191" w:lineRule="exact"/>
        <w:rPr>
          <w:sz w:val="20"/>
          <w:szCs w:val="20"/>
          <w:color w:val="auto"/>
        </w:rPr>
      </w:pPr>
    </w:p>
    <w:p>
      <w:pPr>
        <w:ind w:left="638" w:right="220" w:hanging="319"/>
        <w:spacing w:after="0" w:line="254" w:lineRule="auto"/>
        <w:tabs>
          <w:tab w:leader="none" w:pos="638" w:val="left"/>
        </w:tabs>
        <w:numPr>
          <w:ilvl w:val="0"/>
          <w:numId w:val="8"/>
        </w:numPr>
        <w:rPr>
          <w:rFonts w:ascii="Arial" w:cs="Arial" w:eastAsia="Arial" w:hAnsi="Arial"/>
          <w:sz w:val="17"/>
          <w:szCs w:val="17"/>
          <w:color w:val="auto"/>
        </w:rPr>
      </w:pPr>
      <w:r>
        <w:rPr>
          <w:rFonts w:ascii="Arial" w:cs="Arial" w:eastAsia="Arial" w:hAnsi="Arial"/>
          <w:sz w:val="17"/>
          <w:szCs w:val="17"/>
          <w:color w:val="auto"/>
        </w:rPr>
        <w:t>By changing the basis for determining the contractual cash flows for financial assets and liabilities (including lease liabilities), the practical application has the effect that the changes, which are necessary as a consequence of the LIBOR reform and which are considered economically equivalent, will not result in an immediate gain or loss in results.</w:t>
      </w:r>
    </w:p>
    <w:p>
      <w:pPr>
        <w:spacing w:after="0" w:line="176" w:lineRule="exact"/>
        <w:rPr>
          <w:rFonts w:ascii="Arial" w:cs="Arial" w:eastAsia="Arial" w:hAnsi="Arial"/>
          <w:sz w:val="17"/>
          <w:szCs w:val="17"/>
          <w:color w:val="auto"/>
        </w:rPr>
      </w:pPr>
    </w:p>
    <w:p>
      <w:pPr>
        <w:jc w:val="both"/>
        <w:ind w:left="638" w:right="60" w:hanging="319"/>
        <w:spacing w:after="0" w:line="236" w:lineRule="auto"/>
        <w:tabs>
          <w:tab w:leader="none" w:pos="63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practical application regarding hedge accounting will allow most of the hedging relationships (whether they come from IAS 39 or IFRS 9) that are directly affected by the LIBOR reform to be able to be maintained. However, there may be some additional ineffectiveness that needs to be recognized.</w:t>
      </w:r>
    </w:p>
    <w:p>
      <w:pPr>
        <w:spacing w:after="0" w:line="186" w:lineRule="exact"/>
        <w:rPr>
          <w:sz w:val="20"/>
          <w:szCs w:val="20"/>
          <w:color w:val="auto"/>
        </w:rPr>
      </w:pPr>
    </w:p>
    <w:p>
      <w:pPr>
        <w:ind w:left="318" w:right="20"/>
        <w:spacing w:after="0" w:line="236" w:lineRule="auto"/>
        <w:rPr>
          <w:sz w:val="20"/>
          <w:szCs w:val="20"/>
          <w:color w:val="auto"/>
        </w:rPr>
      </w:pPr>
      <w:r>
        <w:rPr>
          <w:rFonts w:ascii="Arial" w:cs="Arial" w:eastAsia="Arial" w:hAnsi="Arial"/>
          <w:sz w:val="18"/>
          <w:szCs w:val="18"/>
          <w:color w:val="auto"/>
        </w:rPr>
        <w:t>Affected entities should disclose information about the nature and extent of LIBOR reform risks to which they are exposed, how those risks are being managed, the degree of progress in completing the transition to alternative benchmark rates, and how they are managing that transition.</w:t>
      </w:r>
    </w:p>
    <w:p>
      <w:pPr>
        <w:spacing w:after="0" w:line="186" w:lineRule="exact"/>
        <w:rPr>
          <w:sz w:val="20"/>
          <w:szCs w:val="20"/>
          <w:color w:val="auto"/>
        </w:rPr>
      </w:pPr>
    </w:p>
    <w:p>
      <w:pPr>
        <w:jc w:val="center"/>
        <w:ind w:right="1282"/>
        <w:spacing w:after="0" w:line="437" w:lineRule="auto"/>
        <w:rPr>
          <w:sz w:val="20"/>
          <w:szCs w:val="20"/>
          <w:color w:val="auto"/>
        </w:rPr>
      </w:pPr>
      <w:r>
        <w:rPr>
          <w:rFonts w:ascii="Arial" w:cs="Arial" w:eastAsia="Arial" w:hAnsi="Arial"/>
          <w:sz w:val="18"/>
          <w:szCs w:val="18"/>
          <w:color w:val="auto"/>
        </w:rPr>
        <w:t>As of December 31, 2022 and 2021, it has not had a significant effect on the separate financial statements. - 14 -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-81280</wp:posOffset>
            </wp:positionV>
            <wp:extent cx="71348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278"/>
          </w:cols>
          <w:pgMar w:left="1282" w:top="140" w:right="339" w:bottom="1440" w:gutter="0" w:footer="0" w:header="0"/>
        </w:sectPr>
      </w:pPr>
    </w:p>
    <w:bookmarkStart w:id="20" w:name="page21"/>
    <w:bookmarkEnd w:id="20"/>
    <w:p>
      <w:pPr>
        <w:ind w:left="316" w:hanging="316"/>
        <w:spacing w:after="0"/>
        <w:tabs>
          <w:tab w:leader="none" w:pos="316" w:val="left"/>
        </w:tabs>
        <w:numPr>
          <w:ilvl w:val="0"/>
          <w:numId w:val="9"/>
        </w:numPr>
        <w:rPr>
          <w:rFonts w:ascii="Arial" w:cs="Arial" w:eastAsia="Arial" w:hAnsi="Arial"/>
          <w:sz w:val="18"/>
          <w:szCs w:val="18"/>
          <w:color w:val="auto"/>
        </w:rPr>
      </w:pPr>
      <w:r>
        <w:rPr>
          <w:rFonts w:ascii="Arial" w:cs="Arial" w:eastAsia="Arial" w:hAnsi="Arial"/>
          <w:sz w:val="18"/>
          <w:szCs w:val="18"/>
          <w:color w:val="auto"/>
        </w:rPr>
        <w:t>Functional, presentation and foreign currency transactions -</w:t>
      </w:r>
    </w:p>
    <w:p>
      <w:pPr>
        <w:spacing w:after="0" w:line="190" w:lineRule="exact"/>
        <w:rPr>
          <w:rFonts w:ascii="Arial" w:cs="Arial" w:eastAsia="Arial" w:hAnsi="Arial"/>
          <w:sz w:val="18"/>
          <w:szCs w:val="18"/>
          <w:color w:val="auto"/>
        </w:rPr>
      </w:pPr>
    </w:p>
    <w:p>
      <w:pPr>
        <w:ind w:left="636" w:hanging="318"/>
        <w:spacing w:after="0"/>
        <w:tabs>
          <w:tab w:leader="none" w:pos="636" w:val="left"/>
        </w:tabs>
        <w:numPr>
          <w:ilvl w:val="1"/>
          <w:numId w:val="9"/>
        </w:numPr>
        <w:rPr>
          <w:rFonts w:ascii="Arial" w:cs="Arial" w:eastAsia="Arial" w:hAnsi="Arial"/>
          <w:sz w:val="18"/>
          <w:szCs w:val="18"/>
          <w:color w:val="auto"/>
        </w:rPr>
      </w:pPr>
      <w:r>
        <w:rPr>
          <w:rFonts w:ascii="Arial" w:cs="Arial" w:eastAsia="Arial" w:hAnsi="Arial"/>
          <w:sz w:val="18"/>
          <w:szCs w:val="18"/>
          <w:color w:val="auto"/>
        </w:rPr>
        <w:t>Functional and presentation currency -</w:t>
      </w:r>
    </w:p>
    <w:p>
      <w:pPr>
        <w:spacing w:after="0" w:line="191" w:lineRule="exact"/>
        <w:rPr>
          <w:rFonts w:ascii="Arial" w:cs="Arial" w:eastAsia="Arial" w:hAnsi="Arial"/>
          <w:sz w:val="18"/>
          <w:szCs w:val="18"/>
          <w:color w:val="auto"/>
        </w:rPr>
      </w:pPr>
    </w:p>
    <w:p>
      <w:pPr>
        <w:ind w:left="636"/>
        <w:spacing w:after="0" w:line="234" w:lineRule="auto"/>
        <w:rPr>
          <w:rFonts w:ascii="Arial" w:cs="Arial" w:eastAsia="Arial" w:hAnsi="Arial"/>
          <w:sz w:val="18"/>
          <w:szCs w:val="18"/>
          <w:color w:val="auto"/>
        </w:rPr>
      </w:pPr>
      <w:r>
        <w:rPr>
          <w:rFonts w:ascii="Arial" w:cs="Arial" w:eastAsia="Arial" w:hAnsi="Arial"/>
          <w:sz w:val="18"/>
          <w:szCs w:val="18"/>
          <w:color w:val="auto"/>
        </w:rPr>
        <w:t>The Company considers the sol as their functional and presentation currency since it reflects the nature of the economic events and relevant circumstances given the fact their major transactions and/operations, such as: financing obtained, interests and similar income, administrative and general expenses, as well as a significant percentage of their purchases; they are agreed and settled in soles.</w:t>
      </w:r>
    </w:p>
    <w:p>
      <w:pPr>
        <w:spacing w:after="0" w:line="188" w:lineRule="exact"/>
        <w:rPr>
          <w:rFonts w:ascii="Arial" w:cs="Arial" w:eastAsia="Arial" w:hAnsi="Arial"/>
          <w:sz w:val="18"/>
          <w:szCs w:val="18"/>
          <w:color w:val="auto"/>
        </w:rPr>
      </w:pPr>
    </w:p>
    <w:p>
      <w:pPr>
        <w:ind w:left="636" w:hanging="318"/>
        <w:spacing w:after="0"/>
        <w:tabs>
          <w:tab w:leader="none" w:pos="636" w:val="left"/>
        </w:tabs>
        <w:numPr>
          <w:ilvl w:val="1"/>
          <w:numId w:val="9"/>
        </w:numPr>
        <w:rPr>
          <w:rFonts w:ascii="Arial" w:cs="Arial" w:eastAsia="Arial" w:hAnsi="Arial"/>
          <w:sz w:val="18"/>
          <w:szCs w:val="18"/>
          <w:color w:val="auto"/>
        </w:rPr>
      </w:pPr>
      <w:r>
        <w:rPr>
          <w:rFonts w:ascii="Arial" w:cs="Arial" w:eastAsia="Arial" w:hAnsi="Arial"/>
          <w:sz w:val="18"/>
          <w:szCs w:val="18"/>
          <w:color w:val="auto"/>
        </w:rPr>
        <w:t>Transactions and balances in foreign currency -</w:t>
      </w:r>
    </w:p>
    <w:p>
      <w:pPr>
        <w:spacing w:after="0" w:line="191" w:lineRule="exact"/>
        <w:rPr>
          <w:rFonts w:ascii="Arial" w:cs="Arial" w:eastAsia="Arial" w:hAnsi="Arial"/>
          <w:sz w:val="18"/>
          <w:szCs w:val="18"/>
          <w:color w:val="auto"/>
        </w:rPr>
      </w:pPr>
    </w:p>
    <w:p>
      <w:pPr>
        <w:ind w:left="636" w:right="340"/>
        <w:spacing w:after="0" w:line="234" w:lineRule="auto"/>
        <w:rPr>
          <w:rFonts w:ascii="Arial" w:cs="Arial" w:eastAsia="Arial" w:hAnsi="Arial"/>
          <w:sz w:val="18"/>
          <w:szCs w:val="18"/>
          <w:color w:val="auto"/>
        </w:rPr>
      </w:pPr>
      <w:r>
        <w:rPr>
          <w:rFonts w:ascii="Arial" w:cs="Arial" w:eastAsia="Arial" w:hAnsi="Arial"/>
          <w:sz w:val="18"/>
          <w:szCs w:val="18"/>
          <w:color w:val="auto"/>
        </w:rPr>
        <w:t>Foreign currency transactions are those carried out in currencies other than the functional currency. These transactions are initially recorded at the exchange rates of its functional currency at the transaction dates. Monetary assets and liabilities denominated in foreign currency are adjusted at the exchange rate of the functional currency prevailing at the date of the separate statement of financial position.</w:t>
      </w:r>
    </w:p>
    <w:p>
      <w:pPr>
        <w:spacing w:after="0" w:line="188" w:lineRule="exact"/>
        <w:rPr>
          <w:rFonts w:ascii="Arial" w:cs="Arial" w:eastAsia="Arial" w:hAnsi="Arial"/>
          <w:sz w:val="18"/>
          <w:szCs w:val="18"/>
          <w:color w:val="auto"/>
        </w:rPr>
      </w:pPr>
    </w:p>
    <w:p>
      <w:pPr>
        <w:ind w:left="636" w:right="40"/>
        <w:spacing w:after="0" w:line="234" w:lineRule="auto"/>
        <w:rPr>
          <w:rFonts w:ascii="Arial" w:cs="Arial" w:eastAsia="Arial" w:hAnsi="Arial"/>
          <w:sz w:val="18"/>
          <w:szCs w:val="18"/>
          <w:color w:val="auto"/>
        </w:rPr>
      </w:pPr>
      <w:r>
        <w:rPr>
          <w:rFonts w:ascii="Arial" w:cs="Arial" w:eastAsia="Arial" w:hAnsi="Arial"/>
          <w:sz w:val="18"/>
          <w:szCs w:val="18"/>
          <w:color w:val="auto"/>
        </w:rPr>
        <w:t>The differences arising from the exchange rate prevailing at the date of each statement of financial position presented and the exchange rate initially used in recording transactions are recognized in the statement of income in the period in which it occurs, in “Exchange differences, net”. Non-monetary assets and liabilities acquired in foreign currency are recorded at the exchange rate prevailing at the initial transaction date and are not subsequently adjusted.</w:t>
      </w:r>
    </w:p>
    <w:p>
      <w:pPr>
        <w:spacing w:after="0" w:line="188" w:lineRule="exact"/>
        <w:rPr>
          <w:rFonts w:ascii="Arial" w:cs="Arial" w:eastAsia="Arial" w:hAnsi="Arial"/>
          <w:sz w:val="18"/>
          <w:szCs w:val="18"/>
          <w:color w:val="auto"/>
        </w:rPr>
      </w:pPr>
    </w:p>
    <w:p>
      <w:pPr>
        <w:ind w:left="316" w:right="5460" w:hanging="316"/>
        <w:spacing w:after="0" w:line="461" w:lineRule="auto"/>
        <w:tabs>
          <w:tab w:leader="none" w:pos="316"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Recognition of income and expenses from banking activities - Effective interest rate method:</w:t>
      </w:r>
    </w:p>
    <w:p>
      <w:pPr>
        <w:spacing w:after="0" w:line="1" w:lineRule="exact"/>
        <w:rPr>
          <w:rFonts w:ascii="Arial" w:cs="Arial" w:eastAsia="Arial" w:hAnsi="Arial"/>
          <w:sz w:val="18"/>
          <w:szCs w:val="18"/>
          <w:color w:val="auto"/>
        </w:rPr>
      </w:pPr>
    </w:p>
    <w:p>
      <w:pPr>
        <w:jc w:val="both"/>
        <w:ind w:left="316" w:right="200"/>
        <w:spacing w:after="0" w:line="236" w:lineRule="auto"/>
        <w:rPr>
          <w:rFonts w:ascii="Arial" w:cs="Arial" w:eastAsia="Arial" w:hAnsi="Arial"/>
          <w:sz w:val="18"/>
          <w:szCs w:val="18"/>
          <w:color w:val="auto"/>
        </w:rPr>
      </w:pPr>
      <w:r>
        <w:rPr>
          <w:rFonts w:ascii="Arial" w:cs="Arial" w:eastAsia="Arial" w:hAnsi="Arial"/>
          <w:sz w:val="18"/>
          <w:szCs w:val="18"/>
          <w:color w:val="auto"/>
        </w:rPr>
        <w:t>Interest income is recorded using the effective interest rate (EIR) method for all financial instruments measured at amortized cost and at fair value through other comprehensive income. Interest expenses corresponding to liabilities measured at amortized cost are also recorded using the EIR.</w:t>
      </w:r>
    </w:p>
    <w:p>
      <w:pPr>
        <w:spacing w:after="0" w:line="186" w:lineRule="exact"/>
        <w:rPr>
          <w:rFonts w:ascii="Arial" w:cs="Arial" w:eastAsia="Arial" w:hAnsi="Arial"/>
          <w:sz w:val="18"/>
          <w:szCs w:val="18"/>
          <w:color w:val="auto"/>
        </w:rPr>
      </w:pPr>
    </w:p>
    <w:p>
      <w:pPr>
        <w:ind w:left="316" w:right="120"/>
        <w:spacing w:after="0" w:line="251" w:lineRule="auto"/>
        <w:rPr>
          <w:rFonts w:ascii="Arial" w:cs="Arial" w:eastAsia="Arial" w:hAnsi="Arial"/>
          <w:sz w:val="18"/>
          <w:szCs w:val="18"/>
          <w:color w:val="auto"/>
        </w:rPr>
      </w:pPr>
      <w:r>
        <w:rPr>
          <w:rFonts w:ascii="Arial" w:cs="Arial" w:eastAsia="Arial" w:hAnsi="Arial"/>
          <w:sz w:val="17"/>
          <w:szCs w:val="17"/>
          <w:color w:val="auto"/>
        </w:rPr>
        <w:t>The EIR is the rate that exactly discounts future cash flows that are estimated to be paid or received during the life of the instrument or a shorter period, if appropriate, to the gross carrying amount of the financial asset or financial liability. The EIR (and, therefore, the amortized cost of the financial asset or liability) is calculated considering any discount, premium and transaction costs that are an integral part of the effective interest rate of the financial instrument, but the expected credit loss are not included.</w:t>
      </w:r>
    </w:p>
    <w:p>
      <w:pPr>
        <w:spacing w:after="0" w:line="178" w:lineRule="exact"/>
        <w:rPr>
          <w:rFonts w:ascii="Arial" w:cs="Arial" w:eastAsia="Arial" w:hAnsi="Arial"/>
          <w:sz w:val="18"/>
          <w:szCs w:val="18"/>
          <w:color w:val="auto"/>
        </w:rPr>
      </w:pPr>
    </w:p>
    <w:p>
      <w:pPr>
        <w:ind w:left="316"/>
        <w:spacing w:after="0"/>
        <w:rPr>
          <w:rFonts w:ascii="Arial" w:cs="Arial" w:eastAsia="Arial" w:hAnsi="Arial"/>
          <w:sz w:val="18"/>
          <w:szCs w:val="18"/>
          <w:color w:val="auto"/>
        </w:rPr>
      </w:pPr>
      <w:r>
        <w:rPr>
          <w:rFonts w:ascii="Arial" w:cs="Arial" w:eastAsia="Arial" w:hAnsi="Arial"/>
          <w:sz w:val="18"/>
          <w:szCs w:val="18"/>
          <w:color w:val="auto"/>
        </w:rPr>
        <w:t>Interest income and expenses:</w:t>
      </w:r>
    </w:p>
    <w:p>
      <w:pPr>
        <w:spacing w:after="0" w:line="191" w:lineRule="exact"/>
        <w:rPr>
          <w:rFonts w:ascii="Arial" w:cs="Arial" w:eastAsia="Arial" w:hAnsi="Arial"/>
          <w:sz w:val="18"/>
          <w:szCs w:val="18"/>
          <w:color w:val="auto"/>
        </w:rPr>
      </w:pPr>
    </w:p>
    <w:p>
      <w:pPr>
        <w:ind w:left="316"/>
        <w:spacing w:after="0" w:line="238" w:lineRule="auto"/>
        <w:rPr>
          <w:rFonts w:ascii="Arial" w:cs="Arial" w:eastAsia="Arial" w:hAnsi="Arial"/>
          <w:sz w:val="18"/>
          <w:szCs w:val="18"/>
          <w:color w:val="auto"/>
        </w:rPr>
      </w:pPr>
      <w:r>
        <w:rPr>
          <w:rFonts w:ascii="Arial" w:cs="Arial" w:eastAsia="Arial" w:hAnsi="Arial"/>
          <w:sz w:val="18"/>
          <w:szCs w:val="18"/>
          <w:color w:val="auto"/>
        </w:rPr>
        <w:t>The Company calculates interest income by applying the EIR to the gross carrying amount of those financial assets that are not impaired.</w:t>
      </w:r>
    </w:p>
    <w:p>
      <w:pPr>
        <w:spacing w:after="0" w:line="187" w:lineRule="exact"/>
        <w:rPr>
          <w:rFonts w:ascii="Arial" w:cs="Arial" w:eastAsia="Arial" w:hAnsi="Arial"/>
          <w:sz w:val="18"/>
          <w:szCs w:val="18"/>
          <w:color w:val="auto"/>
        </w:rPr>
      </w:pPr>
    </w:p>
    <w:p>
      <w:pPr>
        <w:ind w:left="316" w:right="280"/>
        <w:spacing w:after="0" w:line="234" w:lineRule="auto"/>
        <w:rPr>
          <w:rFonts w:ascii="Arial" w:cs="Arial" w:eastAsia="Arial" w:hAnsi="Arial"/>
          <w:sz w:val="18"/>
          <w:szCs w:val="18"/>
          <w:color w:val="auto"/>
        </w:rPr>
      </w:pPr>
      <w:r>
        <w:rPr>
          <w:rFonts w:ascii="Arial" w:cs="Arial" w:eastAsia="Arial" w:hAnsi="Arial"/>
          <w:sz w:val="18"/>
          <w:szCs w:val="18"/>
          <w:color w:val="auto"/>
        </w:rPr>
        <w:t>When a financial asset becomes impaired and, therefore, is considered in Stage 3, the Company calculates interest income by applying the interest rate effective at the carrying amount of the asset, net of its provision for credit loss. If the evidence that the criteria for the recognition of the financial asset in Stage 3 are no longer met, the Company recalculates interest income in gross terms.</w:t>
      </w:r>
    </w:p>
    <w:p>
      <w:pPr>
        <w:spacing w:after="0" w:line="188" w:lineRule="exact"/>
        <w:rPr>
          <w:rFonts w:ascii="Arial" w:cs="Arial" w:eastAsia="Arial" w:hAnsi="Arial"/>
          <w:sz w:val="18"/>
          <w:szCs w:val="18"/>
          <w:color w:val="auto"/>
        </w:rPr>
      </w:pPr>
    </w:p>
    <w:p>
      <w:pPr>
        <w:ind w:left="316" w:right="360"/>
        <w:spacing w:after="0" w:line="236" w:lineRule="auto"/>
        <w:rPr>
          <w:rFonts w:ascii="Arial" w:cs="Arial" w:eastAsia="Arial" w:hAnsi="Arial"/>
          <w:sz w:val="18"/>
          <w:szCs w:val="18"/>
          <w:color w:val="auto"/>
        </w:rPr>
      </w:pPr>
      <w:r>
        <w:rPr>
          <w:rFonts w:ascii="Arial" w:cs="Arial" w:eastAsia="Arial" w:hAnsi="Arial"/>
          <w:sz w:val="18"/>
          <w:szCs w:val="18"/>
          <w:color w:val="auto"/>
        </w:rPr>
        <w:t>Interest income and expenses accrued from all financial instruments that generate interest, including those related to financial instruments carried at fair value through profit or loss, are recorded under “Interest and similar income” and “Administrative and general expenses” in the separate statement of comprehensive income.</w:t>
      </w:r>
    </w:p>
    <w:p>
      <w:pPr>
        <w:spacing w:after="0" w:line="186" w:lineRule="exact"/>
        <w:rPr>
          <w:rFonts w:ascii="Arial" w:cs="Arial" w:eastAsia="Arial" w:hAnsi="Arial"/>
          <w:sz w:val="18"/>
          <w:szCs w:val="18"/>
          <w:color w:val="auto"/>
        </w:rPr>
      </w:pPr>
    </w:p>
    <w:p>
      <w:pPr>
        <w:ind w:left="316"/>
        <w:spacing w:after="0"/>
        <w:rPr>
          <w:rFonts w:ascii="Arial" w:cs="Arial" w:eastAsia="Arial" w:hAnsi="Arial"/>
          <w:sz w:val="18"/>
          <w:szCs w:val="18"/>
          <w:color w:val="auto"/>
        </w:rPr>
      </w:pPr>
      <w:r>
        <w:rPr>
          <w:rFonts w:ascii="Arial" w:cs="Arial" w:eastAsia="Arial" w:hAnsi="Arial"/>
          <w:sz w:val="18"/>
          <w:szCs w:val="18"/>
          <w:color w:val="auto"/>
        </w:rPr>
        <w:t>Dividends:</w:t>
      </w:r>
    </w:p>
    <w:p>
      <w:pPr>
        <w:spacing w:after="0" w:line="164" w:lineRule="exact"/>
        <w:rPr>
          <w:rFonts w:ascii="Arial" w:cs="Arial" w:eastAsia="Arial" w:hAnsi="Arial"/>
          <w:sz w:val="18"/>
          <w:szCs w:val="18"/>
          <w:color w:val="auto"/>
        </w:rPr>
      </w:pPr>
    </w:p>
    <w:p>
      <w:pPr>
        <w:ind w:left="4876" w:hanging="102"/>
        <w:spacing w:after="0"/>
        <w:tabs>
          <w:tab w:leader="none" w:pos="4876" w:val="left"/>
        </w:tabs>
        <w:numPr>
          <w:ilvl w:val="2"/>
          <w:numId w:val="9"/>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29210</wp:posOffset>
            </wp:positionV>
            <wp:extent cx="71348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596"/>
          </w:cols>
          <w:pgMar w:left="964" w:top="140" w:right="339" w:bottom="1440" w:gutter="0" w:footer="0" w:header="0"/>
        </w:sectPr>
      </w:pPr>
    </w:p>
    <w:bookmarkStart w:id="21" w:name="page22"/>
    <w:bookmarkEnd w:id="21"/>
    <w:p>
      <w:pPr>
        <w:ind w:left="316"/>
        <w:spacing w:after="0"/>
        <w:rPr>
          <w:sz w:val="20"/>
          <w:szCs w:val="20"/>
          <w:color w:val="auto"/>
        </w:rPr>
      </w:pPr>
      <w:r>
        <w:rPr>
          <w:rFonts w:ascii="Arial" w:cs="Arial" w:eastAsia="Arial" w:hAnsi="Arial"/>
          <w:sz w:val="18"/>
          <w:szCs w:val="18"/>
          <w:color w:val="auto"/>
        </w:rPr>
        <w:t>Dividends are recorded as income when they are declared.</w:t>
      </w:r>
    </w:p>
    <w:p>
      <w:pPr>
        <w:spacing w:after="0" w:line="191" w:lineRule="exact"/>
        <w:rPr>
          <w:sz w:val="20"/>
          <w:szCs w:val="20"/>
          <w:color w:val="auto"/>
        </w:rPr>
      </w:pPr>
    </w:p>
    <w:p>
      <w:pPr>
        <w:ind w:left="316"/>
        <w:spacing w:after="0"/>
        <w:rPr>
          <w:sz w:val="20"/>
          <w:szCs w:val="20"/>
          <w:color w:val="auto"/>
        </w:rPr>
      </w:pPr>
      <w:r>
        <w:rPr>
          <w:rFonts w:ascii="Arial" w:cs="Arial" w:eastAsia="Arial" w:hAnsi="Arial"/>
          <w:sz w:val="18"/>
          <w:szCs w:val="18"/>
          <w:color w:val="auto"/>
        </w:rPr>
        <w:t>Commissions and fees:</w:t>
      </w:r>
    </w:p>
    <w:p>
      <w:pPr>
        <w:spacing w:after="0" w:line="191" w:lineRule="exact"/>
        <w:rPr>
          <w:sz w:val="20"/>
          <w:szCs w:val="20"/>
          <w:color w:val="auto"/>
        </w:rPr>
      </w:pPr>
    </w:p>
    <w:p>
      <w:pPr>
        <w:jc w:val="both"/>
        <w:ind w:left="316" w:right="660"/>
        <w:spacing w:after="0" w:line="236" w:lineRule="auto"/>
        <w:rPr>
          <w:sz w:val="20"/>
          <w:szCs w:val="20"/>
          <w:color w:val="auto"/>
        </w:rPr>
      </w:pPr>
      <w:r>
        <w:rPr>
          <w:rFonts w:ascii="Arial" w:cs="Arial" w:eastAsia="Arial" w:hAnsi="Arial"/>
          <w:sz w:val="18"/>
          <w:szCs w:val="18"/>
          <w:color w:val="auto"/>
        </w:rPr>
        <w:t>Commission income (which is not an integral part of the EIR) and fees are recorded as they accrue. Commissions and fees include, among others, the commission charged for the banking service in general such as account maintenance, shipping, transfers, loan syndication fees and contingent credit fees.</w:t>
      </w:r>
    </w:p>
    <w:p>
      <w:pPr>
        <w:spacing w:after="0" w:line="186" w:lineRule="exact"/>
        <w:rPr>
          <w:sz w:val="20"/>
          <w:szCs w:val="20"/>
          <w:color w:val="auto"/>
        </w:rPr>
      </w:pPr>
    </w:p>
    <w:p>
      <w:pPr>
        <w:ind w:left="316"/>
        <w:spacing w:after="0"/>
        <w:rPr>
          <w:sz w:val="20"/>
          <w:szCs w:val="20"/>
          <w:color w:val="auto"/>
        </w:rPr>
      </w:pPr>
      <w:r>
        <w:rPr>
          <w:rFonts w:ascii="Arial" w:cs="Arial" w:eastAsia="Arial" w:hAnsi="Arial"/>
          <w:sz w:val="18"/>
          <w:szCs w:val="18"/>
          <w:color w:val="auto"/>
        </w:rPr>
        <w:t>Other income and expenses:</w:t>
      </w:r>
    </w:p>
    <w:p>
      <w:pPr>
        <w:spacing w:after="0" w:line="191" w:lineRule="exact"/>
        <w:rPr>
          <w:sz w:val="20"/>
          <w:szCs w:val="20"/>
          <w:color w:val="auto"/>
        </w:rPr>
      </w:pPr>
    </w:p>
    <w:p>
      <w:pPr>
        <w:ind w:left="316"/>
        <w:spacing w:after="0"/>
        <w:rPr>
          <w:sz w:val="20"/>
          <w:szCs w:val="20"/>
          <w:color w:val="auto"/>
        </w:rPr>
      </w:pPr>
      <w:r>
        <w:rPr>
          <w:rFonts w:ascii="Arial" w:cs="Arial" w:eastAsia="Arial" w:hAnsi="Arial"/>
          <w:sz w:val="18"/>
          <w:szCs w:val="18"/>
          <w:color w:val="auto"/>
        </w:rPr>
        <w:t>All other income and expenses are recorded in the year in which the performance obligation is satisfied.</w:t>
      </w:r>
    </w:p>
    <w:p>
      <w:pPr>
        <w:spacing w:after="0" w:line="191" w:lineRule="exact"/>
        <w:rPr>
          <w:sz w:val="20"/>
          <w:szCs w:val="20"/>
          <w:color w:val="auto"/>
        </w:rPr>
      </w:pPr>
    </w:p>
    <w:p>
      <w:pPr>
        <w:ind w:left="316" w:hanging="316"/>
        <w:spacing w:after="0"/>
        <w:tabs>
          <w:tab w:leader="none" w:pos="316"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instruments: Initial recognition and subsequent measurement -</w:t>
      </w:r>
    </w:p>
    <w:p>
      <w:pPr>
        <w:spacing w:after="0" w:line="191" w:lineRule="exact"/>
        <w:rPr>
          <w:rFonts w:ascii="Arial" w:cs="Arial" w:eastAsia="Arial" w:hAnsi="Arial"/>
          <w:sz w:val="18"/>
          <w:szCs w:val="18"/>
          <w:color w:val="auto"/>
        </w:rPr>
      </w:pPr>
    </w:p>
    <w:p>
      <w:pPr>
        <w:ind w:left="316" w:right="120"/>
        <w:spacing w:after="0" w:line="238" w:lineRule="auto"/>
        <w:rPr>
          <w:rFonts w:ascii="Arial" w:cs="Arial" w:eastAsia="Arial" w:hAnsi="Arial"/>
          <w:sz w:val="18"/>
          <w:szCs w:val="18"/>
          <w:color w:val="auto"/>
        </w:rPr>
      </w:pPr>
      <w:r>
        <w:rPr>
          <w:rFonts w:ascii="Arial" w:cs="Arial" w:eastAsia="Arial" w:hAnsi="Arial"/>
          <w:sz w:val="18"/>
          <w:szCs w:val="18"/>
          <w:color w:val="auto"/>
        </w:rPr>
        <w:t>A financial instrument is any agreement that originates a financial asset of one entity and a financial liability or equity instrument of another entity.</w:t>
      </w:r>
    </w:p>
    <w:p>
      <w:pPr>
        <w:spacing w:after="0" w:line="187" w:lineRule="exact"/>
        <w:rPr>
          <w:rFonts w:ascii="Arial" w:cs="Arial" w:eastAsia="Arial" w:hAnsi="Arial"/>
          <w:sz w:val="18"/>
          <w:szCs w:val="18"/>
          <w:color w:val="auto"/>
        </w:rPr>
      </w:pPr>
    </w:p>
    <w:p>
      <w:pPr>
        <w:ind w:left="316"/>
        <w:spacing w:after="0"/>
        <w:rPr>
          <w:rFonts w:ascii="Arial" w:cs="Arial" w:eastAsia="Arial" w:hAnsi="Arial"/>
          <w:sz w:val="18"/>
          <w:szCs w:val="18"/>
          <w:color w:val="auto"/>
        </w:rPr>
      </w:pPr>
      <w:r>
        <w:rPr>
          <w:rFonts w:ascii="Arial" w:cs="Arial" w:eastAsia="Arial" w:hAnsi="Arial"/>
          <w:sz w:val="18"/>
          <w:szCs w:val="18"/>
          <w:color w:val="auto"/>
        </w:rPr>
        <w:t>The Company determined the classification of its financial instruments at the date of initial recognition.</w:t>
      </w:r>
    </w:p>
    <w:p>
      <w:pPr>
        <w:spacing w:after="0" w:line="191" w:lineRule="exact"/>
        <w:rPr>
          <w:rFonts w:ascii="Arial" w:cs="Arial" w:eastAsia="Arial" w:hAnsi="Arial"/>
          <w:sz w:val="18"/>
          <w:szCs w:val="18"/>
          <w:color w:val="auto"/>
        </w:rPr>
      </w:pPr>
    </w:p>
    <w:p>
      <w:pPr>
        <w:ind w:left="316"/>
        <w:spacing w:after="0" w:line="236" w:lineRule="auto"/>
        <w:rPr>
          <w:rFonts w:ascii="Arial" w:cs="Arial" w:eastAsia="Arial" w:hAnsi="Arial"/>
          <w:sz w:val="18"/>
          <w:szCs w:val="18"/>
          <w:color w:val="auto"/>
        </w:rPr>
      </w:pPr>
      <w:r>
        <w:rPr>
          <w:rFonts w:ascii="Arial" w:cs="Arial" w:eastAsia="Arial" w:hAnsi="Arial"/>
          <w:sz w:val="18"/>
          <w:szCs w:val="18"/>
          <w:color w:val="auto"/>
        </w:rPr>
        <w:t>All the financial instruments are initially recognized at fair value plus the incremental costs related to the transaction that are directly attributable to the purchase or issue of the instrument, except in the case of financial assets or liabilities carried at fair value through profit or loss.</w:t>
      </w:r>
    </w:p>
    <w:p>
      <w:pPr>
        <w:spacing w:after="0" w:line="186" w:lineRule="exact"/>
        <w:rPr>
          <w:rFonts w:ascii="Arial" w:cs="Arial" w:eastAsia="Arial" w:hAnsi="Arial"/>
          <w:sz w:val="18"/>
          <w:szCs w:val="18"/>
          <w:color w:val="auto"/>
        </w:rPr>
      </w:pPr>
    </w:p>
    <w:p>
      <w:pPr>
        <w:jc w:val="both"/>
        <w:ind w:left="316" w:right="400"/>
        <w:spacing w:after="0" w:line="236" w:lineRule="auto"/>
        <w:rPr>
          <w:rFonts w:ascii="Arial" w:cs="Arial" w:eastAsia="Arial" w:hAnsi="Arial"/>
          <w:sz w:val="18"/>
          <w:szCs w:val="18"/>
          <w:color w:val="auto"/>
        </w:rPr>
      </w:pPr>
      <w:r>
        <w:rPr>
          <w:rFonts w:ascii="Arial" w:cs="Arial" w:eastAsia="Arial" w:hAnsi="Arial"/>
          <w:sz w:val="18"/>
          <w:szCs w:val="18"/>
          <w:color w:val="auto"/>
        </w:rPr>
        <w:t>The purchases or sales of financial assets that require the delivery of the assets within a term established according to market regulations or conventions (regular market terms) are recognized on the negotiation date, in other words, the date in which the Company commits to purchase or sell the asset.</w:t>
      </w:r>
    </w:p>
    <w:p>
      <w:pPr>
        <w:spacing w:after="0" w:line="186" w:lineRule="exact"/>
        <w:rPr>
          <w:rFonts w:ascii="Arial" w:cs="Arial" w:eastAsia="Arial" w:hAnsi="Arial"/>
          <w:sz w:val="18"/>
          <w:szCs w:val="18"/>
          <w:color w:val="auto"/>
        </w:rPr>
      </w:pPr>
    </w:p>
    <w:p>
      <w:pPr>
        <w:ind w:left="316" w:right="200"/>
        <w:spacing w:after="0" w:line="236" w:lineRule="auto"/>
        <w:rPr>
          <w:rFonts w:ascii="Arial" w:cs="Arial" w:eastAsia="Arial" w:hAnsi="Arial"/>
          <w:sz w:val="18"/>
          <w:szCs w:val="18"/>
          <w:color w:val="auto"/>
        </w:rPr>
      </w:pPr>
      <w:r>
        <w:rPr>
          <w:rFonts w:ascii="Arial" w:cs="Arial" w:eastAsia="Arial" w:hAnsi="Arial"/>
          <w:sz w:val="18"/>
          <w:szCs w:val="18"/>
          <w:color w:val="auto"/>
        </w:rPr>
        <w:t>As of December 31, 2022 and 2021, the Company classified the financial assets in one of the categories defined by IFRS 9: financial assets at fair value through profit or loss, at fair value though other comprehensive income and at amortized cost, based on:</w:t>
      </w:r>
    </w:p>
    <w:p>
      <w:pPr>
        <w:spacing w:after="0" w:line="178" w:lineRule="exact"/>
        <w:rPr>
          <w:rFonts w:ascii="Arial" w:cs="Arial" w:eastAsia="Arial" w:hAnsi="Arial"/>
          <w:sz w:val="18"/>
          <w:szCs w:val="18"/>
          <w:color w:val="auto"/>
        </w:rPr>
      </w:pPr>
    </w:p>
    <w:p>
      <w:pPr>
        <w:ind w:left="636" w:hanging="318"/>
        <w:spacing w:after="0"/>
        <w:tabs>
          <w:tab w:leader="none" w:pos="63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business model for managing the financial assets and</w:t>
      </w:r>
    </w:p>
    <w:p>
      <w:pPr>
        <w:ind w:left="636" w:hanging="318"/>
        <w:spacing w:after="0"/>
        <w:tabs>
          <w:tab w:leader="none" w:pos="63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characteristics of the contractual cash flows of the financial asset.</w:t>
      </w:r>
    </w:p>
    <w:p>
      <w:pPr>
        <w:spacing w:after="0" w:line="191" w:lineRule="exact"/>
        <w:rPr>
          <w:sz w:val="20"/>
          <w:szCs w:val="20"/>
          <w:color w:val="auto"/>
        </w:rPr>
      </w:pPr>
    </w:p>
    <w:p>
      <w:pPr>
        <w:ind w:left="316"/>
        <w:spacing w:after="0"/>
        <w:rPr>
          <w:sz w:val="20"/>
          <w:szCs w:val="20"/>
          <w:color w:val="auto"/>
        </w:rPr>
      </w:pPr>
      <w:r>
        <w:rPr>
          <w:rFonts w:ascii="Arial" w:cs="Arial" w:eastAsia="Arial" w:hAnsi="Arial"/>
          <w:sz w:val="18"/>
          <w:szCs w:val="18"/>
          <w:color w:val="auto"/>
        </w:rPr>
        <w:t>Business model -</w:t>
      </w:r>
    </w:p>
    <w:p>
      <w:pPr>
        <w:spacing w:after="0" w:line="191" w:lineRule="exact"/>
        <w:rPr>
          <w:sz w:val="20"/>
          <w:szCs w:val="20"/>
          <w:color w:val="auto"/>
        </w:rPr>
      </w:pPr>
    </w:p>
    <w:p>
      <w:pPr>
        <w:jc w:val="both"/>
        <w:ind w:left="316" w:right="140"/>
        <w:spacing w:after="0" w:line="254" w:lineRule="auto"/>
        <w:rPr>
          <w:sz w:val="20"/>
          <w:szCs w:val="20"/>
          <w:color w:val="auto"/>
        </w:rPr>
      </w:pPr>
      <w:r>
        <w:rPr>
          <w:rFonts w:ascii="Arial" w:cs="Arial" w:eastAsia="Arial" w:hAnsi="Arial"/>
          <w:sz w:val="17"/>
          <w:szCs w:val="17"/>
          <w:color w:val="auto"/>
        </w:rPr>
        <w:t>Represents how the financial assets are managed to generate cash flows and it does not depend on the Management’s intention with regard to an individual instrument. Financial assets can be managed for the purpose of: i) obtaining contractual cash flows; ii) obtaining contractual cash flows and sale; or iii) others. To evaluate the business models, the Company considers:</w:t>
      </w:r>
    </w:p>
    <w:p>
      <w:pPr>
        <w:spacing w:after="0" w:line="168" w:lineRule="exact"/>
        <w:rPr>
          <w:sz w:val="20"/>
          <w:szCs w:val="20"/>
          <w:color w:val="auto"/>
        </w:rPr>
      </w:pPr>
    </w:p>
    <w:p>
      <w:pPr>
        <w:ind w:left="636" w:hanging="318"/>
        <w:spacing w:after="0"/>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risks that affect the performance of the business model, and in particular, the way in which these risks are managed.</w:t>
      </w:r>
    </w:p>
    <w:p>
      <w:pPr>
        <w:ind w:left="636" w:right="20" w:hanging="318"/>
        <w:spacing w:after="0" w:line="238"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How the performance of the business model and the financial assets, held within this business model, are evaluated and informed to the key personnel of the Administration of the Company.</w:t>
      </w:r>
    </w:p>
    <w:p>
      <w:pPr>
        <w:spacing w:after="0" w:line="187" w:lineRule="exact"/>
        <w:rPr>
          <w:sz w:val="20"/>
          <w:szCs w:val="20"/>
          <w:color w:val="auto"/>
        </w:rPr>
      </w:pPr>
    </w:p>
    <w:p>
      <w:pPr>
        <w:ind w:left="316" w:right="120"/>
        <w:spacing w:after="0" w:line="238" w:lineRule="auto"/>
        <w:rPr>
          <w:sz w:val="20"/>
          <w:szCs w:val="20"/>
          <w:color w:val="auto"/>
        </w:rPr>
      </w:pPr>
      <w:r>
        <w:rPr>
          <w:rFonts w:ascii="Arial" w:cs="Arial" w:eastAsia="Arial" w:hAnsi="Arial"/>
          <w:sz w:val="18"/>
          <w:szCs w:val="18"/>
          <w:color w:val="auto"/>
        </w:rPr>
        <w:t>If the cash flows after initial recognition are carried out in a manner other than what is expected by the Company, the classification of the remaining financial assets maintained in this business model is not modified.</w:t>
      </w:r>
    </w:p>
    <w:p>
      <w:pPr>
        <w:spacing w:after="0" w:line="161" w:lineRule="exact"/>
        <w:rPr>
          <w:sz w:val="20"/>
          <w:szCs w:val="20"/>
          <w:color w:val="auto"/>
        </w:rPr>
      </w:pPr>
    </w:p>
    <w:p>
      <w:pPr>
        <w:ind w:left="4776"/>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29210</wp:posOffset>
            </wp:positionV>
            <wp:extent cx="71348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596"/>
          </w:cols>
          <w:pgMar w:left="964" w:top="140" w:right="339" w:bottom="1440" w:gutter="0" w:footer="0" w:header="0"/>
        </w:sectPr>
      </w:pPr>
    </w:p>
    <w:bookmarkStart w:id="22" w:name="page23"/>
    <w:bookmarkEnd w:id="22"/>
    <w:p>
      <w:pPr>
        <w:ind w:right="520"/>
        <w:spacing w:after="0" w:line="238" w:lineRule="auto"/>
        <w:rPr>
          <w:sz w:val="20"/>
          <w:szCs w:val="20"/>
          <w:color w:val="auto"/>
        </w:rPr>
      </w:pPr>
      <w:r>
        <w:rPr>
          <w:rFonts w:ascii="Arial" w:cs="Arial" w:eastAsia="Arial" w:hAnsi="Arial"/>
          <w:sz w:val="18"/>
          <w:szCs w:val="18"/>
          <w:color w:val="auto"/>
        </w:rPr>
        <w:t>When the financial asset is maintained in the business models i) and ii), it requires the application of the “Solely Payments of Principal and Interest” test - “SPPI”.</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SPPI Test (Solely Payments of Principal and Interest) -</w:t>
      </w:r>
    </w:p>
    <w:p>
      <w:pPr>
        <w:spacing w:after="0" w:line="191"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This test consists in the evaluation of the cash flows generated by a financial instrument in order to verify if the contractual terms of the financial asset give rise on specified dates to cash flows that are solely payments of principal and interest. To adapt to this concept, the cash flows must solely include the consideration of the time value of money and the credit risk. If the contractual terms introduce risk exposure or cash flow volatility, such as the exposure to changes in the prices of capital instruments or the prices of raw materials, the financial asset is classified at fair value through profit or loss. Hybrid contracts must be evaluated as a whole, including all the integrated characteristics. The accounting of a hybrid contract that contains an embedded derivative is carried out jointly, in other words, the entire instrument is measured at fair value through profit or loss.</w:t>
      </w:r>
    </w:p>
    <w:p>
      <w:pPr>
        <w:spacing w:after="0" w:line="1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7"/>
          <w:szCs w:val="17"/>
          <w:color w:val="auto"/>
        </w:rPr>
        <w:t>Financial assets at amortized cost -</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 financial asset is classified at amortized cost if the following conditions are met:</w:t>
      </w:r>
    </w:p>
    <w:p>
      <w:pPr>
        <w:spacing w:after="0" w:line="184" w:lineRule="exact"/>
        <w:rPr>
          <w:sz w:val="20"/>
          <w:szCs w:val="20"/>
          <w:color w:val="auto"/>
        </w:rPr>
      </w:pPr>
    </w:p>
    <w:p>
      <w:pPr>
        <w:ind w:left="320" w:hanging="318"/>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is held within a business model whose objective is to maintain the financial asset to obtain the contractual cash flows, and</w:t>
      </w:r>
    </w:p>
    <w:p>
      <w:pPr>
        <w:ind w:left="320" w:hanging="318"/>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contractual conditions give rise, on specified dates, to cash flows that are solely payments of the principal and interest.</w:t>
      </w:r>
    </w:p>
    <w:p>
      <w:pPr>
        <w:spacing w:after="0" w:line="19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After their initial recognition, the financial assets of this category are valued at amortized cost, using the effective interest rate method, minus any credit loss provision. The amortized cost is calculated considering any discount or premium incurred in the acquisition and professional fees that constitute an integral part of the effective interest rate. Interest income is included in the item “Interest and similar income” in the separate income statement.</w:t>
      </w:r>
    </w:p>
    <w:p>
      <w:pPr>
        <w:spacing w:after="0" w:line="189"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Financial assets at amortized cost include direct loans that are recorded when the disbursement of the funds in favor of the customers is carried out, and indirect (contingent) loans that are recorded when the documents that support said loans facilities are issued. Furthermore, Credicorp Ltd. considers as refinanced or restructured those credits that, due to difficulties in payment on the part of the debtor, change their payment schedule.</w:t>
      </w:r>
    </w:p>
    <w:p>
      <w:pPr>
        <w:spacing w:after="0" w:line="18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impairment loss is calculated using the expected loss approach and recognized in the separate statement of comprehensive income.</w:t>
      </w:r>
    </w:p>
    <w:p>
      <w:pPr>
        <w:spacing w:after="0" w:line="18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balance of the financial assets, measured at amortized cost, is presented net of the provision for credit losses in the separate statement of financial position.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(ii) Financial assets at fair value through other comprehensive income -</w:t>
      </w:r>
    </w:p>
    <w:p>
      <w:pPr>
        <w:spacing w:after="0" w:line="191"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The financial assets that the Company maintains in this category are a) investments in debt instruments, and b) investments in equity instruments, not for trading, irrevocably designated at initial recognition.</w:t>
      </w:r>
    </w:p>
    <w:p>
      <w:pPr>
        <w:spacing w:after="0" w:line="16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29210</wp:posOffset>
            </wp:positionV>
            <wp:extent cx="71348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260"/>
          </w:cols>
          <w:pgMar w:left="1280" w:top="140"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Investments in debt instruments -</w:t>
      </w:r>
    </w:p>
    <w:p>
      <w:pPr>
        <w:spacing w:after="0" w:line="191"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A financial asset is classified and measured at fair value through other comprehensive income when the following conditions are followed:</w:t>
      </w:r>
    </w:p>
    <w:p>
      <w:pPr>
        <w:spacing w:after="0" w:line="187" w:lineRule="exact"/>
        <w:rPr>
          <w:sz w:val="20"/>
          <w:szCs w:val="20"/>
          <w:color w:val="auto"/>
        </w:rPr>
      </w:pPr>
    </w:p>
    <w:p>
      <w:pPr>
        <w:ind w:left="320" w:hanging="318"/>
        <w:spacing w:after="0" w:line="230"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asset is maintained within a business model whose objective is achieved by both collecting contractual cash flows and selling financial assets, and</w:t>
      </w:r>
    </w:p>
    <w:p>
      <w:pPr>
        <w:spacing w:after="0" w:line="1" w:lineRule="exact"/>
        <w:rPr>
          <w:rFonts w:ascii="Arial" w:cs="Arial" w:eastAsia="Arial" w:hAnsi="Arial"/>
          <w:sz w:val="18"/>
          <w:szCs w:val="18"/>
          <w:color w:val="auto"/>
        </w:rPr>
      </w:pPr>
    </w:p>
    <w:p>
      <w:pPr>
        <w:ind w:left="320" w:hanging="318"/>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contractual conditions give rise, on specified dates, to cash flows that are solely payments of principal and interest.</w:t>
      </w:r>
    </w:p>
    <w:p>
      <w:pPr>
        <w:spacing w:after="0" w:line="19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After their initial recognition, investments in debt instruments are measured at fair value, recording the unrealized gains and losses in the statement of comprehensive income, net of their corresponding income tax and non-controlling interest, until the investment is sold; upon which the accumulated profit or loss is recognized in the item “Net gain on securities” in the separate statement of income.</w:t>
      </w:r>
    </w:p>
    <w:p>
      <w:pPr>
        <w:spacing w:after="0" w:line="189"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Interest is recognized in the statement of income in the item “Interest and similar income” and it is reported as interest income using the effective interest rate method.</w:t>
      </w:r>
    </w:p>
    <w:p>
      <w:pPr>
        <w:spacing w:after="0" w:line="187"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When a debt instrument is designated in a fair value hedging relationship, any change in the fair value due to changes in the hedged risk is recognized in the item “Interest and similar income” in the separate statement of income.</w:t>
      </w:r>
    </w:p>
    <w:p>
      <w:pPr>
        <w:spacing w:after="0" w:line="187" w:lineRule="exact"/>
        <w:rPr>
          <w:sz w:val="20"/>
          <w:szCs w:val="20"/>
          <w:color w:val="auto"/>
        </w:rPr>
      </w:pPr>
    </w:p>
    <w:p>
      <w:pPr>
        <w:jc w:val="both"/>
        <w:ind w:right="140"/>
        <w:spacing w:after="0" w:line="236" w:lineRule="auto"/>
        <w:rPr>
          <w:sz w:val="20"/>
          <w:szCs w:val="20"/>
          <w:color w:val="auto"/>
        </w:rPr>
      </w:pPr>
      <w:r>
        <w:rPr>
          <w:rFonts w:ascii="Arial" w:cs="Arial" w:eastAsia="Arial" w:hAnsi="Arial"/>
          <w:sz w:val="18"/>
          <w:szCs w:val="18"/>
          <w:color w:val="auto"/>
        </w:rPr>
        <w:t>Gains or losses from exchange differences related to the amortized cost of the debt instrument are recognized in the statement of income, and those related to the difference between the amortized cost and the fair value are recognized as part of the unrealized gain or loss in the statement of comprehensive income.</w:t>
      </w:r>
    </w:p>
    <w:p>
      <w:pPr>
        <w:spacing w:after="0" w:line="186" w:lineRule="exact"/>
        <w:rPr>
          <w:sz w:val="20"/>
          <w:szCs w:val="20"/>
          <w:color w:val="auto"/>
        </w:rPr>
      </w:pPr>
    </w:p>
    <w:p>
      <w:pPr>
        <w:ind w:right="440"/>
        <w:spacing w:after="0" w:line="236" w:lineRule="auto"/>
        <w:rPr>
          <w:sz w:val="20"/>
          <w:szCs w:val="20"/>
          <w:color w:val="auto"/>
        </w:rPr>
      </w:pPr>
      <w:r>
        <w:rPr>
          <w:rFonts w:ascii="Arial" w:cs="Arial" w:eastAsia="Arial" w:hAnsi="Arial"/>
          <w:sz w:val="18"/>
          <w:szCs w:val="18"/>
          <w:color w:val="auto"/>
        </w:rPr>
        <w:t>The estimated fair value of the investments in debt instruments is mainly determined based on quotations or, in their absence, based on the discounted cash flows using market rates in accordance with the credit quality and the maturity term of the investment.</w:t>
      </w:r>
    </w:p>
    <w:p>
      <w:pPr>
        <w:spacing w:after="0" w:line="18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impairment loss of investments in debt instruments is calculated using the expected loss approach and is recognized in the statement of comprehensive income, charged to the item “Net gain on securities” in the statement of income. In this sense, it does not reduce the carrying amount of the financial asset in the statement of financial position, which is maintained at fair value. The impairment loss recognized in the separate statement of comprehensive income is reclassified to the separate statement of income when the debt instrument is derecognized.</w:t>
      </w:r>
    </w:p>
    <w:p>
      <w:pPr>
        <w:spacing w:after="0" w:line="186"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Investments in equity instruments, not for trading, designated upon initial recognition (equity instruments designated at the initial recognition) -</w:t>
      </w:r>
    </w:p>
    <w:p>
      <w:pPr>
        <w:spacing w:after="0" w:line="18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At initial recognition, the Company can make an irrevocable choice to present the equity instruments, which are not for trading, but for strategic purposes, in the item “At fair value through other comprehensive income”.</w:t>
      </w:r>
    </w:p>
    <w:p>
      <w:pPr>
        <w:spacing w:after="0" w:line="187"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After their initial recognition, the equity investments are measured at fair value, recording the unrealized gains and losses in the separate statement of comprehensive income, net of their corresponding income tax and non-controlling interest, until the investment is sold, whereupon the accumulated gain or loss is transferred to the item “Retained earnings” in the separate statement of changes in equity; in other words, they are not subsequently reclassified to the separate statement of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equity instruments classified in this category do not require a loss impairment evaluation.</w:t>
      </w:r>
    </w:p>
    <w:p>
      <w:pPr>
        <w:spacing w:after="0" w:line="16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29210</wp:posOffset>
            </wp:positionV>
            <wp:extent cx="71348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280"/>
          </w:cols>
          <w:pgMar w:left="1280" w:top="140" w:right="339" w:bottom="1440" w:gutter="0" w:footer="0" w:header="0"/>
        </w:sectPr>
      </w:pPr>
    </w:p>
    <w:bookmarkStart w:id="24" w:name="page25"/>
    <w:bookmarkEnd w:id="24"/>
    <w:p>
      <w:pPr>
        <w:ind w:right="360"/>
        <w:spacing w:after="0" w:line="238" w:lineRule="auto"/>
        <w:rPr>
          <w:sz w:val="20"/>
          <w:szCs w:val="20"/>
          <w:color w:val="auto"/>
        </w:rPr>
      </w:pPr>
      <w:r>
        <w:rPr>
          <w:rFonts w:ascii="Arial" w:cs="Arial" w:eastAsia="Arial" w:hAnsi="Arial"/>
          <w:sz w:val="18"/>
          <w:szCs w:val="18"/>
          <w:color w:val="auto"/>
        </w:rPr>
        <w:t>Dividends are recognized when the collection right has been established and they are recorded in the item “Interest and similar income” in the separate statement of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(iii) Financial assets at fair value through profit or loss -</w:t>
      </w:r>
    </w:p>
    <w:p>
      <w:pPr>
        <w:spacing w:after="0" w:line="191"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Financial assets must be classified and measured at fair value through profit or loss, unless they are classified and measured at “Amortized cost” or “At fair value through other comprehensive income”.</w:t>
      </w:r>
    </w:p>
    <w:p>
      <w:pPr>
        <w:spacing w:after="0" w:line="187"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financial assets that Credicorp Ltd. maintains in this category are: a) Investments in debt instruments, b) investments in equity instruments for trading purposes, c) financial assets designated at fair value through profit or loss from their initial recognition, and</w:t>
      </w:r>
    </w:p>
    <w:p>
      <w:pPr>
        <w:spacing w:after="0" w:line="1" w:lineRule="exact"/>
        <w:rPr>
          <w:sz w:val="20"/>
          <w:szCs w:val="20"/>
          <w:color w:val="auto"/>
        </w:rPr>
      </w:pPr>
    </w:p>
    <w:p>
      <w:pPr>
        <w:ind w:right="5980" w:firstLine="2"/>
        <w:spacing w:after="0" w:line="461" w:lineRule="auto"/>
        <w:tabs>
          <w:tab w:leader="none" w:pos="2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derivative financial instruments for trading purposes. Debt instruments -</w:t>
      </w:r>
    </w:p>
    <w:p>
      <w:pPr>
        <w:spacing w:after="0" w:line="2"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Said instruments are classified in this category since: a) they are maintained for trading purposes, or b) their cash flows are not solely payments of principal and interest.</w:t>
      </w:r>
    </w:p>
    <w:p>
      <w:pPr>
        <w:spacing w:after="0" w:line="187" w:lineRule="exact"/>
        <w:rPr>
          <w:sz w:val="20"/>
          <w:szCs w:val="20"/>
          <w:color w:val="auto"/>
        </w:rPr>
      </w:pPr>
    </w:p>
    <w:p>
      <w:pPr>
        <w:jc w:val="both"/>
        <w:ind w:right="240"/>
        <w:spacing w:after="0" w:line="236" w:lineRule="auto"/>
        <w:rPr>
          <w:sz w:val="20"/>
          <w:szCs w:val="20"/>
          <w:color w:val="auto"/>
        </w:rPr>
      </w:pPr>
      <w:r>
        <w:rPr>
          <w:rFonts w:ascii="Arial" w:cs="Arial" w:eastAsia="Arial" w:hAnsi="Arial"/>
          <w:sz w:val="18"/>
          <w:szCs w:val="18"/>
          <w:color w:val="auto"/>
        </w:rPr>
        <w:t>After initial recognition they are measured at fair value, recording the changes in the item “Net gain on securities” in the separate statement of income. Interests accrued are calculated using the contractual interest rate and recorded in the “Interest and similar income” in the separate statement of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Equity instruments -</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Equity instruments are classified and measured at fair value through profit or loss, unless an irrevocable choice is made, at the time of initial recognition, to designate them at fair value through other comprehensive income.</w:t>
      </w:r>
    </w:p>
    <w:p>
      <w:pPr>
        <w:spacing w:after="0" w:line="187" w:lineRule="exact"/>
        <w:rPr>
          <w:sz w:val="20"/>
          <w:szCs w:val="20"/>
          <w:color w:val="auto"/>
        </w:rPr>
      </w:pPr>
    </w:p>
    <w:p>
      <w:pPr>
        <w:jc w:val="both"/>
        <w:ind w:right="320"/>
        <w:spacing w:after="0" w:line="236" w:lineRule="auto"/>
        <w:rPr>
          <w:sz w:val="20"/>
          <w:szCs w:val="20"/>
          <w:color w:val="auto"/>
        </w:rPr>
      </w:pPr>
      <w:r>
        <w:rPr>
          <w:rFonts w:ascii="Arial" w:cs="Arial" w:eastAsia="Arial" w:hAnsi="Arial"/>
          <w:sz w:val="18"/>
          <w:szCs w:val="18"/>
          <w:color w:val="auto"/>
        </w:rPr>
        <w:t>After their initial recognition, they are measured at fair value, recording the changes in “Net gains on securities” in the separate statement of income. The profit from dividends is recorded in the item “Interest and similar income” in the separate statement of income when the right to payment has been recognized.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designated at fair value through profit or loss from initial recognition -</w:t>
      </w:r>
    </w:p>
    <w:p>
      <w:pPr>
        <w:spacing w:after="0" w:line="191"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Upon initial recognition, Management can irrevocably designate financial assets as measured at fair value through profit or loss, if doing so eliminates or significantly reduces an incongruence of measurement or recognition that would otherwise arise from the measurement of the assets or liabilities or from the recognition of the profit and losses thereof on different bases.</w:t>
      </w:r>
    </w:p>
    <w:p>
      <w:pPr>
        <w:spacing w:after="0" w:line="186" w:lineRule="exact"/>
        <w:rPr>
          <w:sz w:val="20"/>
          <w:szCs w:val="20"/>
          <w:color w:val="auto"/>
        </w:rPr>
      </w:pPr>
    </w:p>
    <w:p>
      <w:pPr>
        <w:ind w:right="1280"/>
        <w:spacing w:after="0" w:line="461" w:lineRule="auto"/>
        <w:rPr>
          <w:sz w:val="20"/>
          <w:szCs w:val="20"/>
          <w:color w:val="auto"/>
        </w:rPr>
      </w:pPr>
      <w:r>
        <w:rPr>
          <w:rFonts w:ascii="Arial" w:cs="Arial" w:eastAsia="Arial" w:hAnsi="Arial"/>
          <w:sz w:val="18"/>
          <w:szCs w:val="18"/>
          <w:color w:val="auto"/>
        </w:rPr>
        <w:t>After initial recognition they are measured at fair value, recording the changes in the separate statement of income. (iv) Reclassification of financial assets and liabilities -</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reclassification of financial assets will always take place as long as the business model that manages the financial assets is changed. We expect this change will be less than frequently. These changes are determined by the Company Management as a result of external or internal changes, which must be necessary for the Company’s operations and demonstrable against third parties. Therefore, a change in the Company’s business model will take place only when it starts or stop carrying out an activity that is significant for its operations. The financial liabilities are never reclassified.</w:t>
      </w:r>
    </w:p>
    <w:p>
      <w:pPr>
        <w:spacing w:after="0" w:line="16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29210</wp:posOffset>
            </wp:positionV>
            <wp:extent cx="7134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280"/>
          </w:cols>
          <w:pgMar w:left="1280" w:top="140" w:right="339" w:bottom="1440" w:gutter="0" w:footer="0" w:header="0"/>
        </w:sectPr>
      </w:pPr>
    </w:p>
    <w:bookmarkStart w:id="25" w:name="page26"/>
    <w:bookmarkEnd w:id="25"/>
    <w:p>
      <w:pPr>
        <w:ind w:left="316" w:right="6500" w:hanging="316"/>
        <w:spacing w:after="0" w:line="461" w:lineRule="auto"/>
        <w:tabs>
          <w:tab w:leader="none" w:pos="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De-recognition of financial assets and liabilities - Financial assets:</w:t>
      </w:r>
    </w:p>
    <w:p>
      <w:pPr>
        <w:ind w:left="316" w:right="20"/>
        <w:spacing w:after="0" w:line="233" w:lineRule="auto"/>
        <w:rPr>
          <w:rFonts w:ascii="Arial" w:cs="Arial" w:eastAsia="Arial" w:hAnsi="Arial"/>
          <w:sz w:val="18"/>
          <w:szCs w:val="18"/>
          <w:color w:val="auto"/>
        </w:rPr>
      </w:pPr>
      <w:r>
        <w:rPr>
          <w:rFonts w:ascii="Arial" w:cs="Arial" w:eastAsia="Arial" w:hAnsi="Arial"/>
          <w:sz w:val="18"/>
          <w:szCs w:val="18"/>
          <w:color w:val="auto"/>
        </w:rPr>
        <w:t>A financial asset (or, where applicable, a part of a financial asset or a part of a group of similar financial assets) is derecognized when: (i) the rights to receive cash flows from the asset have expired; or (ii) the Company has transferred its rights to receive cash flows from the asset or has assumed an obligation to pay the received cash flows in full without material delay to a third party under a “pass-through” arrangement; and either the Company has transferred substantially all the risks and rewards of the asset, or the Company has neither transferred nor retained substantially all the risks and rewards of the asset, but has transferred control of the asset.</w:t>
      </w:r>
    </w:p>
    <w:p>
      <w:pPr>
        <w:spacing w:after="0" w:line="188" w:lineRule="exact"/>
        <w:rPr>
          <w:rFonts w:ascii="Arial" w:cs="Arial" w:eastAsia="Arial" w:hAnsi="Arial"/>
          <w:sz w:val="18"/>
          <w:szCs w:val="18"/>
          <w:color w:val="auto"/>
        </w:rPr>
      </w:pPr>
    </w:p>
    <w:p>
      <w:pPr>
        <w:ind w:left="316" w:right="40"/>
        <w:spacing w:after="0" w:line="234" w:lineRule="auto"/>
        <w:rPr>
          <w:rFonts w:ascii="Arial" w:cs="Arial" w:eastAsia="Arial" w:hAnsi="Arial"/>
          <w:sz w:val="18"/>
          <w:szCs w:val="18"/>
          <w:color w:val="auto"/>
        </w:rPr>
      </w:pPr>
      <w:r>
        <w:rPr>
          <w:rFonts w:ascii="Arial" w:cs="Arial" w:eastAsia="Arial" w:hAnsi="Arial"/>
          <w:sz w:val="18"/>
          <w:szCs w:val="18"/>
          <w:color w:val="auto"/>
        </w:rPr>
        <w:t>When the Company has transferred its right to receive cash flows from an asset or has entered into a pass-through arrangement, it evaluates if and to what extent it has retained the risks and rewards of ownership. When it has neither transferred nor retained substantially all of the risks and rewards of the asset, nor transferred control of the asset, the Company continues to recognize the transferred asset to the extent of the Company’s continuing involvement.</w:t>
      </w:r>
    </w:p>
    <w:p>
      <w:pPr>
        <w:spacing w:after="0" w:line="188" w:lineRule="exact"/>
        <w:rPr>
          <w:rFonts w:ascii="Arial" w:cs="Arial" w:eastAsia="Arial" w:hAnsi="Arial"/>
          <w:sz w:val="18"/>
          <w:szCs w:val="18"/>
          <w:color w:val="auto"/>
        </w:rPr>
      </w:pPr>
    </w:p>
    <w:p>
      <w:pPr>
        <w:ind w:left="316" w:right="140"/>
        <w:spacing w:after="0" w:line="238" w:lineRule="auto"/>
        <w:rPr>
          <w:rFonts w:ascii="Arial" w:cs="Arial" w:eastAsia="Arial" w:hAnsi="Arial"/>
          <w:sz w:val="18"/>
          <w:szCs w:val="18"/>
          <w:color w:val="auto"/>
        </w:rPr>
      </w:pPr>
      <w:r>
        <w:rPr>
          <w:rFonts w:ascii="Arial" w:cs="Arial" w:eastAsia="Arial" w:hAnsi="Arial"/>
          <w:sz w:val="18"/>
          <w:szCs w:val="18"/>
          <w:color w:val="auto"/>
        </w:rPr>
        <w:t>In that case, the Company also recognizes the associated liability. The transferred asset and the associated liability are measured on a basis that reflects the rights and obligations that the Company has retained.</w:t>
      </w:r>
    </w:p>
    <w:p>
      <w:pPr>
        <w:spacing w:after="0" w:line="187" w:lineRule="exact"/>
        <w:rPr>
          <w:rFonts w:ascii="Arial" w:cs="Arial" w:eastAsia="Arial" w:hAnsi="Arial"/>
          <w:sz w:val="18"/>
          <w:szCs w:val="18"/>
          <w:color w:val="auto"/>
        </w:rPr>
      </w:pPr>
    </w:p>
    <w:p>
      <w:pPr>
        <w:ind w:left="316" w:right="360"/>
        <w:spacing w:after="0" w:line="265" w:lineRule="auto"/>
        <w:rPr>
          <w:rFonts w:ascii="Arial" w:cs="Arial" w:eastAsia="Arial" w:hAnsi="Arial"/>
          <w:sz w:val="18"/>
          <w:szCs w:val="18"/>
          <w:color w:val="auto"/>
        </w:rPr>
      </w:pPr>
      <w:r>
        <w:rPr>
          <w:rFonts w:ascii="Arial" w:cs="Arial" w:eastAsia="Arial" w:hAnsi="Arial"/>
          <w:sz w:val="17"/>
          <w:szCs w:val="17"/>
          <w:color w:val="auto"/>
        </w:rPr>
        <w:t>Continuing involvement that takes the form of a guarantee over the transferred asset is measured at the lower of (i) the original carrying amount of the asset, and (ii) the maximum amount of consideration that the Company could be required to repay.</w:t>
      </w:r>
    </w:p>
    <w:p>
      <w:pPr>
        <w:spacing w:after="0" w:line="165" w:lineRule="exact"/>
        <w:rPr>
          <w:rFonts w:ascii="Arial" w:cs="Arial" w:eastAsia="Arial" w:hAnsi="Arial"/>
          <w:sz w:val="18"/>
          <w:szCs w:val="18"/>
          <w:color w:val="auto"/>
        </w:rPr>
      </w:pPr>
    </w:p>
    <w:p>
      <w:pPr>
        <w:ind w:left="316"/>
        <w:spacing w:after="0"/>
        <w:rPr>
          <w:rFonts w:ascii="Arial" w:cs="Arial" w:eastAsia="Arial" w:hAnsi="Arial"/>
          <w:sz w:val="18"/>
          <w:szCs w:val="18"/>
          <w:color w:val="auto"/>
        </w:rPr>
      </w:pPr>
      <w:r>
        <w:rPr>
          <w:rFonts w:ascii="Arial" w:cs="Arial" w:eastAsia="Arial" w:hAnsi="Arial"/>
          <w:sz w:val="18"/>
          <w:szCs w:val="18"/>
          <w:color w:val="auto"/>
        </w:rPr>
        <w:t>Financial liabilities:</w:t>
      </w:r>
    </w:p>
    <w:p>
      <w:pPr>
        <w:spacing w:after="0" w:line="191" w:lineRule="exact"/>
        <w:rPr>
          <w:rFonts w:ascii="Arial" w:cs="Arial" w:eastAsia="Arial" w:hAnsi="Arial"/>
          <w:sz w:val="18"/>
          <w:szCs w:val="18"/>
          <w:color w:val="auto"/>
        </w:rPr>
      </w:pPr>
    </w:p>
    <w:p>
      <w:pPr>
        <w:ind w:left="316" w:right="60"/>
        <w:spacing w:after="0" w:line="234" w:lineRule="auto"/>
        <w:rPr>
          <w:rFonts w:ascii="Arial" w:cs="Arial" w:eastAsia="Arial" w:hAnsi="Arial"/>
          <w:sz w:val="18"/>
          <w:szCs w:val="18"/>
          <w:color w:val="auto"/>
        </w:rPr>
      </w:pPr>
      <w:r>
        <w:rPr>
          <w:rFonts w:ascii="Arial" w:cs="Arial" w:eastAsia="Arial" w:hAnsi="Arial"/>
          <w:sz w:val="18"/>
          <w:szCs w:val="18"/>
          <w:color w:val="auto"/>
        </w:rPr>
        <w:t>A financial liability is derecognized when the obligation under the liability is discharged, cancelled or expires. When an existing financial liability is replaced by another from the same lender on substantially different terms, or the terms of an existing liability are substantially modified, such exchange or modification is treated as a withdrawal of the original liability and the recognition of a new liability; the difference between the carrying amount of the original financial liability and the consideration paid is recognized in the separate statement of income.</w:t>
      </w:r>
    </w:p>
    <w:p>
      <w:pPr>
        <w:spacing w:after="0" w:line="186" w:lineRule="exact"/>
        <w:rPr>
          <w:rFonts w:ascii="Arial" w:cs="Arial" w:eastAsia="Arial" w:hAnsi="Arial"/>
          <w:sz w:val="18"/>
          <w:szCs w:val="18"/>
          <w:color w:val="auto"/>
        </w:rPr>
      </w:pPr>
    </w:p>
    <w:p>
      <w:pPr>
        <w:ind w:left="316" w:hanging="316"/>
        <w:spacing w:after="0"/>
        <w:tabs>
          <w:tab w:leader="none" w:pos="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Offsetting financial instruments -</w:t>
      </w:r>
    </w:p>
    <w:p>
      <w:pPr>
        <w:spacing w:after="0" w:line="191" w:lineRule="exact"/>
        <w:rPr>
          <w:rFonts w:ascii="Arial" w:cs="Arial" w:eastAsia="Arial" w:hAnsi="Arial"/>
          <w:sz w:val="18"/>
          <w:szCs w:val="18"/>
          <w:color w:val="auto"/>
        </w:rPr>
      </w:pPr>
    </w:p>
    <w:p>
      <w:pPr>
        <w:ind w:left="316"/>
        <w:spacing w:after="0" w:line="236" w:lineRule="auto"/>
        <w:rPr>
          <w:rFonts w:ascii="Arial" w:cs="Arial" w:eastAsia="Arial" w:hAnsi="Arial"/>
          <w:sz w:val="18"/>
          <w:szCs w:val="18"/>
          <w:color w:val="auto"/>
        </w:rPr>
      </w:pPr>
      <w:r>
        <w:rPr>
          <w:rFonts w:ascii="Arial" w:cs="Arial" w:eastAsia="Arial" w:hAnsi="Arial"/>
          <w:sz w:val="18"/>
          <w:szCs w:val="18"/>
          <w:color w:val="auto"/>
        </w:rPr>
        <w:t>Financial assets and liabilities are offset and the net amount is reported in the separate statement of financial position when there is a legally enforceable right to offset the recognized amounts and Management has the intention to settle on a net basis, or realize the asset and settle the liability simultaneously.</w:t>
      </w:r>
    </w:p>
    <w:p>
      <w:pPr>
        <w:spacing w:after="0" w:line="186" w:lineRule="exact"/>
        <w:rPr>
          <w:rFonts w:ascii="Arial" w:cs="Arial" w:eastAsia="Arial" w:hAnsi="Arial"/>
          <w:sz w:val="18"/>
          <w:szCs w:val="18"/>
          <w:color w:val="auto"/>
        </w:rPr>
      </w:pPr>
    </w:p>
    <w:p>
      <w:pPr>
        <w:ind w:left="316" w:hanging="316"/>
        <w:spacing w:after="0"/>
        <w:tabs>
          <w:tab w:leader="none" w:pos="3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of financial assets -</w:t>
      </w:r>
    </w:p>
    <w:p>
      <w:pPr>
        <w:spacing w:after="0" w:line="191" w:lineRule="exact"/>
        <w:rPr>
          <w:rFonts w:ascii="Arial" w:cs="Arial" w:eastAsia="Arial" w:hAnsi="Arial"/>
          <w:sz w:val="18"/>
          <w:szCs w:val="18"/>
          <w:color w:val="auto"/>
        </w:rPr>
      </w:pPr>
    </w:p>
    <w:p>
      <w:pPr>
        <w:ind w:left="316" w:right="240"/>
        <w:spacing w:after="0" w:line="238" w:lineRule="auto"/>
        <w:rPr>
          <w:rFonts w:ascii="Arial" w:cs="Arial" w:eastAsia="Arial" w:hAnsi="Arial"/>
          <w:sz w:val="18"/>
          <w:szCs w:val="18"/>
          <w:color w:val="auto"/>
        </w:rPr>
      </w:pPr>
      <w:r>
        <w:rPr>
          <w:rFonts w:ascii="Arial" w:cs="Arial" w:eastAsia="Arial" w:hAnsi="Arial"/>
          <w:sz w:val="18"/>
          <w:szCs w:val="18"/>
          <w:color w:val="auto"/>
        </w:rPr>
        <w:t>As of December 31, 2022 and 2021, the Company applies a three-stage approach to measure the provision for credit loss, using an impairment model based on the expected credit losses as established in IFRS 9, for the following categories:</w:t>
      </w:r>
    </w:p>
    <w:p>
      <w:pPr>
        <w:spacing w:after="0" w:line="179" w:lineRule="exact"/>
        <w:rPr>
          <w:rFonts w:ascii="Arial" w:cs="Arial" w:eastAsia="Arial" w:hAnsi="Arial"/>
          <w:sz w:val="18"/>
          <w:szCs w:val="18"/>
          <w:color w:val="auto"/>
        </w:rPr>
      </w:pPr>
    </w:p>
    <w:p>
      <w:pPr>
        <w:ind w:left="636" w:hanging="318"/>
        <w:spacing w:after="0"/>
        <w:tabs>
          <w:tab w:leader="none" w:pos="636" w:val="left"/>
        </w:tabs>
        <w:numPr>
          <w:ilvl w:val="1"/>
          <w:numId w:val="15"/>
        </w:numPr>
        <w:rPr>
          <w:rFonts w:ascii="Arial" w:cs="Arial" w:eastAsia="Arial" w:hAnsi="Arial"/>
          <w:sz w:val="18"/>
          <w:szCs w:val="18"/>
          <w:color w:val="auto"/>
        </w:rPr>
      </w:pPr>
      <w:r>
        <w:rPr>
          <w:rFonts w:ascii="Arial" w:cs="Arial" w:eastAsia="Arial" w:hAnsi="Arial"/>
          <w:sz w:val="18"/>
          <w:szCs w:val="18"/>
          <w:color w:val="auto"/>
        </w:rPr>
        <w:t>Financial assets at amortized cost.</w:t>
      </w:r>
    </w:p>
    <w:p>
      <w:pPr>
        <w:ind w:left="636" w:hanging="318"/>
        <w:spacing w:after="0"/>
        <w:tabs>
          <w:tab w:leader="none" w:pos="63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Debt instruments classified as investments at fair value through other comprehensive income.</w:t>
      </w:r>
    </w:p>
    <w:p>
      <w:pPr>
        <w:spacing w:after="0" w:line="191" w:lineRule="exact"/>
        <w:rPr>
          <w:sz w:val="20"/>
          <w:szCs w:val="20"/>
          <w:color w:val="auto"/>
        </w:rPr>
      </w:pPr>
    </w:p>
    <w:p>
      <w:pPr>
        <w:ind w:left="316" w:right="840"/>
        <w:spacing w:after="0" w:line="238" w:lineRule="auto"/>
        <w:rPr>
          <w:sz w:val="20"/>
          <w:szCs w:val="20"/>
          <w:color w:val="auto"/>
        </w:rPr>
      </w:pPr>
      <w:r>
        <w:rPr>
          <w:rFonts w:ascii="Arial" w:cs="Arial" w:eastAsia="Arial" w:hAnsi="Arial"/>
          <w:sz w:val="18"/>
          <w:szCs w:val="18"/>
          <w:color w:val="auto"/>
        </w:rPr>
        <w:t>The financial assets classified or designated at fair value through profit of loss and the equity instruments, not for trading, designated at fair value through other comprehensive income, are not subject to impairment evaluation.</w:t>
      </w:r>
    </w:p>
    <w:p>
      <w:pPr>
        <w:spacing w:after="0" w:line="161" w:lineRule="exact"/>
        <w:rPr>
          <w:sz w:val="20"/>
          <w:szCs w:val="20"/>
          <w:color w:val="auto"/>
        </w:rPr>
      </w:pPr>
    </w:p>
    <w:p>
      <w:pPr>
        <w:ind w:left="4776"/>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29210</wp:posOffset>
            </wp:positionV>
            <wp:extent cx="7134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596"/>
          </w:cols>
          <w:pgMar w:left="964" w:top="140" w:right="339" w:bottom="1440" w:gutter="0" w:footer="0" w:header="0"/>
        </w:sectPr>
      </w:pPr>
    </w:p>
    <w:bookmarkStart w:id="26" w:name="page27"/>
    <w:bookmarkEnd w:id="26"/>
    <w:p>
      <w:pPr>
        <w:ind w:left="316"/>
        <w:spacing w:after="0"/>
        <w:rPr>
          <w:sz w:val="20"/>
          <w:szCs w:val="20"/>
          <w:color w:val="auto"/>
        </w:rPr>
      </w:pPr>
      <w:r>
        <w:rPr>
          <w:rFonts w:ascii="Arial" w:cs="Arial" w:eastAsia="Arial" w:hAnsi="Arial"/>
          <w:sz w:val="18"/>
          <w:szCs w:val="18"/>
          <w:color w:val="auto"/>
        </w:rPr>
        <w:t>Financial assets migrate through three stages according to the change in the credit risk from the initial recognition.</w:t>
      </w:r>
    </w:p>
    <w:p>
      <w:pPr>
        <w:spacing w:after="0" w:line="191" w:lineRule="exact"/>
        <w:rPr>
          <w:sz w:val="20"/>
          <w:szCs w:val="20"/>
          <w:color w:val="auto"/>
        </w:rPr>
      </w:pPr>
    </w:p>
    <w:p>
      <w:pPr>
        <w:ind w:left="316" w:hanging="316"/>
        <w:spacing w:after="0"/>
        <w:tabs>
          <w:tab w:leader="none" w:pos="31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 in subsidiaries -</w:t>
      </w:r>
    </w:p>
    <w:p>
      <w:pPr>
        <w:spacing w:after="0" w:line="191" w:lineRule="exact"/>
        <w:rPr>
          <w:rFonts w:ascii="Arial" w:cs="Arial" w:eastAsia="Arial" w:hAnsi="Arial"/>
          <w:sz w:val="18"/>
          <w:szCs w:val="18"/>
          <w:color w:val="auto"/>
        </w:rPr>
      </w:pPr>
    </w:p>
    <w:p>
      <w:pPr>
        <w:ind w:left="316" w:right="160"/>
        <w:spacing w:after="0" w:line="234" w:lineRule="auto"/>
        <w:rPr>
          <w:rFonts w:ascii="Arial" w:cs="Arial" w:eastAsia="Arial" w:hAnsi="Arial"/>
          <w:sz w:val="18"/>
          <w:szCs w:val="18"/>
          <w:color w:val="auto"/>
        </w:rPr>
      </w:pPr>
      <w:r>
        <w:rPr>
          <w:rFonts w:ascii="Arial" w:cs="Arial" w:eastAsia="Arial" w:hAnsi="Arial"/>
          <w:sz w:val="18"/>
          <w:szCs w:val="18"/>
          <w:color w:val="auto"/>
        </w:rPr>
        <w:t>A subsidiary is an entity over which another Company has control (considered as parent company of Credicorp Ltd. or controlling interest). Control is achieved when the Company is exposed, or has rights, to variable returns from its involvement with the investee and has the ability to affect those returns through its power over the investee. Specifically, the Company controls an investee if and only if the Controlling interest has:</w:t>
      </w:r>
    </w:p>
    <w:p>
      <w:pPr>
        <w:spacing w:after="0" w:line="181" w:lineRule="exact"/>
        <w:rPr>
          <w:rFonts w:ascii="Arial" w:cs="Arial" w:eastAsia="Arial" w:hAnsi="Arial"/>
          <w:sz w:val="18"/>
          <w:szCs w:val="18"/>
          <w:color w:val="auto"/>
        </w:rPr>
      </w:pPr>
    </w:p>
    <w:p>
      <w:pPr>
        <w:ind w:left="636" w:hanging="318"/>
        <w:spacing w:after="0"/>
        <w:tabs>
          <w:tab w:leader="none" w:pos="6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Power over the investee (i.e. existing rights that give it the current ability to direct the relevant activities of the investee).</w:t>
      </w:r>
    </w:p>
    <w:p>
      <w:pPr>
        <w:ind w:left="636" w:hanging="318"/>
        <w:spacing w:after="0" w:line="230" w:lineRule="auto"/>
        <w:tabs>
          <w:tab w:leader="none" w:pos="6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Exposure, or rights, to variable returns from its involvement with the investee, and</w:t>
      </w:r>
    </w:p>
    <w:p>
      <w:pPr>
        <w:ind w:left="636" w:hanging="318"/>
        <w:spacing w:after="0"/>
        <w:tabs>
          <w:tab w:leader="none" w:pos="63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ability to use its power over the investee to affect its returns.</w:t>
      </w:r>
    </w:p>
    <w:p>
      <w:pPr>
        <w:spacing w:after="0" w:line="191" w:lineRule="exact"/>
        <w:rPr>
          <w:sz w:val="20"/>
          <w:szCs w:val="20"/>
          <w:color w:val="auto"/>
        </w:rPr>
      </w:pPr>
    </w:p>
    <w:p>
      <w:pPr>
        <w:ind w:left="316" w:right="200"/>
        <w:spacing w:after="0" w:line="236" w:lineRule="auto"/>
        <w:rPr>
          <w:sz w:val="20"/>
          <w:szCs w:val="20"/>
          <w:color w:val="auto"/>
        </w:rPr>
      </w:pPr>
      <w:r>
        <w:rPr>
          <w:rFonts w:ascii="Arial" w:cs="Arial" w:eastAsia="Arial" w:hAnsi="Arial"/>
          <w:sz w:val="18"/>
          <w:szCs w:val="18"/>
          <w:color w:val="auto"/>
        </w:rPr>
        <w:t>There is a presumption that a majority of voting rights results in control. To support this presumption and when the Company has less than a majority of the voting or similar rights of an investee, the Company considers all relevant facts and circumstances in assessing whether it has power over an investee, including:</w:t>
      </w:r>
    </w:p>
    <w:p>
      <w:pPr>
        <w:spacing w:after="0" w:line="178" w:lineRule="exact"/>
        <w:rPr>
          <w:sz w:val="20"/>
          <w:szCs w:val="20"/>
          <w:color w:val="auto"/>
        </w:rPr>
      </w:pPr>
    </w:p>
    <w:p>
      <w:pPr>
        <w:ind w:left="636" w:hanging="318"/>
        <w:spacing w:after="0"/>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contractual arrangement with the other vote holders of the investee.</w:t>
      </w:r>
    </w:p>
    <w:p>
      <w:pPr>
        <w:ind w:left="636" w:hanging="318"/>
        <w:spacing w:after="0" w:line="230" w:lineRule="auto"/>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Rights arising from other contractual arrangements.</w:t>
      </w:r>
    </w:p>
    <w:p>
      <w:pPr>
        <w:ind w:left="636" w:hanging="318"/>
        <w:spacing w:after="0"/>
        <w:tabs>
          <w:tab w:leader="none" w:pos="6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voting rights and potential voting rights.</w:t>
      </w:r>
    </w:p>
    <w:p>
      <w:pPr>
        <w:spacing w:after="0" w:line="191" w:lineRule="exact"/>
        <w:rPr>
          <w:sz w:val="20"/>
          <w:szCs w:val="20"/>
          <w:color w:val="auto"/>
        </w:rPr>
      </w:pPr>
    </w:p>
    <w:p>
      <w:pPr>
        <w:ind w:left="316" w:right="100"/>
        <w:spacing w:after="0" w:line="238" w:lineRule="auto"/>
        <w:rPr>
          <w:sz w:val="20"/>
          <w:szCs w:val="20"/>
          <w:color w:val="auto"/>
        </w:rPr>
      </w:pPr>
      <w:r>
        <w:rPr>
          <w:rFonts w:ascii="Arial" w:cs="Arial" w:eastAsia="Arial" w:hAnsi="Arial"/>
          <w:sz w:val="18"/>
          <w:szCs w:val="18"/>
          <w:color w:val="auto"/>
        </w:rPr>
        <w:t>The Company assesses whether or not it controls an investee if facts and circumstances indicate that there are changes in one or more of the three elements of control.</w:t>
      </w:r>
    </w:p>
    <w:p>
      <w:pPr>
        <w:spacing w:after="0" w:line="187" w:lineRule="exact"/>
        <w:rPr>
          <w:sz w:val="20"/>
          <w:szCs w:val="20"/>
          <w:color w:val="auto"/>
        </w:rPr>
      </w:pPr>
    </w:p>
    <w:p>
      <w:pPr>
        <w:ind w:left="316"/>
        <w:spacing w:after="0" w:line="234" w:lineRule="auto"/>
        <w:rPr>
          <w:sz w:val="20"/>
          <w:szCs w:val="20"/>
          <w:color w:val="auto"/>
        </w:rPr>
      </w:pPr>
      <w:r>
        <w:rPr>
          <w:rFonts w:ascii="Arial" w:cs="Arial" w:eastAsia="Arial" w:hAnsi="Arial"/>
          <w:sz w:val="18"/>
          <w:szCs w:val="18"/>
          <w:color w:val="auto"/>
        </w:rPr>
        <w:t>According to the equity method, investments in subsidiaries are recorded initially at cost, and subsequently the book value increases or decreases to recognize a profit or loss participation of subsidiaries in the “Net share of the income from investments in subsidiaries” caption of the statement of comprehensive income; furthermore, when variations in the equity of subsidiaries is due to variations in their equity, the part corresponding the Company will also be directly recognized in equity.</w:t>
      </w:r>
    </w:p>
    <w:p>
      <w:pPr>
        <w:spacing w:after="0" w:line="189" w:lineRule="exact"/>
        <w:rPr>
          <w:sz w:val="20"/>
          <w:szCs w:val="20"/>
          <w:color w:val="auto"/>
        </w:rPr>
      </w:pPr>
    </w:p>
    <w:p>
      <w:pPr>
        <w:ind w:left="316"/>
        <w:spacing w:after="0"/>
        <w:rPr>
          <w:sz w:val="20"/>
          <w:szCs w:val="20"/>
          <w:color w:val="auto"/>
        </w:rPr>
      </w:pPr>
      <w:r>
        <w:rPr>
          <w:rFonts w:ascii="Arial" w:cs="Arial" w:eastAsia="Arial" w:hAnsi="Arial"/>
          <w:sz w:val="18"/>
          <w:szCs w:val="18"/>
          <w:color w:val="auto"/>
        </w:rPr>
        <w:t>Dividends received from subsidiaries are recognized as a reduction in the value of the investment.</w:t>
      </w:r>
    </w:p>
    <w:p>
      <w:pPr>
        <w:spacing w:after="0" w:line="165" w:lineRule="exact"/>
        <w:rPr>
          <w:sz w:val="20"/>
          <w:szCs w:val="20"/>
          <w:color w:val="auto"/>
        </w:rPr>
      </w:pPr>
    </w:p>
    <w:p>
      <w:pPr>
        <w:ind w:left="4776"/>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29210</wp:posOffset>
            </wp:positionV>
            <wp:extent cx="7134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556"/>
          </w:cols>
          <w:pgMar w:left="964" w:top="140" w:right="379" w:bottom="1440" w:gutter="0" w:footer="0" w:header="0"/>
        </w:sectPr>
      </w:pPr>
    </w:p>
    <w:bookmarkStart w:id="27" w:name="page28"/>
    <w:bookmarkEnd w:id="27"/>
    <w:p>
      <w:pPr>
        <w:ind w:right="600"/>
        <w:spacing w:after="0" w:line="238" w:lineRule="auto"/>
        <w:rPr>
          <w:sz w:val="20"/>
          <w:szCs w:val="20"/>
          <w:color w:val="auto"/>
        </w:rPr>
      </w:pPr>
      <w:r>
        <w:rPr>
          <w:rFonts w:ascii="Arial" w:cs="Arial" w:eastAsia="Arial" w:hAnsi="Arial"/>
          <w:sz w:val="18"/>
          <w:szCs w:val="18"/>
          <w:color w:val="auto"/>
        </w:rPr>
        <w:t>As of December 31, 2022 and 2021, Credicorp maintains direct participation in the following entities (the figures of its individual financial statements are presented in accordance with IFRS and before eliminations):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40" w:type="dxa"/>
            <w:vAlign w:val="bottom"/>
            <w:gridSpan w:val="3"/>
          </w:tcPr>
          <w:p>
            <w:pPr>
              <w:ind w:left="100"/>
              <w:spacing w:after="0"/>
              <w:rPr>
                <w:sz w:val="20"/>
                <w:szCs w:val="20"/>
                <w:color w:val="auto"/>
              </w:rPr>
            </w:pPr>
            <w:r>
              <w:rPr>
                <w:rFonts w:ascii="Arial" w:cs="Arial" w:eastAsia="Arial" w:hAnsi="Arial"/>
                <w:sz w:val="12"/>
                <w:szCs w:val="12"/>
                <w:b w:val="1"/>
                <w:bCs w:val="1"/>
                <w:color w:val="auto"/>
              </w:rPr>
              <w:t>Activity and country</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Percentage of</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Net income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Entity</w:t>
            </w:r>
          </w:p>
        </w:tc>
        <w:tc>
          <w:tcPr>
            <w:tcW w:w="1540" w:type="dxa"/>
            <w:vAlign w:val="bottom"/>
            <w:gridSpan w:val="3"/>
          </w:tcPr>
          <w:p>
            <w:pPr>
              <w:ind w:left="100"/>
              <w:spacing w:after="0"/>
              <w:rPr>
                <w:sz w:val="20"/>
                <w:szCs w:val="20"/>
                <w:color w:val="auto"/>
              </w:rPr>
            </w:pPr>
            <w:r>
              <w:rPr>
                <w:rFonts w:ascii="Arial" w:cs="Arial" w:eastAsia="Arial" w:hAnsi="Arial"/>
                <w:sz w:val="12"/>
                <w:szCs w:val="12"/>
                <w:b w:val="1"/>
                <w:bCs w:val="1"/>
                <w:color w:val="auto"/>
              </w:rPr>
              <w:t>of incorporation</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interest</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w w:val="96"/>
              </w:rPr>
              <w:t>Assets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Liabilities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Equity</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(loss)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2022</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2022</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98"/>
              <w:spacing w:after="0" w:line="133" w:lineRule="exact"/>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2022</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2022</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jc w:val="right"/>
              <w:ind w:right="238"/>
              <w:spacing w:after="0" w:line="133" w:lineRule="exact"/>
              <w:rPr>
                <w:sz w:val="20"/>
                <w:szCs w:val="20"/>
                <w:color w:val="auto"/>
              </w:rPr>
            </w:pPr>
            <w:r>
              <w:rPr>
                <w:rFonts w:ascii="Arial" w:cs="Arial" w:eastAsia="Arial" w:hAnsi="Arial"/>
                <w:sz w:val="12"/>
                <w:szCs w:val="12"/>
                <w:b w:val="1"/>
                <w:bCs w:val="1"/>
                <w:color w:val="auto"/>
                <w:w w:val="95"/>
              </w:rPr>
              <w:t>S/000</w:t>
            </w: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56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Grupo Crédito S.A. (i)</w:t>
            </w:r>
          </w:p>
        </w:tc>
        <w:tc>
          <w:tcPr>
            <w:tcW w:w="1540" w:type="dxa"/>
            <w:vAlign w:val="bottom"/>
            <w:gridSpan w:val="3"/>
            <w:shd w:val="clear" w:color="auto" w:fill="CCEEFF"/>
          </w:tcPr>
          <w:p>
            <w:pPr>
              <w:ind w:left="100"/>
              <w:spacing w:after="0" w:line="133" w:lineRule="exact"/>
              <w:rPr>
                <w:sz w:val="20"/>
                <w:szCs w:val="20"/>
                <w:color w:val="auto"/>
              </w:rPr>
            </w:pPr>
            <w:r>
              <w:rPr>
                <w:rFonts w:ascii="Arial" w:cs="Arial" w:eastAsia="Arial" w:hAnsi="Arial"/>
                <w:sz w:val="12"/>
                <w:szCs w:val="12"/>
                <w:color w:val="auto"/>
              </w:rPr>
              <w:t>Holding Peru</w:t>
            </w:r>
          </w:p>
        </w:tc>
        <w:tc>
          <w:tcPr>
            <w:tcW w:w="84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100.00</w:t>
            </w:r>
          </w:p>
        </w:tc>
        <w:tc>
          <w:tcPr>
            <w:tcW w:w="80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100.00</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29,464,597</w:t>
            </w:r>
          </w:p>
        </w:tc>
        <w:tc>
          <w:tcPr>
            <w:tcW w:w="84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w w:val="99"/>
              </w:rPr>
              <w:t>26,517,447</w:t>
            </w:r>
          </w:p>
        </w:tc>
        <w:tc>
          <w:tcPr>
            <w:tcW w:w="7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106,443</w:t>
            </w:r>
          </w:p>
        </w:tc>
        <w:tc>
          <w:tcPr>
            <w:tcW w:w="7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129,004</w:t>
            </w:r>
          </w:p>
        </w:tc>
        <w:tc>
          <w:tcPr>
            <w:tcW w:w="2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29,358,154</w:t>
            </w:r>
          </w:p>
        </w:tc>
        <w:tc>
          <w:tcPr>
            <w:tcW w:w="84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w w:val="99"/>
              </w:rPr>
              <w:t>26,388,443</w:t>
            </w:r>
          </w:p>
        </w:tc>
        <w:tc>
          <w:tcPr>
            <w:tcW w:w="88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4,603,312</w:t>
            </w:r>
          </w:p>
        </w:tc>
        <w:tc>
          <w:tcPr>
            <w:tcW w:w="66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3,577,038</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40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Pacífico Compañía De</w:t>
            </w: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Seguros y Reaseguros</w:t>
            </w: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S.A. (ii)</w:t>
            </w:r>
          </w:p>
        </w:tc>
        <w:tc>
          <w:tcPr>
            <w:tcW w:w="154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Insurance, Perú</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65.20</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65.20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15,851,977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9"/>
              </w:rPr>
              <w:t>16,438,892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13,470,237</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14,158,859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2,381,740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2,280,033</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445,603</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(134,885)</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40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Atlantic Security Holding</w:t>
            </w:r>
          </w:p>
        </w:tc>
        <w:tc>
          <w:tcPr>
            <w:tcW w:w="1540" w:type="dxa"/>
            <w:vAlign w:val="bottom"/>
            <w:gridSpan w:val="3"/>
            <w:shd w:val="clear" w:color="auto" w:fill="CCEEFF"/>
          </w:tcPr>
          <w:p>
            <w:pPr>
              <w:ind w:left="100"/>
              <w:spacing w:after="0" w:line="127" w:lineRule="exact"/>
              <w:rPr>
                <w:sz w:val="20"/>
                <w:szCs w:val="20"/>
                <w:color w:val="auto"/>
              </w:rPr>
            </w:pPr>
            <w:r>
              <w:rPr>
                <w:rFonts w:ascii="Arial" w:cs="Arial" w:eastAsia="Arial" w:hAnsi="Arial"/>
                <w:sz w:val="12"/>
                <w:szCs w:val="12"/>
                <w:color w:val="auto"/>
              </w:rPr>
              <w:t>Capital Markets,</w:t>
            </w: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Corporation (iii)</w:t>
            </w:r>
          </w:p>
        </w:tc>
        <w:tc>
          <w:tcPr>
            <w:tcW w:w="154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Cayman Island</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100.00</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100.00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2,030,050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2,266,775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138,702</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87,726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1,891,348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2,179,049</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228,474</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188,032</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40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Credicorp Capital Ltd (iv)</w:t>
            </w:r>
          </w:p>
        </w:tc>
        <w:tc>
          <w:tcPr>
            <w:tcW w:w="1540" w:type="dxa"/>
            <w:vAlign w:val="bottom"/>
            <w:gridSpan w:val="3"/>
            <w:shd w:val="clear" w:color="auto" w:fill="CCEEFF"/>
          </w:tcPr>
          <w:p>
            <w:pPr>
              <w:ind w:left="100"/>
              <w:spacing w:after="0" w:line="127" w:lineRule="exact"/>
              <w:rPr>
                <w:sz w:val="20"/>
                <w:szCs w:val="20"/>
                <w:color w:val="auto"/>
              </w:rPr>
            </w:pPr>
            <w:r>
              <w:rPr>
                <w:rFonts w:ascii="Arial" w:cs="Arial" w:eastAsia="Arial" w:hAnsi="Arial"/>
                <w:sz w:val="12"/>
                <w:szCs w:val="12"/>
                <w:color w:val="auto"/>
              </w:rPr>
              <w:t>Capital Markets and</w:t>
            </w: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540" w:type="dxa"/>
            <w:vAlign w:val="bottom"/>
            <w:gridSpan w:val="3"/>
            <w:shd w:val="clear" w:color="auto" w:fill="CCEEFF"/>
          </w:tcPr>
          <w:p>
            <w:pPr>
              <w:ind w:left="100"/>
              <w:spacing w:after="0" w:line="133" w:lineRule="exact"/>
              <w:rPr>
                <w:sz w:val="20"/>
                <w:szCs w:val="20"/>
                <w:color w:val="auto"/>
              </w:rPr>
            </w:pPr>
            <w:r>
              <w:rPr>
                <w:rFonts w:ascii="Arial" w:cs="Arial" w:eastAsia="Arial" w:hAnsi="Arial"/>
                <w:sz w:val="12"/>
                <w:szCs w:val="12"/>
                <w:color w:val="auto"/>
              </w:rPr>
              <w:t>Asset management</w:t>
            </w: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54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Bermuda</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100.00</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100.00</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942,387</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1,011,412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3,830</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34,177</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938,557</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977,235</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32,025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71,487</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40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CCR Inc. (v)</w:t>
            </w:r>
          </w:p>
        </w:tc>
        <w:tc>
          <w:tcPr>
            <w:tcW w:w="1540" w:type="dxa"/>
            <w:vAlign w:val="bottom"/>
            <w:gridSpan w:val="3"/>
            <w:shd w:val="clear" w:color="auto" w:fill="CCEEFF"/>
          </w:tcPr>
          <w:p>
            <w:pPr>
              <w:ind w:left="100"/>
              <w:spacing w:after="0" w:line="127" w:lineRule="exact"/>
              <w:rPr>
                <w:sz w:val="20"/>
                <w:szCs w:val="20"/>
                <w:color w:val="auto"/>
              </w:rPr>
            </w:pPr>
            <w:r>
              <w:rPr>
                <w:rFonts w:ascii="Arial" w:cs="Arial" w:eastAsia="Arial" w:hAnsi="Arial"/>
                <w:sz w:val="12"/>
                <w:szCs w:val="12"/>
                <w:color w:val="auto"/>
              </w:rPr>
              <w:t>Special purpose Entity</w:t>
            </w: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54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Bahamas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100.00</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100.00</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388</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105,733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104,703</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1,030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(646)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(254)</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40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Banco de Crédito de</w:t>
            </w: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Bolivia (vi)</w:t>
            </w:r>
          </w:p>
        </w:tc>
        <w:tc>
          <w:tcPr>
            <w:tcW w:w="154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Banking Bolivia</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4.01</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4.07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12,697,793</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9"/>
              </w:rPr>
              <w:t>13,799,816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11,837,965</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12,965,242</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859,828</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834,574</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68,013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72,267</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40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Inversiones Crédicorp</w:t>
            </w: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2"/>
                <w:szCs w:val="12"/>
                <w:color w:val="auto"/>
              </w:rPr>
              <w:t>Bolivia S.A. (vi)</w:t>
            </w:r>
          </w:p>
        </w:tc>
        <w:tc>
          <w:tcPr>
            <w:tcW w:w="154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Banking Bolivia</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0.08</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0.08</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878,357</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852,720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271</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878,000</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852,449</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77,581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77,734</w:t>
            </w:r>
          </w:p>
        </w:tc>
        <w:tc>
          <w:tcPr>
            <w:tcW w:w="0" w:type="dxa"/>
            <w:vAlign w:val="bottom"/>
          </w:tcPr>
          <w:p>
            <w:pPr>
              <w:spacing w:after="0"/>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348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8" w:name="page29"/>
    <w:bookmarkEnd w:id="28"/>
    <w:p>
      <w:pPr>
        <w:ind w:left="480" w:right="40" w:hanging="421"/>
        <w:spacing w:after="0" w:line="234" w:lineRule="auto"/>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Grupo Crédito is a company whose main activities are to carry out management and administration activities of the subsidiaries of Credicorp Ltd. and invest in shares listed on the Peruvian Stock Exchange and unlisted shares of Peruvian companies. Below, we present the individual or separate financial statements of the main subsidiaries of Grupo Crédito through which Credicorp Ltd. controls, in accordance with IFRS: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Percentage of</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Activity and</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and</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country of</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300" w:type="dxa"/>
            <w:vAlign w:val="bottom"/>
            <w:gridSpan w:val="2"/>
          </w:tcPr>
          <w:p>
            <w:pPr>
              <w:spacing w:after="0"/>
              <w:rPr>
                <w:sz w:val="20"/>
                <w:szCs w:val="20"/>
                <w:color w:val="auto"/>
              </w:rPr>
            </w:pPr>
            <w:r>
              <w:rPr>
                <w:rFonts w:ascii="Arial" w:cs="Arial" w:eastAsia="Arial" w:hAnsi="Arial"/>
                <w:sz w:val="12"/>
                <w:szCs w:val="12"/>
                <w:b w:val="1"/>
                <w:bCs w:val="1"/>
                <w:color w:val="auto"/>
              </w:rPr>
              <w:t>Entity</w:t>
            </w:r>
          </w:p>
        </w:tc>
        <w:tc>
          <w:tcPr>
            <w:tcW w:w="1480" w:type="dxa"/>
            <w:vAlign w:val="bottom"/>
            <w:gridSpan w:val="3"/>
          </w:tcPr>
          <w:p>
            <w:pPr>
              <w:ind w:left="120"/>
              <w:spacing w:after="0"/>
              <w:rPr>
                <w:sz w:val="20"/>
                <w:szCs w:val="20"/>
                <w:color w:val="auto"/>
              </w:rPr>
            </w:pPr>
            <w:r>
              <w:rPr>
                <w:rFonts w:ascii="Arial" w:cs="Arial" w:eastAsia="Arial" w:hAnsi="Arial"/>
                <w:sz w:val="12"/>
                <w:szCs w:val="12"/>
                <w:b w:val="1"/>
                <w:bCs w:val="1"/>
                <w:color w:val="auto"/>
              </w:rPr>
              <w:t>incorporation</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participation</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2"/>
                <w:szCs w:val="12"/>
                <w:b w:val="1"/>
                <w:bCs w:val="1"/>
                <w:color w:val="auto"/>
              </w:rPr>
              <w:t>Assets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Liabilities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Equity</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Net income (loss)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2022</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2022</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2"/>
                <w:szCs w:val="12"/>
                <w:color w:val="auto"/>
              </w:rPr>
            </w:pPr>
          </w:p>
        </w:tc>
        <w:tc>
          <w:tcPr>
            <w:tcW w:w="70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2022</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100"/>
              <w:spacing w:after="0" w:line="133" w:lineRule="exact"/>
              <w:rPr>
                <w:sz w:val="20"/>
                <w:szCs w:val="20"/>
                <w:color w:val="auto"/>
              </w:rPr>
            </w:pPr>
            <w:r>
              <w:rPr>
                <w:rFonts w:ascii="Arial" w:cs="Arial" w:eastAsia="Arial" w:hAnsi="Arial"/>
                <w:sz w:val="12"/>
                <w:szCs w:val="12"/>
                <w:b w:val="1"/>
                <w:bCs w:val="1"/>
                <w:color w:val="auto"/>
              </w:rPr>
              <w:t>2021</w:t>
            </w: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2022</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2022</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62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56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280" w:type="dxa"/>
            <w:vAlign w:val="bottom"/>
          </w:tcPr>
          <w:p>
            <w:pPr>
              <w:spacing w:after="0" w:line="127" w:lineRule="exact"/>
              <w:rPr>
                <w:sz w:val="20"/>
                <w:szCs w:val="20"/>
                <w:color w:val="auto"/>
              </w:rPr>
            </w:pPr>
            <w:r>
              <w:rPr>
                <w:rFonts w:ascii="Arial" w:cs="Arial" w:eastAsia="Arial" w:hAnsi="Arial"/>
                <w:sz w:val="12"/>
                <w:szCs w:val="12"/>
                <w:color w:val="auto"/>
              </w:rPr>
              <w:t>Banco de Crédito del</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00" w:type="dxa"/>
            <w:vAlign w:val="bottom"/>
            <w:gridSpan w:val="2"/>
          </w:tcPr>
          <w:p>
            <w:pPr>
              <w:spacing w:after="0" w:line="133" w:lineRule="exact"/>
              <w:rPr>
                <w:sz w:val="20"/>
                <w:szCs w:val="20"/>
                <w:color w:val="auto"/>
              </w:rPr>
            </w:pPr>
            <w:r>
              <w:rPr>
                <w:rFonts w:ascii="Arial" w:cs="Arial" w:eastAsia="Arial" w:hAnsi="Arial"/>
                <w:sz w:val="12"/>
                <w:szCs w:val="12"/>
                <w:color w:val="auto"/>
              </w:rPr>
              <w:t>Perú and Subsidiaries</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300" w:type="dxa"/>
            <w:vAlign w:val="bottom"/>
            <w:gridSpan w:val="2"/>
          </w:tcPr>
          <w:p>
            <w:pPr>
              <w:spacing w:after="0"/>
              <w:rPr>
                <w:sz w:val="20"/>
                <w:szCs w:val="20"/>
                <w:color w:val="auto"/>
              </w:rPr>
            </w:pPr>
            <w:r>
              <w:rPr>
                <w:rFonts w:ascii="Arial" w:cs="Arial" w:eastAsia="Arial" w:hAnsi="Arial"/>
                <w:sz w:val="12"/>
                <w:szCs w:val="12"/>
                <w:color w:val="auto"/>
              </w:rPr>
              <w:t>(a)</w:t>
            </w:r>
          </w:p>
        </w:tc>
        <w:tc>
          <w:tcPr>
            <w:tcW w:w="1480" w:type="dxa"/>
            <w:vAlign w:val="bottom"/>
            <w:gridSpan w:val="3"/>
          </w:tcPr>
          <w:p>
            <w:pPr>
              <w:ind w:left="120"/>
              <w:spacing w:after="0"/>
              <w:rPr>
                <w:sz w:val="20"/>
                <w:szCs w:val="20"/>
                <w:color w:val="auto"/>
              </w:rPr>
            </w:pPr>
            <w:r>
              <w:rPr>
                <w:rFonts w:ascii="Arial" w:cs="Arial" w:eastAsia="Arial" w:hAnsi="Arial"/>
                <w:sz w:val="12"/>
                <w:szCs w:val="12"/>
                <w:color w:val="auto"/>
              </w:rPr>
              <w:t>Banking, Peru</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97.74</w:t>
            </w:r>
          </w:p>
        </w:tc>
        <w:tc>
          <w:tcPr>
            <w:tcW w:w="660" w:type="dxa"/>
            <w:vAlign w:val="bottom"/>
            <w:gridSpan w:val="3"/>
          </w:tcPr>
          <w:p>
            <w:pPr>
              <w:jc w:val="right"/>
              <w:ind w:right="100"/>
              <w:spacing w:after="0"/>
              <w:rPr>
                <w:sz w:val="20"/>
                <w:szCs w:val="20"/>
                <w:color w:val="auto"/>
              </w:rPr>
            </w:pPr>
            <w:r>
              <w:rPr>
                <w:rFonts w:ascii="Arial" w:cs="Arial" w:eastAsia="Arial" w:hAnsi="Arial"/>
                <w:sz w:val="12"/>
                <w:szCs w:val="12"/>
                <w:color w:val="auto"/>
              </w:rPr>
              <w:t>97.74</w:t>
            </w:r>
          </w:p>
        </w:tc>
        <w:tc>
          <w:tcPr>
            <w:tcW w:w="1020" w:type="dxa"/>
            <w:vAlign w:val="bottom"/>
            <w:gridSpan w:val="3"/>
          </w:tcPr>
          <w:p>
            <w:pPr>
              <w:jc w:val="right"/>
              <w:ind w:right="220"/>
              <w:spacing w:after="0"/>
              <w:rPr>
                <w:sz w:val="20"/>
                <w:szCs w:val="20"/>
                <w:color w:val="auto"/>
              </w:rPr>
            </w:pPr>
            <w:r>
              <w:rPr>
                <w:rFonts w:ascii="Arial" w:cs="Arial" w:eastAsia="Arial" w:hAnsi="Arial"/>
                <w:sz w:val="12"/>
                <w:szCs w:val="12"/>
                <w:color w:val="auto"/>
              </w:rPr>
              <w:t>193,278,232</w:t>
            </w:r>
          </w:p>
        </w:tc>
        <w:tc>
          <w:tcPr>
            <w:tcW w:w="900" w:type="dxa"/>
            <w:vAlign w:val="bottom"/>
            <w:gridSpan w:val="2"/>
          </w:tcPr>
          <w:p>
            <w:pPr>
              <w:spacing w:after="0"/>
              <w:rPr>
                <w:sz w:val="20"/>
                <w:szCs w:val="20"/>
                <w:color w:val="auto"/>
              </w:rPr>
            </w:pPr>
            <w:r>
              <w:rPr>
                <w:rFonts w:ascii="Arial" w:cs="Arial" w:eastAsia="Arial" w:hAnsi="Arial"/>
                <w:sz w:val="12"/>
                <w:szCs w:val="12"/>
                <w:color w:val="auto"/>
              </w:rPr>
              <w:t>199,307,837</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170,005,995</w:t>
            </w:r>
          </w:p>
        </w:tc>
        <w:tc>
          <w:tcPr>
            <w:tcW w:w="1000" w:type="dxa"/>
            <w:vAlign w:val="bottom"/>
            <w:gridSpan w:val="3"/>
          </w:tcPr>
          <w:p>
            <w:pPr>
              <w:jc w:val="right"/>
              <w:ind w:right="200"/>
              <w:spacing w:after="0"/>
              <w:rPr>
                <w:sz w:val="20"/>
                <w:szCs w:val="20"/>
                <w:color w:val="auto"/>
              </w:rPr>
            </w:pPr>
            <w:r>
              <w:rPr>
                <w:rFonts w:ascii="Arial" w:cs="Arial" w:eastAsia="Arial" w:hAnsi="Arial"/>
                <w:sz w:val="12"/>
                <w:szCs w:val="12"/>
                <w:color w:val="auto"/>
              </w:rPr>
              <w:t>178,545,004</w:t>
            </w: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23,272,237</w:t>
            </w:r>
          </w:p>
        </w:tc>
        <w:tc>
          <w:tcPr>
            <w:tcW w:w="840" w:type="dxa"/>
            <w:vAlign w:val="bottom"/>
            <w:gridSpan w:val="2"/>
          </w:tcPr>
          <w:p>
            <w:pPr>
              <w:spacing w:after="0"/>
              <w:rPr>
                <w:sz w:val="20"/>
                <w:szCs w:val="20"/>
                <w:color w:val="auto"/>
              </w:rPr>
            </w:pPr>
            <w:r>
              <w:rPr>
                <w:rFonts w:ascii="Arial" w:cs="Arial" w:eastAsia="Arial" w:hAnsi="Arial"/>
                <w:sz w:val="12"/>
                <w:szCs w:val="12"/>
                <w:color w:val="auto"/>
              </w:rPr>
              <w:t>20,762,833</w:t>
            </w: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4,683,775</w:t>
            </w: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3,662,192</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280" w:type="dxa"/>
            <w:vAlign w:val="bottom"/>
          </w:tcPr>
          <w:p>
            <w:pPr>
              <w:spacing w:after="0" w:line="127" w:lineRule="exact"/>
              <w:rPr>
                <w:sz w:val="20"/>
                <w:szCs w:val="20"/>
                <w:color w:val="auto"/>
              </w:rPr>
            </w:pPr>
            <w:r>
              <w:rPr>
                <w:rFonts w:ascii="Arial" w:cs="Arial" w:eastAsia="Arial" w:hAnsi="Arial"/>
                <w:sz w:val="12"/>
                <w:szCs w:val="12"/>
                <w:color w:val="auto"/>
              </w:rPr>
              <w:t>Inversiones Credicorp</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00" w:type="dxa"/>
            <w:vAlign w:val="bottom"/>
            <w:gridSpan w:val="2"/>
          </w:tcPr>
          <w:p>
            <w:pPr>
              <w:spacing w:after="0" w:line="133" w:lineRule="exact"/>
              <w:rPr>
                <w:sz w:val="20"/>
                <w:szCs w:val="20"/>
                <w:color w:val="auto"/>
              </w:rPr>
            </w:pPr>
            <w:r>
              <w:rPr>
                <w:rFonts w:ascii="Arial" w:cs="Arial" w:eastAsia="Arial" w:hAnsi="Arial"/>
                <w:sz w:val="12"/>
                <w:szCs w:val="12"/>
                <w:color w:val="auto"/>
              </w:rPr>
              <w:t>Bolivia S.A. and</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300" w:type="dxa"/>
            <w:vAlign w:val="bottom"/>
            <w:gridSpan w:val="2"/>
          </w:tcPr>
          <w:p>
            <w:pPr>
              <w:spacing w:after="0"/>
              <w:rPr>
                <w:sz w:val="20"/>
                <w:szCs w:val="20"/>
                <w:color w:val="auto"/>
              </w:rPr>
            </w:pPr>
            <w:r>
              <w:rPr>
                <w:rFonts w:ascii="Arial" w:cs="Arial" w:eastAsia="Arial" w:hAnsi="Arial"/>
                <w:sz w:val="12"/>
                <w:szCs w:val="12"/>
                <w:color w:val="auto"/>
              </w:rPr>
              <w:t>Subsidiaries (b)</w:t>
            </w:r>
          </w:p>
        </w:tc>
        <w:tc>
          <w:tcPr>
            <w:tcW w:w="1480" w:type="dxa"/>
            <w:vAlign w:val="bottom"/>
            <w:gridSpan w:val="3"/>
          </w:tcPr>
          <w:p>
            <w:pPr>
              <w:ind w:left="120"/>
              <w:spacing w:after="0"/>
              <w:rPr>
                <w:sz w:val="20"/>
                <w:szCs w:val="20"/>
                <w:color w:val="auto"/>
              </w:rPr>
            </w:pPr>
            <w:r>
              <w:rPr>
                <w:rFonts w:ascii="Arial" w:cs="Arial" w:eastAsia="Arial" w:hAnsi="Arial"/>
                <w:sz w:val="12"/>
                <w:szCs w:val="12"/>
                <w:color w:val="auto"/>
              </w:rPr>
              <w:t>Banking, Bolivia</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99.92</w:t>
            </w:r>
          </w:p>
        </w:tc>
        <w:tc>
          <w:tcPr>
            <w:tcW w:w="660" w:type="dxa"/>
            <w:vAlign w:val="bottom"/>
            <w:gridSpan w:val="3"/>
          </w:tcPr>
          <w:p>
            <w:pPr>
              <w:jc w:val="right"/>
              <w:ind w:right="100"/>
              <w:spacing w:after="0"/>
              <w:rPr>
                <w:sz w:val="20"/>
                <w:szCs w:val="20"/>
                <w:color w:val="auto"/>
              </w:rPr>
            </w:pPr>
            <w:r>
              <w:rPr>
                <w:rFonts w:ascii="Arial" w:cs="Arial" w:eastAsia="Arial" w:hAnsi="Arial"/>
                <w:sz w:val="12"/>
                <w:szCs w:val="12"/>
                <w:color w:val="auto"/>
              </w:rPr>
              <w:t>99.92</w:t>
            </w:r>
          </w:p>
        </w:tc>
        <w:tc>
          <w:tcPr>
            <w:tcW w:w="1020" w:type="dxa"/>
            <w:vAlign w:val="bottom"/>
            <w:gridSpan w:val="3"/>
          </w:tcPr>
          <w:p>
            <w:pPr>
              <w:jc w:val="right"/>
              <w:ind w:right="220"/>
              <w:spacing w:after="0"/>
              <w:rPr>
                <w:sz w:val="20"/>
                <w:szCs w:val="20"/>
                <w:color w:val="auto"/>
              </w:rPr>
            </w:pPr>
            <w:r>
              <w:rPr>
                <w:rFonts w:ascii="Arial" w:cs="Arial" w:eastAsia="Arial" w:hAnsi="Arial"/>
                <w:sz w:val="12"/>
                <w:szCs w:val="12"/>
                <w:color w:val="auto"/>
              </w:rPr>
              <w:t>12,740,036</w:t>
            </w: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13,839,856</w:t>
            </w: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11,826,789</w:t>
            </w:r>
          </w:p>
        </w:tc>
        <w:tc>
          <w:tcPr>
            <w:tcW w:w="1000" w:type="dxa"/>
            <w:vAlign w:val="bottom"/>
            <w:gridSpan w:val="3"/>
          </w:tcPr>
          <w:p>
            <w:pPr>
              <w:jc w:val="right"/>
              <w:ind w:right="200"/>
              <w:spacing w:after="0"/>
              <w:rPr>
                <w:sz w:val="20"/>
                <w:szCs w:val="20"/>
                <w:color w:val="auto"/>
              </w:rPr>
            </w:pPr>
            <w:r>
              <w:rPr>
                <w:rFonts w:ascii="Arial" w:cs="Arial" w:eastAsia="Arial" w:hAnsi="Arial"/>
                <w:sz w:val="12"/>
                <w:szCs w:val="12"/>
                <w:color w:val="auto"/>
              </w:rPr>
              <w:t>12,952,609</w:t>
            </w:r>
          </w:p>
        </w:tc>
        <w:tc>
          <w:tcPr>
            <w:tcW w:w="680" w:type="dxa"/>
            <w:vAlign w:val="bottom"/>
          </w:tcPr>
          <w:p>
            <w:pPr>
              <w:jc w:val="right"/>
              <w:spacing w:after="0"/>
              <w:rPr>
                <w:sz w:val="20"/>
                <w:szCs w:val="20"/>
                <w:color w:val="auto"/>
              </w:rPr>
            </w:pPr>
            <w:r>
              <w:rPr>
                <w:rFonts w:ascii="Arial" w:cs="Arial" w:eastAsia="Arial" w:hAnsi="Arial"/>
                <w:sz w:val="12"/>
                <w:szCs w:val="12"/>
                <w:color w:val="auto"/>
              </w:rPr>
              <w:t>913,247</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887,247</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80,377</w:t>
            </w: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80,752</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280" w:type="dxa"/>
            <w:vAlign w:val="bottom"/>
          </w:tcPr>
          <w:p>
            <w:pPr>
              <w:spacing w:after="0" w:line="127" w:lineRule="exact"/>
              <w:rPr>
                <w:sz w:val="20"/>
                <w:szCs w:val="20"/>
                <w:color w:val="auto"/>
              </w:rPr>
            </w:pPr>
            <w:r>
              <w:rPr>
                <w:rFonts w:ascii="Arial" w:cs="Arial" w:eastAsia="Arial" w:hAnsi="Arial"/>
                <w:sz w:val="12"/>
                <w:szCs w:val="12"/>
                <w:color w:val="auto"/>
              </w:rPr>
              <w:t>Prima AFP (c)</w:t>
            </w:r>
          </w:p>
        </w:tc>
        <w:tc>
          <w:tcPr>
            <w:tcW w:w="1480" w:type="dxa"/>
            <w:vAlign w:val="bottom"/>
            <w:gridSpan w:val="3"/>
          </w:tcPr>
          <w:p>
            <w:pPr>
              <w:ind w:left="120"/>
              <w:spacing w:after="0" w:line="127" w:lineRule="exact"/>
              <w:rPr>
                <w:sz w:val="20"/>
                <w:szCs w:val="20"/>
                <w:color w:val="auto"/>
              </w:rPr>
            </w:pPr>
            <w:r>
              <w:rPr>
                <w:rFonts w:ascii="Arial" w:cs="Arial" w:eastAsia="Arial" w:hAnsi="Arial"/>
                <w:sz w:val="12"/>
                <w:szCs w:val="12"/>
                <w:color w:val="auto"/>
              </w:rPr>
              <w:t>Pension fund</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80" w:type="dxa"/>
            <w:vAlign w:val="bottom"/>
            <w:gridSpan w:val="3"/>
          </w:tcPr>
          <w:p>
            <w:pPr>
              <w:ind w:left="120"/>
              <w:spacing w:after="0"/>
              <w:rPr>
                <w:sz w:val="20"/>
                <w:szCs w:val="20"/>
                <w:color w:val="auto"/>
              </w:rPr>
            </w:pPr>
            <w:r>
              <w:rPr>
                <w:rFonts w:ascii="Arial" w:cs="Arial" w:eastAsia="Arial" w:hAnsi="Arial"/>
                <w:sz w:val="12"/>
                <w:szCs w:val="12"/>
                <w:color w:val="auto"/>
              </w:rPr>
              <w:t>administration, Peru</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100.00</w:t>
            </w:r>
          </w:p>
        </w:tc>
        <w:tc>
          <w:tcPr>
            <w:tcW w:w="660" w:type="dxa"/>
            <w:vAlign w:val="bottom"/>
            <w:gridSpan w:val="3"/>
          </w:tcPr>
          <w:p>
            <w:pPr>
              <w:jc w:val="right"/>
              <w:ind w:right="100"/>
              <w:spacing w:after="0"/>
              <w:rPr>
                <w:sz w:val="20"/>
                <w:szCs w:val="20"/>
                <w:color w:val="auto"/>
              </w:rPr>
            </w:pPr>
            <w:r>
              <w:rPr>
                <w:rFonts w:ascii="Arial" w:cs="Arial" w:eastAsia="Arial" w:hAnsi="Arial"/>
                <w:sz w:val="12"/>
                <w:szCs w:val="12"/>
                <w:color w:val="auto"/>
              </w:rPr>
              <w:t>100.00</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734,966</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839,772</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238,177</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265,185</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496,789</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574,587</w:t>
            </w: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109,511</w:t>
            </w:r>
          </w:p>
        </w:tc>
        <w:tc>
          <w:tcPr>
            <w:tcW w:w="2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146,057</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280" w:type="dxa"/>
            <w:vAlign w:val="bottom"/>
          </w:tcPr>
          <w:p>
            <w:pPr>
              <w:spacing w:after="0" w:line="127" w:lineRule="exact"/>
              <w:rPr>
                <w:sz w:val="20"/>
                <w:szCs w:val="20"/>
                <w:color w:val="auto"/>
              </w:rPr>
            </w:pPr>
            <w:r>
              <w:rPr>
                <w:rFonts w:ascii="Arial" w:cs="Arial" w:eastAsia="Arial" w:hAnsi="Arial"/>
                <w:sz w:val="12"/>
                <w:szCs w:val="12"/>
                <w:color w:val="auto"/>
              </w:rPr>
              <w:t>Tenpo SpA and</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gridSpan w:val="2"/>
          </w:tcPr>
          <w:p>
            <w:pPr>
              <w:spacing w:after="0"/>
              <w:rPr>
                <w:sz w:val="20"/>
                <w:szCs w:val="20"/>
                <w:color w:val="auto"/>
              </w:rPr>
            </w:pPr>
            <w:r>
              <w:rPr>
                <w:rFonts w:ascii="Arial" w:cs="Arial" w:eastAsia="Arial" w:hAnsi="Arial"/>
                <w:sz w:val="12"/>
                <w:szCs w:val="12"/>
                <w:color w:val="auto"/>
              </w:rPr>
              <w:t>Subsidiaries (d)</w:t>
            </w:r>
          </w:p>
        </w:tc>
        <w:tc>
          <w:tcPr>
            <w:tcW w:w="1480" w:type="dxa"/>
            <w:vAlign w:val="bottom"/>
            <w:gridSpan w:val="3"/>
          </w:tcPr>
          <w:p>
            <w:pPr>
              <w:ind w:left="120"/>
              <w:spacing w:after="0"/>
              <w:rPr>
                <w:sz w:val="20"/>
                <w:szCs w:val="20"/>
                <w:color w:val="auto"/>
              </w:rPr>
            </w:pPr>
            <w:r>
              <w:rPr>
                <w:rFonts w:ascii="Arial" w:cs="Arial" w:eastAsia="Arial" w:hAnsi="Arial"/>
                <w:sz w:val="12"/>
                <w:szCs w:val="12"/>
                <w:color w:val="auto"/>
              </w:rPr>
              <w:t>Holding, Chile</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100.00</w:t>
            </w:r>
          </w:p>
        </w:tc>
        <w:tc>
          <w:tcPr>
            <w:tcW w:w="660" w:type="dxa"/>
            <w:vAlign w:val="bottom"/>
            <w:gridSpan w:val="3"/>
          </w:tcPr>
          <w:p>
            <w:pPr>
              <w:jc w:val="right"/>
              <w:ind w:right="100"/>
              <w:spacing w:after="0"/>
              <w:rPr>
                <w:sz w:val="20"/>
                <w:szCs w:val="20"/>
                <w:color w:val="auto"/>
              </w:rPr>
            </w:pPr>
            <w:r>
              <w:rPr>
                <w:rFonts w:ascii="Arial" w:cs="Arial" w:eastAsia="Arial" w:hAnsi="Arial"/>
                <w:sz w:val="12"/>
                <w:szCs w:val="12"/>
                <w:color w:val="auto"/>
              </w:rPr>
              <w:t>100.00</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242,754</w:t>
            </w:r>
          </w:p>
        </w:tc>
        <w:tc>
          <w:tcPr>
            <w:tcW w:w="2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158,328</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90,186</w:t>
            </w:r>
          </w:p>
        </w:tc>
        <w:tc>
          <w:tcPr>
            <w:tcW w:w="1000" w:type="dxa"/>
            <w:vAlign w:val="bottom"/>
            <w:gridSpan w:val="3"/>
          </w:tcPr>
          <w:p>
            <w:pPr>
              <w:jc w:val="right"/>
              <w:ind w:right="200"/>
              <w:spacing w:after="0"/>
              <w:rPr>
                <w:sz w:val="20"/>
                <w:szCs w:val="20"/>
                <w:color w:val="auto"/>
              </w:rPr>
            </w:pPr>
            <w:r>
              <w:rPr>
                <w:rFonts w:ascii="Arial" w:cs="Arial" w:eastAsia="Arial" w:hAnsi="Arial"/>
                <w:sz w:val="12"/>
                <w:szCs w:val="12"/>
                <w:color w:val="auto"/>
              </w:rPr>
              <w:t>43,140</w:t>
            </w:r>
          </w:p>
        </w:tc>
        <w:tc>
          <w:tcPr>
            <w:tcW w:w="680" w:type="dxa"/>
            <w:vAlign w:val="bottom"/>
          </w:tcPr>
          <w:p>
            <w:pPr>
              <w:jc w:val="right"/>
              <w:spacing w:after="0"/>
              <w:rPr>
                <w:sz w:val="20"/>
                <w:szCs w:val="20"/>
                <w:color w:val="auto"/>
              </w:rPr>
            </w:pPr>
            <w:r>
              <w:rPr>
                <w:rFonts w:ascii="Arial" w:cs="Arial" w:eastAsia="Arial" w:hAnsi="Arial"/>
                <w:sz w:val="12"/>
                <w:szCs w:val="12"/>
                <w:color w:val="auto"/>
              </w:rPr>
              <w:t>152,568</w:t>
            </w: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115,188</w:t>
            </w:r>
          </w:p>
        </w:tc>
        <w:tc>
          <w:tcPr>
            <w:tcW w:w="22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(124,748)</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(34,362)</w:t>
            </w:r>
          </w:p>
        </w:tc>
        <w:tc>
          <w:tcPr>
            <w:tcW w:w="0" w:type="dxa"/>
            <w:vAlign w:val="bottom"/>
          </w:tcPr>
          <w:p>
            <w:pPr>
              <w:spacing w:after="0"/>
              <w:rPr>
                <w:sz w:val="1"/>
                <w:szCs w:val="1"/>
                <w:color w:val="auto"/>
              </w:rPr>
            </w:pPr>
          </w:p>
        </w:tc>
      </w:tr>
    </w:tbl>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348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29" w:name="page30"/>
    <w:bookmarkEnd w:id="29"/>
    <w:p>
      <w:pPr>
        <w:ind w:left="754" w:right="280" w:hanging="382"/>
        <w:spacing w:after="0" w:line="265" w:lineRule="auto"/>
        <w:tabs>
          <w:tab w:leader="none" w:pos="754" w:val="left"/>
        </w:tabs>
        <w:numPr>
          <w:ilvl w:val="1"/>
          <w:numId w:val="19"/>
        </w:numPr>
        <w:rPr>
          <w:rFonts w:ascii="Arial" w:cs="Arial" w:eastAsia="Arial" w:hAnsi="Arial"/>
          <w:sz w:val="17"/>
          <w:szCs w:val="17"/>
          <w:color w:val="auto"/>
        </w:rPr>
      </w:pPr>
      <w:r>
        <w:rPr>
          <w:rFonts w:ascii="Arial" w:cs="Arial" w:eastAsia="Arial" w:hAnsi="Arial"/>
          <w:sz w:val="17"/>
          <w:szCs w:val="17"/>
          <w:color w:val="auto"/>
        </w:rPr>
        <w:t>BCP was established in 1889 and its activities are regulated by the Peruvian Banking Regulator (Superintendencia de Banca, Seguros y AFP – SBS (the authority that regulates banking, insurance and pension funds activities in Peru, hereinafter “the SBS”).</w:t>
      </w:r>
    </w:p>
    <w:p>
      <w:pPr>
        <w:spacing w:after="0" w:line="165" w:lineRule="exact"/>
        <w:rPr>
          <w:rFonts w:ascii="Arial" w:cs="Arial" w:eastAsia="Arial" w:hAnsi="Arial"/>
          <w:sz w:val="17"/>
          <w:szCs w:val="17"/>
          <w:color w:val="auto"/>
        </w:rPr>
      </w:pPr>
    </w:p>
    <w:p>
      <w:pPr>
        <w:ind w:left="754"/>
        <w:spacing w:after="0" w:line="234" w:lineRule="auto"/>
        <w:rPr>
          <w:rFonts w:ascii="Arial" w:cs="Arial" w:eastAsia="Arial" w:hAnsi="Arial"/>
          <w:sz w:val="17"/>
          <w:szCs w:val="17"/>
          <w:color w:val="auto"/>
        </w:rPr>
      </w:pPr>
      <w:r>
        <w:rPr>
          <w:rFonts w:ascii="Arial" w:cs="Arial" w:eastAsia="Arial" w:hAnsi="Arial"/>
          <w:sz w:val="18"/>
          <w:szCs w:val="18"/>
          <w:color w:val="auto"/>
        </w:rPr>
        <w:t>Its main Subsidiary is Mibanco, Banco de la Microempresa S.A. (hereinafter “MiBanco”), a banking entity in Perú oriented towards the micro and small business sector. As of December 31, 2022, the assets, liabilities, equity and net result of Mibanco amount to approximately S/17,225.0 million, S/14,444.0 million, S/2,780.6 million and S/424.9 million, respectively (S/16,162.6 million, S/13,799.6 million, S/2,363.0 million, and S/266.3 million, at December 31, 2021, respectively).</w:t>
      </w:r>
    </w:p>
    <w:p>
      <w:pPr>
        <w:spacing w:after="0" w:line="188" w:lineRule="exact"/>
        <w:rPr>
          <w:rFonts w:ascii="Arial" w:cs="Arial" w:eastAsia="Arial" w:hAnsi="Arial"/>
          <w:sz w:val="17"/>
          <w:szCs w:val="17"/>
          <w:color w:val="auto"/>
        </w:rPr>
      </w:pPr>
    </w:p>
    <w:p>
      <w:pPr>
        <w:ind w:left="754" w:right="160" w:hanging="382"/>
        <w:spacing w:after="0" w:line="234" w:lineRule="auto"/>
        <w:tabs>
          <w:tab w:leader="none" w:pos="7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Inversiones Credicorp Bolivia S.A. (hereinafter “ICBSA”) was incorporated in February 2013 and its objective is to make capital investments for its own account or for the account of third parties in companies and other entities providing financial services, exercising or determining the management, administration, control and representation thereof, both nationally and abroad, for which it can invest in capital markets, insurance, asset management, pension funds and other related financial and/or stock exchange products.</w:t>
      </w:r>
    </w:p>
    <w:p>
      <w:pPr>
        <w:spacing w:after="0" w:line="186" w:lineRule="exact"/>
        <w:rPr>
          <w:rFonts w:ascii="Arial" w:cs="Arial" w:eastAsia="Arial" w:hAnsi="Arial"/>
          <w:sz w:val="18"/>
          <w:szCs w:val="18"/>
          <w:color w:val="auto"/>
        </w:rPr>
      </w:pPr>
    </w:p>
    <w:p>
      <w:pPr>
        <w:ind w:left="754" w:right="60"/>
        <w:spacing w:after="0" w:line="234" w:lineRule="auto"/>
        <w:rPr>
          <w:rFonts w:ascii="Arial" w:cs="Arial" w:eastAsia="Arial" w:hAnsi="Arial"/>
          <w:sz w:val="18"/>
          <w:szCs w:val="18"/>
          <w:color w:val="auto"/>
        </w:rPr>
      </w:pPr>
      <w:r>
        <w:rPr>
          <w:rFonts w:ascii="Arial" w:cs="Arial" w:eastAsia="Arial" w:hAnsi="Arial"/>
          <w:sz w:val="18"/>
          <w:szCs w:val="18"/>
          <w:color w:val="auto"/>
        </w:rPr>
        <w:t>Its main Subsidiary is Banco de Crédito de Bolivia (hereinafter “BCB”), a commercial bank which operates in Bolivia. As of December 31, 2022, the assets, liabilities, equity and net result of BCB were approximately S/12,697.8 million, S/11,838.0 million, S/859.8 million and S/68.0 million, respectively (S/13,799.8 million, S/ 12,964.8 million, S/835.0 million and S/72.3 million, respectively as of December 31, 2021).</w:t>
      </w:r>
    </w:p>
    <w:p>
      <w:pPr>
        <w:spacing w:after="0" w:line="188" w:lineRule="exact"/>
        <w:rPr>
          <w:rFonts w:ascii="Arial" w:cs="Arial" w:eastAsia="Arial" w:hAnsi="Arial"/>
          <w:sz w:val="18"/>
          <w:szCs w:val="18"/>
          <w:color w:val="auto"/>
        </w:rPr>
      </w:pPr>
    </w:p>
    <w:p>
      <w:pPr>
        <w:ind w:left="754" w:hanging="382"/>
        <w:spacing w:after="0"/>
        <w:tabs>
          <w:tab w:leader="none" w:pos="7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Prima AFP is a private pension fund and its activities are regulated by the SBS.</w:t>
      </w:r>
    </w:p>
    <w:p>
      <w:pPr>
        <w:spacing w:after="0" w:line="191" w:lineRule="exact"/>
        <w:rPr>
          <w:rFonts w:ascii="Arial" w:cs="Arial" w:eastAsia="Arial" w:hAnsi="Arial"/>
          <w:sz w:val="18"/>
          <w:szCs w:val="18"/>
          <w:color w:val="auto"/>
        </w:rPr>
      </w:pPr>
    </w:p>
    <w:p>
      <w:pPr>
        <w:ind w:left="754" w:right="240" w:hanging="382"/>
        <w:spacing w:after="0" w:line="236" w:lineRule="auto"/>
        <w:tabs>
          <w:tab w:leader="none" w:pos="754" w:val="left"/>
        </w:tabs>
        <w:numPr>
          <w:ilvl w:val="1"/>
          <w:numId w:val="19"/>
        </w:numPr>
        <w:rPr>
          <w:rFonts w:ascii="Arial" w:cs="Arial" w:eastAsia="Arial" w:hAnsi="Arial"/>
          <w:sz w:val="18"/>
          <w:szCs w:val="18"/>
          <w:color w:val="auto"/>
        </w:rPr>
      </w:pPr>
      <w:r>
        <w:rPr>
          <w:rFonts w:ascii="Arial" w:cs="Arial" w:eastAsia="Arial" w:hAnsi="Arial"/>
          <w:sz w:val="18"/>
          <w:szCs w:val="18"/>
          <w:color w:val="auto"/>
        </w:rPr>
        <w:t>Tenpo SpA (hereinafter “Tenpo”, before “Krealo SpA”) was established in Chile in January 2019; and is oriented to make capital investments outside the country. On July 1, 2019, Tenpo (Krealo SpA) acquired Tenpo Technologies SpA (before “Tenpo SpA”) and Tenpo Prepago S.A. (before “Multicaja Prepago S.A.”).</w:t>
      </w:r>
    </w:p>
    <w:p>
      <w:pPr>
        <w:spacing w:after="0" w:line="186" w:lineRule="exact"/>
        <w:rPr>
          <w:rFonts w:ascii="Arial" w:cs="Arial" w:eastAsia="Arial" w:hAnsi="Arial"/>
          <w:sz w:val="18"/>
          <w:szCs w:val="18"/>
          <w:color w:val="auto"/>
        </w:rPr>
      </w:pPr>
    </w:p>
    <w:p>
      <w:pPr>
        <w:ind w:left="314" w:right="160" w:hanging="314"/>
        <w:spacing w:after="0" w:line="234" w:lineRule="auto"/>
        <w:tabs>
          <w:tab w:leader="none" w:pos="3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Pacífico Compañía Seguros y Reaseguros S.A. (hereinafter “Pacífico”) is an entity regulated by the SBS and its activities comprise the contracting and management of all types of general risk and life insurance, reinsurance and property investment and financial operations. Its Subsidiaries are Crediseguro Seguros Personales, Crediseguro Seguros Generales and Pacifico Asiste and it has Pacífico EPS as an associate, which are dynamic participants in the business of multiple and health insurance, respectively.</w:t>
      </w:r>
    </w:p>
    <w:p>
      <w:pPr>
        <w:spacing w:after="0" w:line="188" w:lineRule="exact"/>
        <w:rPr>
          <w:rFonts w:ascii="Arial" w:cs="Arial" w:eastAsia="Arial" w:hAnsi="Arial"/>
          <w:sz w:val="18"/>
          <w:szCs w:val="18"/>
          <w:color w:val="auto"/>
        </w:rPr>
      </w:pPr>
    </w:p>
    <w:p>
      <w:pPr>
        <w:jc w:val="both"/>
        <w:ind w:left="314" w:right="300" w:hanging="314"/>
        <w:spacing w:after="0" w:line="254" w:lineRule="auto"/>
        <w:tabs>
          <w:tab w:leader="none" w:pos="314" w:val="left"/>
        </w:tabs>
        <w:numPr>
          <w:ilvl w:val="0"/>
          <w:numId w:val="20"/>
        </w:numPr>
        <w:rPr>
          <w:rFonts w:ascii="Arial" w:cs="Arial" w:eastAsia="Arial" w:hAnsi="Arial"/>
          <w:sz w:val="17"/>
          <w:szCs w:val="17"/>
          <w:color w:val="auto"/>
        </w:rPr>
      </w:pPr>
      <w:r>
        <w:rPr>
          <w:rFonts w:ascii="Arial" w:cs="Arial" w:eastAsia="Arial" w:hAnsi="Arial"/>
          <w:sz w:val="17"/>
          <w:szCs w:val="17"/>
          <w:color w:val="auto"/>
        </w:rPr>
        <w:t>Atlantic Security Holding Corporation (hereinafter “ASHC”) is an entity established in the Cayman Islands, its most important subsidiary being ASB Bank Corp. merged with Atlantic Security Bank in August 2021, it was incorporated on September 9, 2020 in the Republic of Panama; Its main activities are private and institutional banking services and fiduciary administration, mainly for BCP’s Peruvian clients.</w:t>
      </w:r>
    </w:p>
    <w:p>
      <w:pPr>
        <w:spacing w:after="0" w:line="176" w:lineRule="exact"/>
        <w:rPr>
          <w:rFonts w:ascii="Arial" w:cs="Arial" w:eastAsia="Arial" w:hAnsi="Arial"/>
          <w:sz w:val="17"/>
          <w:szCs w:val="17"/>
          <w:color w:val="auto"/>
        </w:rPr>
      </w:pPr>
    </w:p>
    <w:p>
      <w:pPr>
        <w:ind w:left="314" w:right="60" w:hanging="314"/>
        <w:spacing w:after="0" w:line="234" w:lineRule="auto"/>
        <w:tabs>
          <w:tab w:leader="none" w:pos="3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Credicorp Capital Ltd. (hereinafter “CCL”) was formed in 2012, and its main subsidiaries are Credicorp Capital Holding Peru (owner of Credicorp Capital Perú S.A.A.), Credicorp Holding Colombia (owner of Credicorp Capital Colombia and Mibanco - Banco de la Microempresa de Colombia S.A.), and Credicorp Capital Holding Chile (owner of Credicorp Capital Chile), which carry out their activities in Peru, Colombia and Chile, respectively.</w:t>
      </w:r>
    </w:p>
    <w:p>
      <w:pPr>
        <w:spacing w:after="0" w:line="188" w:lineRule="exact"/>
        <w:rPr>
          <w:rFonts w:ascii="Arial" w:cs="Arial" w:eastAsia="Arial" w:hAnsi="Arial"/>
          <w:sz w:val="18"/>
          <w:szCs w:val="18"/>
          <w:color w:val="auto"/>
        </w:rPr>
      </w:pPr>
    </w:p>
    <w:p>
      <w:pPr>
        <w:ind w:left="314" w:right="320" w:hanging="314"/>
        <w:spacing w:after="0" w:line="238" w:lineRule="auto"/>
        <w:tabs>
          <w:tab w:leader="none" w:pos="3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CCR Inc. was incorporated in 2000, its main activity is to manage loans granted to BCP by foreign financial entities. These loans are collateralized by transactions performed by BCP.</w:t>
      </w:r>
    </w:p>
    <w:p>
      <w:pPr>
        <w:spacing w:after="0" w:line="359" w:lineRule="exact"/>
        <w:rPr>
          <w:rFonts w:ascii="Arial" w:cs="Arial" w:eastAsia="Arial" w:hAnsi="Arial"/>
          <w:sz w:val="18"/>
          <w:szCs w:val="18"/>
          <w:color w:val="auto"/>
        </w:rPr>
      </w:pPr>
    </w:p>
    <w:p>
      <w:pPr>
        <w:ind w:left="5514" w:hanging="102"/>
        <w:spacing w:after="0"/>
        <w:tabs>
          <w:tab w:leader="none" w:pos="5514" w:val="left"/>
        </w:tabs>
        <w:numPr>
          <w:ilvl w:val="2"/>
          <w:numId w:val="20"/>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348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14"/>
          </w:cols>
          <w:pgMar w:left="326" w:top="338" w:right="359" w:bottom="1440" w:gutter="0" w:footer="0" w:header="0"/>
        </w:sectPr>
      </w:pPr>
    </w:p>
    <w:bookmarkStart w:id="30" w:name="page31"/>
    <w:bookmarkEnd w:id="30"/>
    <w:p>
      <w:pPr>
        <w:ind w:left="634" w:hanging="315"/>
        <w:spacing w:after="0" w:line="233" w:lineRule="auto"/>
        <w:tabs>
          <w:tab w:leader="none" w:pos="634"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Inversiones Credicorp Bolivia S.A. (hereinafter “ICBSA”) was established in February 2013 and its objective is to make capital investments for its own account or for the account of third parties in companies and other entities providing financial services, exercising or determining the management, administration, control and representation thereof, both nationally and abroad, for which it can invest in capital markets, insurance, asset management, pension funds and other related financial and/or stock exchange products. Its main Subsidiary is Banco de Crédito de Bolivia (hereinafter “BCB”), a commercial bank which operates in Bolivia. Grupo Crédito has a direct and indirect 99.92 percent stake and Credicorp 0.08 percent.</w:t>
      </w:r>
    </w:p>
    <w:p>
      <w:pPr>
        <w:spacing w:after="0" w:line="188" w:lineRule="exact"/>
        <w:rPr>
          <w:rFonts w:ascii="Arial" w:cs="Arial" w:eastAsia="Arial" w:hAnsi="Arial"/>
          <w:sz w:val="18"/>
          <w:szCs w:val="18"/>
          <w:color w:val="auto"/>
        </w:rPr>
      </w:pPr>
    </w:p>
    <w:p>
      <w:pPr>
        <w:ind w:left="314" w:hanging="314"/>
        <w:spacing w:after="0"/>
        <w:tabs>
          <w:tab w:leader="none" w:pos="3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w:t>
      </w:r>
    </w:p>
    <w:p>
      <w:pPr>
        <w:spacing w:after="0" w:line="191" w:lineRule="exact"/>
        <w:rPr>
          <w:rFonts w:ascii="Arial" w:cs="Arial" w:eastAsia="Arial" w:hAnsi="Arial"/>
          <w:sz w:val="18"/>
          <w:szCs w:val="18"/>
          <w:color w:val="auto"/>
        </w:rPr>
      </w:pPr>
    </w:p>
    <w:p>
      <w:pPr>
        <w:ind w:left="314" w:right="680"/>
        <w:spacing w:after="0" w:line="236" w:lineRule="auto"/>
        <w:rPr>
          <w:rFonts w:ascii="Arial" w:cs="Arial" w:eastAsia="Arial" w:hAnsi="Arial"/>
          <w:sz w:val="18"/>
          <w:szCs w:val="18"/>
          <w:color w:val="auto"/>
        </w:rPr>
      </w:pPr>
      <w:r>
        <w:rPr>
          <w:rFonts w:ascii="Arial" w:cs="Arial" w:eastAsia="Arial" w:hAnsi="Arial"/>
          <w:sz w:val="18"/>
          <w:szCs w:val="18"/>
          <w:color w:val="auto"/>
        </w:rPr>
        <w:t>Provisions are recognized when the Company has a present obligation (legal or constructive) as a result of a past event, and it is probable that resources embodying economic benefits will be required to settle said obligation and the amount can be reliable determined.</w:t>
      </w:r>
    </w:p>
    <w:p>
      <w:pPr>
        <w:spacing w:after="0" w:line="186" w:lineRule="exact"/>
        <w:rPr>
          <w:rFonts w:ascii="Arial" w:cs="Arial" w:eastAsia="Arial" w:hAnsi="Arial"/>
          <w:sz w:val="18"/>
          <w:szCs w:val="18"/>
          <w:color w:val="auto"/>
        </w:rPr>
      </w:pPr>
    </w:p>
    <w:p>
      <w:pPr>
        <w:jc w:val="both"/>
        <w:ind w:left="314" w:right="100"/>
        <w:spacing w:after="0" w:line="236" w:lineRule="auto"/>
        <w:rPr>
          <w:rFonts w:ascii="Arial" w:cs="Arial" w:eastAsia="Arial" w:hAnsi="Arial"/>
          <w:sz w:val="18"/>
          <w:szCs w:val="18"/>
          <w:color w:val="auto"/>
        </w:rPr>
      </w:pPr>
      <w:r>
        <w:rPr>
          <w:rFonts w:ascii="Arial" w:cs="Arial" w:eastAsia="Arial" w:hAnsi="Arial"/>
          <w:sz w:val="18"/>
          <w:szCs w:val="18"/>
          <w:color w:val="auto"/>
        </w:rPr>
        <w:t>The expense related to any provision is presented in the statement of income net of any reimbursement. If the effect of the time value of money is material, provisions are discounted using a current pre-tax rate that reflects, where appropriate, the specific risks of the liability. When discounting is used, the increase in the provision due to the passage of time is recognized as a finance cost.</w:t>
      </w:r>
    </w:p>
    <w:p>
      <w:pPr>
        <w:spacing w:after="0" w:line="186" w:lineRule="exact"/>
        <w:rPr>
          <w:rFonts w:ascii="Arial" w:cs="Arial" w:eastAsia="Arial" w:hAnsi="Arial"/>
          <w:sz w:val="18"/>
          <w:szCs w:val="18"/>
          <w:color w:val="auto"/>
        </w:rPr>
      </w:pPr>
    </w:p>
    <w:p>
      <w:pPr>
        <w:ind w:left="314" w:hanging="314"/>
        <w:spacing w:after="0"/>
        <w:tabs>
          <w:tab w:leader="none" w:pos="3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Contingencies -</w:t>
      </w:r>
    </w:p>
    <w:p>
      <w:pPr>
        <w:spacing w:after="0" w:line="191" w:lineRule="exact"/>
        <w:rPr>
          <w:rFonts w:ascii="Arial" w:cs="Arial" w:eastAsia="Arial" w:hAnsi="Arial"/>
          <w:sz w:val="18"/>
          <w:szCs w:val="18"/>
          <w:color w:val="auto"/>
        </w:rPr>
      </w:pPr>
    </w:p>
    <w:p>
      <w:pPr>
        <w:ind w:left="314" w:right="40"/>
        <w:spacing w:after="0" w:line="254" w:lineRule="auto"/>
        <w:rPr>
          <w:rFonts w:ascii="Arial" w:cs="Arial" w:eastAsia="Arial" w:hAnsi="Arial"/>
          <w:sz w:val="18"/>
          <w:szCs w:val="18"/>
          <w:color w:val="auto"/>
        </w:rPr>
      </w:pPr>
      <w:r>
        <w:rPr>
          <w:rFonts w:ascii="Arial" w:cs="Arial" w:eastAsia="Arial" w:hAnsi="Arial"/>
          <w:sz w:val="17"/>
          <w:szCs w:val="17"/>
          <w:color w:val="auto"/>
        </w:rPr>
        <w:t>Contingent liabilities are not recognized in the separate financial statements. These are disclosed in notes, unless the possibility of an outflow of resources is remote. Only those liabilities that comply with the provisions of note 3(i) are recognized. Contingent assets are not recorded in the separate financial statements; these are disclosed if it is probable that an inflow of economic benefits will take place.</w:t>
      </w:r>
    </w:p>
    <w:p>
      <w:pPr>
        <w:spacing w:after="0" w:line="176" w:lineRule="exact"/>
        <w:rPr>
          <w:rFonts w:ascii="Arial" w:cs="Arial" w:eastAsia="Arial" w:hAnsi="Arial"/>
          <w:sz w:val="18"/>
          <w:szCs w:val="18"/>
          <w:color w:val="auto"/>
        </w:rPr>
      </w:pPr>
    </w:p>
    <w:p>
      <w:pPr>
        <w:ind w:left="314" w:hanging="314"/>
        <w:spacing w:after="0"/>
        <w:tabs>
          <w:tab w:leader="none" w:pos="3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Income tax -</w:t>
      </w:r>
    </w:p>
    <w:p>
      <w:pPr>
        <w:spacing w:after="0" w:line="191" w:lineRule="exact"/>
        <w:rPr>
          <w:rFonts w:ascii="Arial" w:cs="Arial" w:eastAsia="Arial" w:hAnsi="Arial"/>
          <w:sz w:val="18"/>
          <w:szCs w:val="18"/>
          <w:color w:val="auto"/>
        </w:rPr>
      </w:pPr>
    </w:p>
    <w:p>
      <w:pPr>
        <w:ind w:left="314"/>
        <w:spacing w:after="0" w:line="249" w:lineRule="auto"/>
        <w:rPr>
          <w:rFonts w:ascii="Arial" w:cs="Arial" w:eastAsia="Arial" w:hAnsi="Arial"/>
          <w:sz w:val="18"/>
          <w:szCs w:val="18"/>
          <w:color w:val="auto"/>
        </w:rPr>
      </w:pPr>
      <w:r>
        <w:rPr>
          <w:rFonts w:ascii="Arial" w:cs="Arial" w:eastAsia="Arial" w:hAnsi="Arial"/>
          <w:sz w:val="17"/>
          <w:szCs w:val="17"/>
          <w:color w:val="auto"/>
        </w:rPr>
        <w:t>Deferred income tax reflects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the Company expect, to recover or settle the carrying amount of its assets and liabilities at the date of the separate statement of financial position.</w:t>
      </w:r>
    </w:p>
    <w:p>
      <w:pPr>
        <w:spacing w:after="0" w:line="181" w:lineRule="exact"/>
        <w:rPr>
          <w:rFonts w:ascii="Arial" w:cs="Arial" w:eastAsia="Arial" w:hAnsi="Arial"/>
          <w:sz w:val="18"/>
          <w:szCs w:val="18"/>
          <w:color w:val="auto"/>
        </w:rPr>
      </w:pPr>
    </w:p>
    <w:p>
      <w:pPr>
        <w:ind w:left="314" w:right="360"/>
        <w:spacing w:after="0" w:line="234" w:lineRule="auto"/>
        <w:rPr>
          <w:rFonts w:ascii="Arial" w:cs="Arial" w:eastAsia="Arial" w:hAnsi="Arial"/>
          <w:sz w:val="18"/>
          <w:szCs w:val="18"/>
          <w:color w:val="auto"/>
        </w:rPr>
      </w:pPr>
      <w:r>
        <w:rPr>
          <w:rFonts w:ascii="Arial" w:cs="Arial" w:eastAsia="Arial" w:hAnsi="Arial"/>
          <w:sz w:val="18"/>
          <w:szCs w:val="18"/>
          <w:color w:val="auto"/>
        </w:rPr>
        <w:t>The carrying amount of deferred tax assets and liabilities may change, even though there is no change in the amount of the related temporary differences, due to a change in the income tax rate. In this case, the resulting change in deferred tax, corresponding to the change in rate, will be recognized in profit or loss, except to the extent that it relates to items previously recognized outside of the separate statement of income (either in other comprehensive income or directly in equity).</w:t>
      </w:r>
    </w:p>
    <w:p>
      <w:pPr>
        <w:spacing w:after="0" w:line="188" w:lineRule="exact"/>
        <w:rPr>
          <w:rFonts w:ascii="Arial" w:cs="Arial" w:eastAsia="Arial" w:hAnsi="Arial"/>
          <w:sz w:val="18"/>
          <w:szCs w:val="18"/>
          <w:color w:val="auto"/>
        </w:rPr>
      </w:pPr>
    </w:p>
    <w:p>
      <w:pPr>
        <w:ind w:left="314" w:right="20"/>
        <w:spacing w:after="0" w:line="254" w:lineRule="auto"/>
        <w:rPr>
          <w:rFonts w:ascii="Arial" w:cs="Arial" w:eastAsia="Arial" w:hAnsi="Arial"/>
          <w:sz w:val="18"/>
          <w:szCs w:val="18"/>
          <w:color w:val="auto"/>
        </w:rPr>
      </w:pPr>
      <w:r>
        <w:rPr>
          <w:rFonts w:ascii="Arial" w:cs="Arial" w:eastAsia="Arial" w:hAnsi="Arial"/>
          <w:sz w:val="17"/>
          <w:szCs w:val="17"/>
          <w:color w:val="auto"/>
        </w:rPr>
        <w:t>Deferred tax assets and liabilities are recognized regardless of when the timing differences are likely to reverse. Deferred tax assets are recognized when it is likely to exist sufficient tax benefits for the application of temporary difference. At the date of the separate statement of financial position, the Company assess unrecognized deferred assets and the carrying amount of recognized deferred assets.</w:t>
      </w:r>
    </w:p>
    <w:p>
      <w:pPr>
        <w:spacing w:after="0" w:line="348" w:lineRule="exact"/>
        <w:rPr>
          <w:rFonts w:ascii="Arial" w:cs="Arial" w:eastAsia="Arial" w:hAnsi="Arial"/>
          <w:sz w:val="18"/>
          <w:szCs w:val="18"/>
          <w:color w:val="auto"/>
        </w:rPr>
      </w:pPr>
    </w:p>
    <w:p>
      <w:pPr>
        <w:ind w:left="5514" w:hanging="102"/>
        <w:spacing w:after="0"/>
        <w:tabs>
          <w:tab w:leader="none" w:pos="5514" w:val="left"/>
        </w:tabs>
        <w:numPr>
          <w:ilvl w:val="2"/>
          <w:numId w:val="22"/>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348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074"/>
          </w:cols>
          <w:pgMar w:left="326" w:top="338" w:right="499" w:bottom="1440" w:gutter="0" w:footer="0" w:header="0"/>
        </w:sectPr>
      </w:pPr>
    </w:p>
    <w:bookmarkStart w:id="31" w:name="page32"/>
    <w:bookmarkEnd w:id="31"/>
    <w:p>
      <w:pPr>
        <w:ind w:left="314" w:right="6540" w:hanging="314"/>
        <w:spacing w:after="0" w:line="468" w:lineRule="auto"/>
        <w:tabs>
          <w:tab w:leader="none" w:pos="3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Derivative financial instruments and hedge accounting - Trading -</w:t>
      </w:r>
    </w:p>
    <w:p>
      <w:pPr>
        <w:spacing w:after="0" w:line="2" w:lineRule="exact"/>
        <w:rPr>
          <w:rFonts w:ascii="Arial" w:cs="Arial" w:eastAsia="Arial" w:hAnsi="Arial"/>
          <w:sz w:val="18"/>
          <w:szCs w:val="18"/>
          <w:color w:val="auto"/>
        </w:rPr>
      </w:pPr>
    </w:p>
    <w:p>
      <w:pPr>
        <w:ind w:left="314" w:right="440"/>
        <w:spacing w:after="0" w:line="238" w:lineRule="auto"/>
        <w:rPr>
          <w:rFonts w:ascii="Arial" w:cs="Arial" w:eastAsia="Arial" w:hAnsi="Arial"/>
          <w:sz w:val="18"/>
          <w:szCs w:val="18"/>
          <w:color w:val="auto"/>
        </w:rPr>
      </w:pPr>
      <w:r>
        <w:rPr>
          <w:rFonts w:ascii="Arial" w:cs="Arial" w:eastAsia="Arial" w:hAnsi="Arial"/>
          <w:sz w:val="18"/>
          <w:szCs w:val="18"/>
          <w:color w:val="auto"/>
        </w:rPr>
        <w:t>Credicorp Ltd. negotiates derivative financial instruments in order to meet its costumers needs. Credicorp Ltd. may also take positions with the expectation of profiting from favorable movements in prices, rates or indexes.</w:t>
      </w:r>
    </w:p>
    <w:p>
      <w:pPr>
        <w:spacing w:after="0" w:line="187" w:lineRule="exact"/>
        <w:rPr>
          <w:rFonts w:ascii="Arial" w:cs="Arial" w:eastAsia="Arial" w:hAnsi="Arial"/>
          <w:sz w:val="18"/>
          <w:szCs w:val="18"/>
          <w:color w:val="auto"/>
        </w:rPr>
      </w:pPr>
    </w:p>
    <w:p>
      <w:pPr>
        <w:ind w:left="314" w:right="120"/>
        <w:spacing w:after="0" w:line="234" w:lineRule="auto"/>
        <w:rPr>
          <w:rFonts w:ascii="Arial" w:cs="Arial" w:eastAsia="Arial" w:hAnsi="Arial"/>
          <w:sz w:val="18"/>
          <w:szCs w:val="18"/>
          <w:color w:val="auto"/>
        </w:rPr>
      </w:pPr>
      <w:r>
        <w:rPr>
          <w:rFonts w:ascii="Arial" w:cs="Arial" w:eastAsia="Arial" w:hAnsi="Arial"/>
          <w:sz w:val="18"/>
          <w:szCs w:val="18"/>
          <w:color w:val="auto"/>
        </w:rPr>
        <w:t>Derivative financial instruments are initially recognized at fair value in the separate statement of financial position and subsequently are remeasured at fair value. Fair values are estimated based on the market exchange and interest rates. All derivatives are carried as assets when fair value is positive and as liabilities when fair value is negative. Gain and losses for changes in their fair value are recorded in the separate statement of income.</w:t>
      </w:r>
    </w:p>
    <w:p>
      <w:pPr>
        <w:spacing w:after="0" w:line="188" w:lineRule="exact"/>
        <w:rPr>
          <w:rFonts w:ascii="Arial" w:cs="Arial" w:eastAsia="Arial" w:hAnsi="Arial"/>
          <w:sz w:val="18"/>
          <w:szCs w:val="18"/>
          <w:color w:val="auto"/>
        </w:rPr>
      </w:pPr>
    </w:p>
    <w:p>
      <w:pPr>
        <w:ind w:left="314"/>
        <w:spacing w:after="0"/>
        <w:rPr>
          <w:rFonts w:ascii="Arial" w:cs="Arial" w:eastAsia="Arial" w:hAnsi="Arial"/>
          <w:sz w:val="18"/>
          <w:szCs w:val="18"/>
          <w:color w:val="auto"/>
        </w:rPr>
      </w:pPr>
      <w:r>
        <w:rPr>
          <w:rFonts w:ascii="Arial" w:cs="Arial" w:eastAsia="Arial" w:hAnsi="Arial"/>
          <w:sz w:val="18"/>
          <w:szCs w:val="18"/>
          <w:color w:val="auto"/>
        </w:rPr>
        <w:t>Hedging -</w:t>
      </w:r>
    </w:p>
    <w:p>
      <w:pPr>
        <w:spacing w:after="0" w:line="191" w:lineRule="exact"/>
        <w:rPr>
          <w:rFonts w:ascii="Arial" w:cs="Arial" w:eastAsia="Arial" w:hAnsi="Arial"/>
          <w:sz w:val="18"/>
          <w:szCs w:val="18"/>
          <w:color w:val="auto"/>
        </w:rPr>
      </w:pPr>
    </w:p>
    <w:p>
      <w:pPr>
        <w:ind w:left="314" w:right="800"/>
        <w:spacing w:after="0" w:line="238" w:lineRule="auto"/>
        <w:rPr>
          <w:rFonts w:ascii="Arial" w:cs="Arial" w:eastAsia="Arial" w:hAnsi="Arial"/>
          <w:sz w:val="18"/>
          <w:szCs w:val="18"/>
          <w:color w:val="auto"/>
        </w:rPr>
      </w:pPr>
      <w:r>
        <w:rPr>
          <w:rFonts w:ascii="Arial" w:cs="Arial" w:eastAsia="Arial" w:hAnsi="Arial"/>
          <w:sz w:val="18"/>
          <w:szCs w:val="18"/>
          <w:color w:val="auto"/>
        </w:rPr>
        <w:t>Credicorp Ltd. uses derivative instruments to manage exposures to interest rate and foreign currency. To manage particular risks, Credicorp Ltd. applies hedge accounting for transactions which meet the specified criteria.</w:t>
      </w:r>
    </w:p>
    <w:p>
      <w:pPr>
        <w:spacing w:after="0" w:line="187" w:lineRule="exact"/>
        <w:rPr>
          <w:rFonts w:ascii="Arial" w:cs="Arial" w:eastAsia="Arial" w:hAnsi="Arial"/>
          <w:sz w:val="18"/>
          <w:szCs w:val="18"/>
          <w:color w:val="auto"/>
        </w:rPr>
      </w:pPr>
    </w:p>
    <w:p>
      <w:pPr>
        <w:ind w:left="314"/>
        <w:spacing w:after="0"/>
        <w:rPr>
          <w:rFonts w:ascii="Arial" w:cs="Arial" w:eastAsia="Arial" w:hAnsi="Arial"/>
          <w:sz w:val="18"/>
          <w:szCs w:val="18"/>
          <w:color w:val="auto"/>
        </w:rPr>
      </w:pPr>
      <w:r>
        <w:rPr>
          <w:rFonts w:ascii="Arial" w:cs="Arial" w:eastAsia="Arial" w:hAnsi="Arial"/>
          <w:sz w:val="18"/>
          <w:szCs w:val="18"/>
          <w:color w:val="auto"/>
        </w:rPr>
        <w:t>In accordance with IFRS 9, to qualify as hedging operations, all the following conditions must be met:</w:t>
      </w:r>
    </w:p>
    <w:p>
      <w:pPr>
        <w:spacing w:after="0" w:line="191" w:lineRule="exact"/>
        <w:rPr>
          <w:rFonts w:ascii="Arial" w:cs="Arial" w:eastAsia="Arial" w:hAnsi="Arial"/>
          <w:sz w:val="18"/>
          <w:szCs w:val="18"/>
          <w:color w:val="auto"/>
        </w:rPr>
      </w:pPr>
    </w:p>
    <w:p>
      <w:pPr>
        <w:ind w:left="614" w:hanging="308"/>
        <w:spacing w:after="0" w:line="230" w:lineRule="auto"/>
        <w:tabs>
          <w:tab w:leader="none" w:pos="61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At the inception of the hedging relationship, there is a designation and formal documentation of the hedging relationship and the entity’s risk management objective and strategy for undertaking the hedging. That documentation will include identification of the hedging instrument, the hedged item, the nature of the risk being hedged, and how the entity will assess whether the hedging relationship meets hedge effectiveness requirements.</w:t>
      </w:r>
    </w:p>
    <w:p>
      <w:pPr>
        <w:spacing w:after="0" w:line="3" w:lineRule="exact"/>
        <w:rPr>
          <w:rFonts w:ascii="Arial" w:cs="Arial" w:eastAsia="Arial" w:hAnsi="Arial"/>
          <w:sz w:val="18"/>
          <w:szCs w:val="18"/>
          <w:color w:val="auto"/>
        </w:rPr>
      </w:pPr>
    </w:p>
    <w:p>
      <w:pPr>
        <w:ind w:left="614" w:hanging="308"/>
        <w:spacing w:after="0"/>
        <w:tabs>
          <w:tab w:leader="none" w:pos="614"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hedge relationship meets all of the following hedge effectiveness requirements:</w:t>
      </w:r>
    </w:p>
    <w:p>
      <w:pPr>
        <w:spacing w:after="0" w:line="183" w:lineRule="exact"/>
        <w:rPr>
          <w:rFonts w:ascii="Arial" w:cs="Arial" w:eastAsia="Arial" w:hAnsi="Arial"/>
          <w:sz w:val="18"/>
          <w:szCs w:val="18"/>
          <w:color w:val="auto"/>
        </w:rPr>
      </w:pPr>
    </w:p>
    <w:p>
      <w:pPr>
        <w:ind w:left="954" w:hanging="316"/>
        <w:spacing w:after="0"/>
        <w:tabs>
          <w:tab w:leader="none" w:pos="954"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There is an economic relationship between the hedged item and the hedging instrument.</w:t>
      </w:r>
    </w:p>
    <w:p>
      <w:pPr>
        <w:ind w:left="954" w:hanging="316"/>
        <w:spacing w:after="0" w:line="230" w:lineRule="auto"/>
        <w:tabs>
          <w:tab w:leader="none" w:pos="954"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effect of credit risk does not predominate over the changes in value that come from the economic relationship.</w:t>
      </w:r>
    </w:p>
    <w:p>
      <w:pPr>
        <w:ind w:left="954" w:right="240" w:hanging="316"/>
        <w:spacing w:after="0" w:line="265" w:lineRule="auto"/>
        <w:tabs>
          <w:tab w:leader="none" w:pos="954" w:val="left"/>
        </w:tabs>
        <w:numPr>
          <w:ilvl w:val="2"/>
          <w:numId w:val="23"/>
        </w:numPr>
        <w:rPr>
          <w:rFonts w:ascii="Arial" w:cs="Arial" w:eastAsia="Arial" w:hAnsi="Arial"/>
          <w:sz w:val="17"/>
          <w:szCs w:val="17"/>
          <w:color w:val="auto"/>
        </w:rPr>
      </w:pPr>
      <w:r>
        <w:rPr>
          <w:rFonts w:ascii="Arial" w:cs="Arial" w:eastAsia="Arial" w:hAnsi="Arial"/>
          <w:sz w:val="17"/>
          <w:szCs w:val="17"/>
          <w:color w:val="auto"/>
        </w:rPr>
        <w:t>The coverage ratio of the hedging relationship is the same as that derived from the amount of the hedged item that the entity actually hedges and the amount of the hedging instrument that the entity actually uses to hedge that amount of the hedged item.</w:t>
      </w:r>
    </w:p>
    <w:p>
      <w:pPr>
        <w:spacing w:after="0" w:line="166" w:lineRule="exact"/>
        <w:rPr>
          <w:sz w:val="20"/>
          <w:szCs w:val="20"/>
          <w:color w:val="auto"/>
        </w:rPr>
      </w:pPr>
    </w:p>
    <w:p>
      <w:pPr>
        <w:ind w:left="314"/>
        <w:spacing w:after="0"/>
        <w:rPr>
          <w:sz w:val="20"/>
          <w:szCs w:val="20"/>
          <w:color w:val="auto"/>
        </w:rPr>
      </w:pPr>
      <w:r>
        <w:rPr>
          <w:rFonts w:ascii="Arial" w:cs="Arial" w:eastAsia="Arial" w:hAnsi="Arial"/>
          <w:sz w:val="18"/>
          <w:szCs w:val="18"/>
          <w:color w:val="auto"/>
        </w:rPr>
        <w:t>The accounting treatment is established based on the nature of the hedged item and compliance with hedging criteria.</w:t>
      </w:r>
    </w:p>
    <w:p>
      <w:pPr>
        <w:spacing w:after="0" w:line="191" w:lineRule="exact"/>
        <w:rPr>
          <w:sz w:val="20"/>
          <w:szCs w:val="20"/>
          <w:color w:val="auto"/>
        </w:rPr>
      </w:pPr>
    </w:p>
    <w:p>
      <w:pPr>
        <w:ind w:left="694" w:hanging="322"/>
        <w:spacing w:after="0"/>
        <w:tabs>
          <w:tab w:leader="none" w:pos="6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flow hedges -</w:t>
      </w:r>
    </w:p>
    <w:p>
      <w:pPr>
        <w:spacing w:after="0" w:line="191" w:lineRule="exact"/>
        <w:rPr>
          <w:sz w:val="20"/>
          <w:szCs w:val="20"/>
          <w:color w:val="auto"/>
        </w:rPr>
      </w:pPr>
    </w:p>
    <w:p>
      <w:pPr>
        <w:ind w:left="614" w:right="60"/>
        <w:spacing w:after="0" w:line="234" w:lineRule="auto"/>
        <w:rPr>
          <w:sz w:val="20"/>
          <w:szCs w:val="20"/>
          <w:color w:val="auto"/>
        </w:rPr>
      </w:pPr>
      <w:r>
        <w:rPr>
          <w:rFonts w:ascii="Arial" w:cs="Arial" w:eastAsia="Arial" w:hAnsi="Arial"/>
          <w:sz w:val="18"/>
          <w:szCs w:val="18"/>
          <w:color w:val="auto"/>
        </w:rPr>
        <w:t>The effective portion of the accumulated gain or loss on the hedging instrument is recognized directly as part of other comprehensive income in “Cash flow hedge reserve” in the separate statement of changes in net equity, and it is reclassified to the separate statement of income in the same period or periods in which the covered operation affects results; that is, when income or financial expenses related with coverage are registered, or when a forecasted transaction occurs.</w:t>
      </w:r>
    </w:p>
    <w:p>
      <w:pPr>
        <w:spacing w:after="0" w:line="189" w:lineRule="exact"/>
        <w:rPr>
          <w:sz w:val="20"/>
          <w:szCs w:val="20"/>
          <w:color w:val="auto"/>
        </w:rPr>
      </w:pPr>
    </w:p>
    <w:p>
      <w:pPr>
        <w:ind w:left="614" w:right="160"/>
        <w:spacing w:after="0" w:line="238" w:lineRule="auto"/>
        <w:rPr>
          <w:sz w:val="20"/>
          <w:szCs w:val="20"/>
          <w:color w:val="auto"/>
        </w:rPr>
      </w:pPr>
      <w:r>
        <w:rPr>
          <w:rFonts w:ascii="Arial" w:cs="Arial" w:eastAsia="Arial" w:hAnsi="Arial"/>
          <w:sz w:val="18"/>
          <w:szCs w:val="18"/>
          <w:color w:val="auto"/>
        </w:rPr>
        <w:t>The part of the gain or loss in derivatives that represents the ineffective portion is recognized immediately in the separate statement of income.</w:t>
      </w:r>
    </w:p>
    <w:p>
      <w:pPr>
        <w:spacing w:after="0" w:line="187" w:lineRule="exact"/>
        <w:rPr>
          <w:sz w:val="20"/>
          <w:szCs w:val="20"/>
          <w:color w:val="auto"/>
        </w:rPr>
      </w:pPr>
    </w:p>
    <w:p>
      <w:pPr>
        <w:ind w:left="614" w:right="180"/>
        <w:spacing w:after="0" w:line="238" w:lineRule="auto"/>
        <w:rPr>
          <w:sz w:val="20"/>
          <w:szCs w:val="20"/>
          <w:color w:val="auto"/>
        </w:rPr>
      </w:pPr>
      <w:r>
        <w:rPr>
          <w:rFonts w:ascii="Arial" w:cs="Arial" w:eastAsia="Arial" w:hAnsi="Arial"/>
          <w:sz w:val="18"/>
          <w:szCs w:val="18"/>
          <w:color w:val="auto"/>
        </w:rPr>
        <w:t>Amounts originally recognized in other comprehensive income and subsequently reclassified to the separate statement of income are registered as expenses or income in the cases in which the hedged item is reported.</w:t>
      </w:r>
    </w:p>
    <w:p>
      <w:pPr>
        <w:spacing w:after="0" w:line="360"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34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14"/>
          </w:cols>
          <w:pgMar w:left="326" w:top="338" w:right="359" w:bottom="1440" w:gutter="0" w:footer="0" w:header="0"/>
        </w:sectPr>
      </w:pPr>
    </w:p>
    <w:bookmarkStart w:id="32" w:name="page33"/>
    <w:bookmarkEnd w:id="32"/>
    <w:p>
      <w:pPr>
        <w:ind w:left="314"/>
        <w:spacing w:after="0" w:line="234" w:lineRule="auto"/>
        <w:rPr>
          <w:sz w:val="20"/>
          <w:szCs w:val="20"/>
          <w:color w:val="auto"/>
        </w:rPr>
      </w:pPr>
      <w:r>
        <w:rPr>
          <w:rFonts w:ascii="Arial" w:cs="Arial" w:eastAsia="Arial" w:hAnsi="Arial"/>
          <w:sz w:val="18"/>
          <w:szCs w:val="18"/>
          <w:color w:val="auto"/>
        </w:rPr>
        <w:t>If the forecasted transaction or firm commitment is no longer expected to occur, the accumulated gain or loss previously recognized in the cash flow hedge reserve is transferred to the separate statement of income. If the hedging instrument expires or is sold, terminated or exercised without replacement or rollover, or if its designation as a hedge is revoked, any unrealized accumulated gain or loss previously in the cash flow hedge reserve remains in said reserve until the planned transaction or firm commitment affects profit or loss. At the same time, the derivative is recorded as a trading derivative.</w:t>
      </w:r>
    </w:p>
    <w:p>
      <w:pPr>
        <w:spacing w:after="0" w:line="186" w:lineRule="exact"/>
        <w:rPr>
          <w:sz w:val="20"/>
          <w:szCs w:val="20"/>
          <w:color w:val="auto"/>
        </w:rPr>
      </w:pPr>
    </w:p>
    <w:p>
      <w:pPr>
        <w:ind w:left="314" w:hanging="314"/>
        <w:spacing w:after="0"/>
        <w:tabs>
          <w:tab w:leader="none" w:pos="3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Fair value hedges -</w:t>
      </w:r>
    </w:p>
    <w:p>
      <w:pPr>
        <w:spacing w:after="0" w:line="191" w:lineRule="exact"/>
        <w:rPr>
          <w:rFonts w:ascii="Arial" w:cs="Arial" w:eastAsia="Arial" w:hAnsi="Arial"/>
          <w:sz w:val="18"/>
          <w:szCs w:val="18"/>
          <w:color w:val="auto"/>
        </w:rPr>
      </w:pPr>
    </w:p>
    <w:p>
      <w:pPr>
        <w:ind w:left="314" w:right="300"/>
        <w:spacing w:after="0" w:line="238" w:lineRule="auto"/>
        <w:rPr>
          <w:rFonts w:ascii="Arial" w:cs="Arial" w:eastAsia="Arial" w:hAnsi="Arial"/>
          <w:sz w:val="18"/>
          <w:szCs w:val="18"/>
          <w:color w:val="auto"/>
        </w:rPr>
      </w:pPr>
      <w:r>
        <w:rPr>
          <w:rFonts w:ascii="Arial" w:cs="Arial" w:eastAsia="Arial" w:hAnsi="Arial"/>
          <w:sz w:val="18"/>
          <w:szCs w:val="18"/>
          <w:color w:val="auto"/>
        </w:rPr>
        <w:t>The change in the fair value of a fair value hedge and the change in the fair value of the hedged item attributable to the risk hedged are recorded as a part of the carrying value of the hedged item and recognized in the separate statement of income.</w:t>
      </w:r>
    </w:p>
    <w:p>
      <w:pPr>
        <w:spacing w:after="0" w:line="187" w:lineRule="exact"/>
        <w:rPr>
          <w:rFonts w:ascii="Arial" w:cs="Arial" w:eastAsia="Arial" w:hAnsi="Arial"/>
          <w:sz w:val="18"/>
          <w:szCs w:val="18"/>
          <w:color w:val="auto"/>
        </w:rPr>
      </w:pPr>
    </w:p>
    <w:p>
      <w:pPr>
        <w:ind w:left="314"/>
        <w:spacing w:after="0" w:line="234" w:lineRule="auto"/>
        <w:rPr>
          <w:rFonts w:ascii="Arial" w:cs="Arial" w:eastAsia="Arial" w:hAnsi="Arial"/>
          <w:sz w:val="18"/>
          <w:szCs w:val="18"/>
          <w:color w:val="auto"/>
        </w:rPr>
      </w:pPr>
      <w:r>
        <w:rPr>
          <w:rFonts w:ascii="Arial" w:cs="Arial" w:eastAsia="Arial" w:hAnsi="Arial"/>
          <w:sz w:val="18"/>
          <w:szCs w:val="18"/>
          <w:color w:val="auto"/>
        </w:rPr>
        <w:t>For fair value hedges relating to items carried at amortized cost, any adjustment to the carrying amount of these items, as a result of discontinuation of the hedge, will be amortized through the separate statement of income over the remaining life of the hedge. Amortization may begin as soon as an adjustment exists and no later than when the hedged item ceases to be adjusted for changes in its fair value attributable to the risk being hedged.</w:t>
      </w:r>
    </w:p>
    <w:p>
      <w:pPr>
        <w:spacing w:after="0" w:line="188" w:lineRule="exact"/>
        <w:rPr>
          <w:rFonts w:ascii="Arial" w:cs="Arial" w:eastAsia="Arial" w:hAnsi="Arial"/>
          <w:sz w:val="18"/>
          <w:szCs w:val="18"/>
          <w:color w:val="auto"/>
        </w:rPr>
      </w:pPr>
    </w:p>
    <w:p>
      <w:pPr>
        <w:ind w:left="314"/>
        <w:spacing w:after="0"/>
        <w:rPr>
          <w:rFonts w:ascii="Arial" w:cs="Arial" w:eastAsia="Arial" w:hAnsi="Arial"/>
          <w:sz w:val="18"/>
          <w:szCs w:val="18"/>
          <w:color w:val="auto"/>
        </w:rPr>
      </w:pPr>
      <w:r>
        <w:rPr>
          <w:rFonts w:ascii="Arial" w:cs="Arial" w:eastAsia="Arial" w:hAnsi="Arial"/>
          <w:sz w:val="18"/>
          <w:szCs w:val="18"/>
          <w:color w:val="auto"/>
        </w:rPr>
        <w:t>If the hedged item is derecognized, the unamortized fair value is recognized immediately in the separate statement of income.</w:t>
      </w:r>
    </w:p>
    <w:p>
      <w:pPr>
        <w:spacing w:after="0" w:line="191" w:lineRule="exact"/>
        <w:rPr>
          <w:rFonts w:ascii="Arial" w:cs="Arial" w:eastAsia="Arial" w:hAnsi="Arial"/>
          <w:sz w:val="18"/>
          <w:szCs w:val="18"/>
          <w:color w:val="auto"/>
        </w:rPr>
      </w:pPr>
    </w:p>
    <w:p>
      <w:pPr>
        <w:ind w:left="314"/>
        <w:spacing w:after="0" w:line="249" w:lineRule="auto"/>
        <w:rPr>
          <w:rFonts w:ascii="Arial" w:cs="Arial" w:eastAsia="Arial" w:hAnsi="Arial"/>
          <w:sz w:val="18"/>
          <w:szCs w:val="18"/>
          <w:color w:val="auto"/>
        </w:rPr>
      </w:pPr>
      <w:r>
        <w:rPr>
          <w:rFonts w:ascii="Arial" w:cs="Arial" w:eastAsia="Arial" w:hAnsi="Arial"/>
          <w:sz w:val="17"/>
          <w:szCs w:val="17"/>
          <w:color w:val="auto"/>
        </w:rPr>
        <w:t>The hedge relationship is terminated when the hedging instrument expires or is sold, terminated or exercised, or when the hedge no longer meets the criteria for hedge accounting, the hedge relationship is terminated. For fair value hedges related to items recorded at amortized cost, the difference between the carrying value of the hedged item on termination and the face value is amortized over the remaining term of the original hedge using the effective interest rate. If the hedged item is derecognized, the unamortized fair value adjustment is recognized immediately in the separate statement of income. At the same time, the derivative is recorded as a trading derivative.</w:t>
      </w:r>
    </w:p>
    <w:p>
      <w:pPr>
        <w:spacing w:after="0" w:line="181" w:lineRule="exact"/>
        <w:rPr>
          <w:rFonts w:ascii="Arial" w:cs="Arial" w:eastAsia="Arial" w:hAnsi="Arial"/>
          <w:sz w:val="18"/>
          <w:szCs w:val="18"/>
          <w:color w:val="auto"/>
        </w:rPr>
      </w:pPr>
    </w:p>
    <w:p>
      <w:pPr>
        <w:ind w:left="314" w:hanging="314"/>
        <w:spacing w:after="0"/>
        <w:tabs>
          <w:tab w:leader="none" w:pos="3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Hedges of net investments in foreign businesses -</w:t>
      </w:r>
    </w:p>
    <w:p>
      <w:pPr>
        <w:spacing w:after="0" w:line="191" w:lineRule="exact"/>
        <w:rPr>
          <w:rFonts w:ascii="Arial" w:cs="Arial" w:eastAsia="Arial" w:hAnsi="Arial"/>
          <w:sz w:val="18"/>
          <w:szCs w:val="18"/>
          <w:color w:val="auto"/>
        </w:rPr>
      </w:pPr>
    </w:p>
    <w:p>
      <w:pPr>
        <w:ind w:left="314"/>
        <w:spacing w:after="0"/>
        <w:rPr>
          <w:rFonts w:ascii="Arial" w:cs="Arial" w:eastAsia="Arial" w:hAnsi="Arial"/>
          <w:sz w:val="18"/>
          <w:szCs w:val="18"/>
          <w:color w:val="auto"/>
        </w:rPr>
      </w:pPr>
      <w:r>
        <w:rPr>
          <w:rFonts w:ascii="Arial" w:cs="Arial" w:eastAsia="Arial" w:hAnsi="Arial"/>
          <w:sz w:val="18"/>
          <w:szCs w:val="18"/>
          <w:color w:val="auto"/>
        </w:rPr>
        <w:t>Hedges of net investments in foreign operations are recognized for in a similar manner to cash flow hedges.</w:t>
      </w:r>
    </w:p>
    <w:p>
      <w:pPr>
        <w:spacing w:after="0" w:line="191" w:lineRule="exact"/>
        <w:rPr>
          <w:rFonts w:ascii="Arial" w:cs="Arial" w:eastAsia="Arial" w:hAnsi="Arial"/>
          <w:sz w:val="18"/>
          <w:szCs w:val="18"/>
          <w:color w:val="auto"/>
        </w:rPr>
      </w:pPr>
    </w:p>
    <w:p>
      <w:pPr>
        <w:ind w:left="314" w:right="300"/>
        <w:spacing w:after="0" w:line="234" w:lineRule="auto"/>
        <w:rPr>
          <w:rFonts w:ascii="Arial" w:cs="Arial" w:eastAsia="Arial" w:hAnsi="Arial"/>
          <w:sz w:val="18"/>
          <w:szCs w:val="18"/>
          <w:color w:val="auto"/>
        </w:rPr>
      </w:pPr>
      <w:r>
        <w:rPr>
          <w:rFonts w:ascii="Arial" w:cs="Arial" w:eastAsia="Arial" w:hAnsi="Arial"/>
          <w:sz w:val="18"/>
          <w:szCs w:val="18"/>
          <w:color w:val="auto"/>
        </w:rPr>
        <w:t>Any gain or loss on the hedging instrument related to the effective portion of the hedge is recognized in other comprehensive income and accumulated in the caption “Exchange differences on translation of foreign operations” of the separate statement of changes in net equity. The gain or loss related to the ineffective portion is recognized immediately in the separate statement of income under “Other income” or “Other expenses”.</w:t>
      </w:r>
    </w:p>
    <w:p>
      <w:pPr>
        <w:spacing w:after="0" w:line="188" w:lineRule="exact"/>
        <w:rPr>
          <w:rFonts w:ascii="Arial" w:cs="Arial" w:eastAsia="Arial" w:hAnsi="Arial"/>
          <w:sz w:val="18"/>
          <w:szCs w:val="18"/>
          <w:color w:val="auto"/>
        </w:rPr>
      </w:pPr>
    </w:p>
    <w:p>
      <w:pPr>
        <w:ind w:left="314" w:right="380"/>
        <w:spacing w:after="0" w:line="238" w:lineRule="auto"/>
        <w:rPr>
          <w:rFonts w:ascii="Arial" w:cs="Arial" w:eastAsia="Arial" w:hAnsi="Arial"/>
          <w:sz w:val="18"/>
          <w:szCs w:val="18"/>
          <w:color w:val="auto"/>
        </w:rPr>
      </w:pPr>
      <w:r>
        <w:rPr>
          <w:rFonts w:ascii="Arial" w:cs="Arial" w:eastAsia="Arial" w:hAnsi="Arial"/>
          <w:sz w:val="18"/>
          <w:szCs w:val="18"/>
          <w:color w:val="auto"/>
        </w:rPr>
        <w:t>Accumulated gains and losses in the separate statement of changes in net equity are reclassified to the separate statement of income when the net investment abroad is disposed or sold partially.</w:t>
      </w:r>
    </w:p>
    <w:p>
      <w:pPr>
        <w:spacing w:after="0" w:line="359" w:lineRule="exact"/>
        <w:rPr>
          <w:rFonts w:ascii="Arial" w:cs="Arial" w:eastAsia="Arial" w:hAnsi="Arial"/>
          <w:sz w:val="18"/>
          <w:szCs w:val="18"/>
          <w:color w:val="auto"/>
        </w:rPr>
      </w:pPr>
    </w:p>
    <w:p>
      <w:pPr>
        <w:ind w:left="5514" w:hanging="102"/>
        <w:spacing w:after="0"/>
        <w:tabs>
          <w:tab w:leader="none" w:pos="5514" w:val="left"/>
        </w:tabs>
        <w:numPr>
          <w:ilvl w:val="1"/>
          <w:numId w:val="25"/>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348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74"/>
          </w:cols>
          <w:pgMar w:left="326" w:top="338"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m) Fair value measurement -</w:t>
      </w:r>
    </w:p>
    <w:p>
      <w:pPr>
        <w:spacing w:after="0" w:line="191" w:lineRule="exact"/>
        <w:rPr>
          <w:sz w:val="20"/>
          <w:szCs w:val="20"/>
          <w:color w:val="auto"/>
        </w:rPr>
      </w:pPr>
    </w:p>
    <w:p>
      <w:pPr>
        <w:ind w:left="380"/>
        <w:spacing w:after="0" w:line="236"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78" w:lineRule="exact"/>
        <w:rPr>
          <w:sz w:val="20"/>
          <w:szCs w:val="20"/>
          <w:color w:val="auto"/>
        </w:rPr>
      </w:pPr>
    </w:p>
    <w:p>
      <w:pPr>
        <w:ind w:left="620" w:hanging="295"/>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ind w:left="620" w:hanging="295"/>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absence of a principal market, in the most advantageous market for the asset or liability.</w:t>
      </w:r>
    </w:p>
    <w:p>
      <w:pPr>
        <w:spacing w:after="0" w:line="191" w:lineRule="exact"/>
        <w:rPr>
          <w:sz w:val="20"/>
          <w:szCs w:val="20"/>
          <w:color w:val="auto"/>
        </w:rPr>
      </w:pPr>
    </w:p>
    <w:p>
      <w:pPr>
        <w:ind w:left="320" w:right="280"/>
        <w:spacing w:after="0" w:line="238" w:lineRule="auto"/>
        <w:rPr>
          <w:sz w:val="20"/>
          <w:szCs w:val="20"/>
          <w:color w:val="auto"/>
        </w:rPr>
      </w:pPr>
      <w:r>
        <w:rPr>
          <w:rFonts w:ascii="Arial" w:cs="Arial" w:eastAsia="Arial" w:hAnsi="Arial"/>
          <w:sz w:val="18"/>
          <w:szCs w:val="18"/>
          <w:color w:val="auto"/>
        </w:rPr>
        <w:t>The principal or the most advantageous market must be accessible by the Company. Also, the fair value of a liability reflects its non-performance risk.</w:t>
      </w:r>
    </w:p>
    <w:p>
      <w:pPr>
        <w:spacing w:after="0" w:line="187" w:lineRule="exact"/>
        <w:rPr>
          <w:sz w:val="20"/>
          <w:szCs w:val="20"/>
          <w:color w:val="auto"/>
        </w:rPr>
      </w:pPr>
    </w:p>
    <w:p>
      <w:pPr>
        <w:ind w:left="320"/>
        <w:spacing w:after="0" w:line="236" w:lineRule="auto"/>
        <w:rPr>
          <w:sz w:val="20"/>
          <w:szCs w:val="20"/>
          <w:color w:val="auto"/>
        </w:rPr>
      </w:pPr>
      <w:r>
        <w:rPr>
          <w:rFonts w:ascii="Arial" w:cs="Arial" w:eastAsia="Arial" w:hAnsi="Arial"/>
          <w:sz w:val="18"/>
          <w:szCs w:val="18"/>
          <w:color w:val="auto"/>
        </w:rPr>
        <w:t>When available, the Company measures the fair value of an instrument using the quoted price in an active market for that instrument. A market is regarded as active if transactions for the asset or liability take place with sufficient frequency and volume to provide pricing information on an ongoing basis.</w:t>
      </w:r>
    </w:p>
    <w:p>
      <w:pPr>
        <w:spacing w:after="0" w:line="186" w:lineRule="exact"/>
        <w:rPr>
          <w:sz w:val="20"/>
          <w:szCs w:val="20"/>
          <w:color w:val="auto"/>
        </w:rPr>
      </w:pPr>
    </w:p>
    <w:p>
      <w:pPr>
        <w:ind w:left="320" w:right="780"/>
        <w:spacing w:after="0" w:line="238" w:lineRule="auto"/>
        <w:rPr>
          <w:sz w:val="20"/>
          <w:szCs w:val="20"/>
          <w:color w:val="auto"/>
        </w:rPr>
      </w:pPr>
      <w:r>
        <w:rPr>
          <w:rFonts w:ascii="Arial" w:cs="Arial" w:eastAsia="Arial" w:hAnsi="Arial"/>
          <w:sz w:val="18"/>
          <w:szCs w:val="18"/>
          <w:color w:val="auto"/>
        </w:rPr>
        <w:t>If there is no quoted price in an active market, then the Company uses valuation techniques that maximize the use of relevant observable inputs and minimize the use of unobservable inputs.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chosen valuation technique incorporates all of the factors that market participants would take into account in pricing a transaction.</w:t>
      </w:r>
    </w:p>
    <w:p>
      <w:pPr>
        <w:spacing w:after="0" w:line="203" w:lineRule="exact"/>
        <w:rPr>
          <w:sz w:val="20"/>
          <w:szCs w:val="20"/>
          <w:color w:val="auto"/>
        </w:rPr>
      </w:pPr>
    </w:p>
    <w:p>
      <w:pPr>
        <w:jc w:val="both"/>
        <w:ind w:left="320" w:right="100"/>
        <w:spacing w:after="0" w:line="236" w:lineRule="auto"/>
        <w:rPr>
          <w:sz w:val="20"/>
          <w:szCs w:val="20"/>
          <w:color w:val="auto"/>
        </w:rPr>
      </w:pPr>
      <w:r>
        <w:rPr>
          <w:rFonts w:ascii="Arial" w:cs="Arial" w:eastAsia="Arial" w:hAnsi="Arial"/>
          <w:sz w:val="18"/>
          <w:szCs w:val="18"/>
          <w:color w:val="auto"/>
        </w:rPr>
        <w:t>All assets and liabilities for which fair value is measured or disclosed in the separate financial statements are categorized within the fair value hierarchy, described as follows, based on the lowest level of input used that is significant to the fair value measurement as a whole:</w:t>
      </w:r>
    </w:p>
    <w:p>
      <w:pPr>
        <w:spacing w:after="0" w:line="178" w:lineRule="exact"/>
        <w:rPr>
          <w:sz w:val="20"/>
          <w:szCs w:val="20"/>
          <w:color w:val="auto"/>
        </w:rPr>
      </w:pPr>
    </w:p>
    <w:p>
      <w:pPr>
        <w:ind w:left="680" w:hanging="302"/>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1: Quoted (unadjusted) market prices in active markets for identical assets or liabilities.</w:t>
      </w:r>
    </w:p>
    <w:p>
      <w:pPr>
        <w:ind w:left="680" w:right="100" w:hanging="302"/>
        <w:spacing w:after="0" w:line="230"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2: Valuation techniques for which the lowest level input that is significant to the fair value measurement is directly or indirectly observable.</w:t>
      </w:r>
    </w:p>
    <w:p>
      <w:pPr>
        <w:spacing w:after="0" w:line="1" w:lineRule="exact"/>
        <w:rPr>
          <w:rFonts w:ascii="Arial" w:cs="Arial" w:eastAsia="Arial" w:hAnsi="Arial"/>
          <w:sz w:val="18"/>
          <w:szCs w:val="18"/>
          <w:color w:val="auto"/>
        </w:rPr>
      </w:pPr>
    </w:p>
    <w:p>
      <w:pPr>
        <w:ind w:left="680" w:hanging="302"/>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3: Valuation techniques for which the lowest level input that is significant to the fair value measurement is unobservable.</w:t>
      </w:r>
    </w:p>
    <w:p>
      <w:pPr>
        <w:spacing w:after="0" w:line="191" w:lineRule="exact"/>
        <w:rPr>
          <w:sz w:val="20"/>
          <w:szCs w:val="20"/>
          <w:color w:val="auto"/>
        </w:rPr>
      </w:pPr>
    </w:p>
    <w:p>
      <w:pPr>
        <w:ind w:left="320"/>
        <w:spacing w:after="0" w:line="236" w:lineRule="auto"/>
        <w:rPr>
          <w:sz w:val="20"/>
          <w:szCs w:val="20"/>
          <w:color w:val="auto"/>
        </w:rPr>
      </w:pPr>
      <w:r>
        <w:rPr>
          <w:rFonts w:ascii="Arial" w:cs="Arial" w:eastAsia="Arial" w:hAnsi="Arial"/>
          <w:sz w:val="18"/>
          <w:szCs w:val="18"/>
          <w:color w:val="auto"/>
        </w:rPr>
        <w:t>For assets and liabilities that are recognized at fair value in the separate financial statements on a recurring basis, the Company determines whether transfers have occurred between levels in the hierarchy by re-assessing categorization at the end of each reporting period.</w:t>
      </w:r>
    </w:p>
    <w:p>
      <w:pPr>
        <w:spacing w:after="0" w:line="186" w:lineRule="exact"/>
        <w:rPr>
          <w:sz w:val="20"/>
          <w:szCs w:val="20"/>
          <w:color w:val="auto"/>
        </w:rPr>
      </w:pPr>
    </w:p>
    <w:p>
      <w:pPr>
        <w:ind w:left="320" w:right="480"/>
        <w:spacing w:after="0" w:line="238" w:lineRule="auto"/>
        <w:rPr>
          <w:sz w:val="20"/>
          <w:szCs w:val="20"/>
          <w:color w:val="auto"/>
        </w:rPr>
      </w:pPr>
      <w:r>
        <w:rPr>
          <w:rFonts w:ascii="Arial" w:cs="Arial" w:eastAsia="Arial" w:hAnsi="Arial"/>
          <w:sz w:val="18"/>
          <w:szCs w:val="18"/>
          <w:color w:val="auto"/>
        </w:rPr>
        <w:t>For the purpose of fair value disclosures, the Company has determined classes of assets and liabilities on the basis of the nature, characteristics and risks of the asset or liability and the level of the fair value hierarchy as explained above.</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2022 and 2021, the financial instruments held by the company have a Level 1 fair value hierarchy.</w:t>
      </w:r>
    </w:p>
    <w:p>
      <w:pPr>
        <w:spacing w:after="0" w:line="191" w:lineRule="exact"/>
        <w:rPr>
          <w:sz w:val="20"/>
          <w:szCs w:val="20"/>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and cash equivalents -</w:t>
      </w:r>
    </w:p>
    <w:p>
      <w:pPr>
        <w:spacing w:after="0" w:line="191" w:lineRule="exact"/>
        <w:rPr>
          <w:rFonts w:ascii="Arial" w:cs="Arial" w:eastAsia="Arial" w:hAnsi="Arial"/>
          <w:sz w:val="18"/>
          <w:szCs w:val="18"/>
          <w:color w:val="auto"/>
        </w:rPr>
      </w:pPr>
    </w:p>
    <w:p>
      <w:pPr>
        <w:ind w:left="320" w:right="20"/>
        <w:spacing w:after="0" w:line="238" w:lineRule="auto"/>
        <w:rPr>
          <w:rFonts w:ascii="Arial" w:cs="Arial" w:eastAsia="Arial" w:hAnsi="Arial"/>
          <w:sz w:val="18"/>
          <w:szCs w:val="18"/>
          <w:color w:val="auto"/>
        </w:rPr>
      </w:pPr>
      <w:r>
        <w:rPr>
          <w:rFonts w:ascii="Arial" w:cs="Arial" w:eastAsia="Arial" w:hAnsi="Arial"/>
          <w:sz w:val="18"/>
          <w:szCs w:val="18"/>
          <w:color w:val="auto"/>
        </w:rPr>
        <w:t>For the purpose of the separate statement of cash flows, cash and cash equivalents comprise balances of cash, checking accounts and term deposits with maturities of three months or less from the date of acquisition.</w:t>
      </w:r>
    </w:p>
    <w:p>
      <w:pPr>
        <w:spacing w:after="0" w:line="187" w:lineRule="exact"/>
        <w:rPr>
          <w:rFonts w:ascii="Arial" w:cs="Arial" w:eastAsia="Arial" w:hAnsi="Arial"/>
          <w:sz w:val="18"/>
          <w:szCs w:val="18"/>
          <w:color w:val="auto"/>
        </w:rPr>
      </w:pPr>
    </w:p>
    <w:p>
      <w:pPr>
        <w:ind w:left="320" w:hanging="314"/>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International Financial Reporting Standards issued but not yet effective -</w:t>
      </w:r>
    </w:p>
    <w:p>
      <w:pPr>
        <w:spacing w:after="0" w:line="191" w:lineRule="exact"/>
        <w:rPr>
          <w:rFonts w:ascii="Arial" w:cs="Arial" w:eastAsia="Arial" w:hAnsi="Arial"/>
          <w:sz w:val="18"/>
          <w:szCs w:val="18"/>
          <w:color w:val="auto"/>
        </w:rPr>
      </w:pPr>
    </w:p>
    <w:p>
      <w:pPr>
        <w:ind w:left="320" w:right="40"/>
        <w:spacing w:after="0" w:line="238" w:lineRule="auto"/>
        <w:rPr>
          <w:rFonts w:ascii="Arial" w:cs="Arial" w:eastAsia="Arial" w:hAnsi="Arial"/>
          <w:sz w:val="18"/>
          <w:szCs w:val="18"/>
          <w:color w:val="auto"/>
        </w:rPr>
      </w:pPr>
      <w:r>
        <w:rPr>
          <w:rFonts w:ascii="Arial" w:cs="Arial" w:eastAsia="Arial" w:hAnsi="Arial"/>
          <w:sz w:val="18"/>
          <w:szCs w:val="18"/>
          <w:color w:val="auto"/>
        </w:rPr>
        <w:t>The Company decided not to early adopt the following standards and interpretations that were issued but are not effective as of December 31, 2022:</w:t>
      </w:r>
    </w:p>
    <w:p>
      <w:pPr>
        <w:spacing w:after="0" w:line="359" w:lineRule="exact"/>
        <w:rPr>
          <w:rFonts w:ascii="Arial" w:cs="Arial" w:eastAsia="Arial" w:hAnsi="Arial"/>
          <w:sz w:val="18"/>
          <w:szCs w:val="18"/>
          <w:color w:val="auto"/>
        </w:rPr>
      </w:pPr>
    </w:p>
    <w:p>
      <w:pPr>
        <w:ind w:left="5520" w:hanging="102"/>
        <w:spacing w:after="0"/>
        <w:tabs>
          <w:tab w:leader="none" w:pos="5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348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920"/>
          </w:cols>
          <w:pgMar w:left="320" w:top="338" w:right="659" w:bottom="1440" w:gutter="0" w:footer="0" w:header="0"/>
        </w:sectPr>
      </w:pPr>
    </w:p>
    <w:bookmarkStart w:id="34" w:name="page35"/>
    <w:bookmarkEnd w:id="34"/>
    <w:p>
      <w:pPr>
        <w:ind w:left="1194" w:right="400" w:hanging="317"/>
        <w:spacing w:after="0" w:line="230" w:lineRule="auto"/>
        <w:tabs>
          <w:tab w:leader="none" w:pos="11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IFRS 17 was issued in May 2017 as a replacement for IFRS 4 “Insurance Contracts”. This standard requires a current measurement model where estimates are remeasured in each reporting period, the IASB agreed to defer the effective date from financial statements beginning on January 1, 2023.</w:t>
      </w:r>
    </w:p>
    <w:p>
      <w:pPr>
        <w:spacing w:after="0" w:line="2" w:lineRule="exact"/>
        <w:rPr>
          <w:rFonts w:ascii="Arial" w:cs="Arial" w:eastAsia="Arial" w:hAnsi="Arial"/>
          <w:sz w:val="18"/>
          <w:szCs w:val="18"/>
          <w:color w:val="auto"/>
        </w:rPr>
      </w:pPr>
    </w:p>
    <w:p>
      <w:pPr>
        <w:ind w:left="1194" w:hanging="317"/>
        <w:spacing w:after="0" w:line="230" w:lineRule="auto"/>
        <w:tabs>
          <w:tab w:leader="none" w:pos="11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Disclosure of accounting policies - Amendments to IAS 1 and Practice Statement No. 2. These amendments will be effective for the annual period reported beginning on or before January 1, 2023 and anticipated adoption is permitted.</w:t>
      </w:r>
    </w:p>
    <w:p>
      <w:pPr>
        <w:spacing w:after="0" w:line="1" w:lineRule="exact"/>
        <w:rPr>
          <w:rFonts w:ascii="Arial" w:cs="Arial" w:eastAsia="Arial" w:hAnsi="Arial"/>
          <w:sz w:val="18"/>
          <w:szCs w:val="18"/>
          <w:color w:val="auto"/>
        </w:rPr>
      </w:pPr>
    </w:p>
    <w:p>
      <w:pPr>
        <w:ind w:left="1194" w:right="660" w:hanging="317"/>
        <w:spacing w:after="0" w:line="230" w:lineRule="auto"/>
        <w:tabs>
          <w:tab w:leader="none" w:pos="11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Amendments to IAS 8 - Definition of accounting estimates. Amendments will be in effect for the annual periods reported beginning on or after January 1, 2023 and anticipated adoption is permitted.</w:t>
      </w:r>
    </w:p>
    <w:p>
      <w:pPr>
        <w:spacing w:after="0" w:line="1" w:lineRule="exact"/>
        <w:rPr>
          <w:rFonts w:ascii="Arial" w:cs="Arial" w:eastAsia="Arial" w:hAnsi="Arial"/>
          <w:sz w:val="18"/>
          <w:szCs w:val="18"/>
          <w:color w:val="auto"/>
        </w:rPr>
      </w:pPr>
    </w:p>
    <w:p>
      <w:pPr>
        <w:ind w:left="1194" w:right="680" w:hanging="317"/>
        <w:spacing w:after="0" w:line="230" w:lineRule="auto"/>
        <w:tabs>
          <w:tab w:leader="none" w:pos="11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Amendments to IAS 12, Deferred tax related to assets and liabilities arising of a single transaction. Amendments will be effective for the annual reporting periods on or after January 1, 2023 and anticipated adoption is permitted.</w:t>
      </w:r>
    </w:p>
    <w:p>
      <w:pPr>
        <w:spacing w:after="0" w:line="1" w:lineRule="exact"/>
        <w:rPr>
          <w:rFonts w:ascii="Arial" w:cs="Arial" w:eastAsia="Arial" w:hAnsi="Arial"/>
          <w:sz w:val="18"/>
          <w:szCs w:val="18"/>
          <w:color w:val="auto"/>
        </w:rPr>
      </w:pPr>
    </w:p>
    <w:p>
      <w:pPr>
        <w:ind w:left="1194" w:right="440" w:hanging="317"/>
        <w:spacing w:after="0" w:line="234" w:lineRule="auto"/>
        <w:tabs>
          <w:tab w:leader="none" w:pos="119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Amendment to IFRS 10 and IAS 28 - Sale or contribution of assets that takes place an investor and its associate or joint venture. Amendments will be effective for the annual reporting periods on or after January 1, 2023 and should be applied retrospectively to articles of property, plant and equipment that are made available for use or after the beginning of the first period in which the entity first applies said change.</w:t>
      </w:r>
    </w:p>
    <w:p>
      <w:pPr>
        <w:spacing w:after="0" w:line="189" w:lineRule="exact"/>
        <w:rPr>
          <w:sz w:val="20"/>
          <w:szCs w:val="20"/>
          <w:color w:val="auto"/>
        </w:rPr>
      </w:pPr>
    </w:p>
    <w:p>
      <w:pPr>
        <w:ind w:left="894" w:right="480"/>
        <w:spacing w:after="0" w:line="238" w:lineRule="auto"/>
        <w:rPr>
          <w:sz w:val="20"/>
          <w:szCs w:val="20"/>
          <w:color w:val="auto"/>
        </w:rPr>
      </w:pPr>
      <w:r>
        <w:rPr>
          <w:rFonts w:ascii="Arial" w:cs="Arial" w:eastAsia="Arial" w:hAnsi="Arial"/>
          <w:sz w:val="18"/>
          <w:szCs w:val="18"/>
          <w:color w:val="auto"/>
        </w:rPr>
        <w:t>Management estimates that the application of new standards and amendments to current standards will not have a significant impact on the preparation of financial statements at the time they are adopted.</w:t>
      </w:r>
    </w:p>
    <w:p>
      <w:pPr>
        <w:spacing w:after="0" w:line="165" w:lineRule="exact"/>
        <w:rPr>
          <w:sz w:val="20"/>
          <w:szCs w:val="20"/>
          <w:color w:val="auto"/>
        </w:rPr>
      </w:pPr>
    </w:p>
    <w:p>
      <w:pPr>
        <w:ind w:left="634" w:hanging="634"/>
        <w:spacing w:after="0"/>
        <w:tabs>
          <w:tab w:leader="none" w:pos="63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13" w:lineRule="exact"/>
        <w:rPr>
          <w:rFonts w:ascii="Arial" w:cs="Arial" w:eastAsia="Arial" w:hAnsi="Arial"/>
          <w:sz w:val="18"/>
          <w:szCs w:val="18"/>
          <w:b w:val="1"/>
          <w:bCs w:val="1"/>
          <w:color w:val="auto"/>
        </w:rPr>
      </w:pPr>
    </w:p>
    <w:p>
      <w:pPr>
        <w:ind w:left="634" w:right="2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Credicorp Ltd. has current accounts with Banco de Crédito del Perú and ASB Bank Corp, which are denominated in soles and U.S. dollars; they are cash in hand and accrue interest at market rates.</w:t>
      </w:r>
    </w:p>
    <w:p>
      <w:pPr>
        <w:spacing w:after="0" w:line="187" w:lineRule="exact"/>
        <w:rPr>
          <w:sz w:val="20"/>
          <w:szCs w:val="20"/>
          <w:color w:val="auto"/>
        </w:rPr>
      </w:pPr>
    </w:p>
    <w:p>
      <w:pPr>
        <w:ind w:left="634" w:right="360"/>
        <w:spacing w:after="0" w:line="238" w:lineRule="auto"/>
        <w:rPr>
          <w:sz w:val="20"/>
          <w:szCs w:val="20"/>
          <w:color w:val="auto"/>
        </w:rPr>
      </w:pPr>
      <w:r>
        <w:rPr>
          <w:rFonts w:ascii="Arial" w:cs="Arial" w:eastAsia="Arial" w:hAnsi="Arial"/>
          <w:sz w:val="18"/>
          <w:szCs w:val="18"/>
          <w:color w:val="auto"/>
        </w:rPr>
        <w:t>As of December 31, 2022 and 2021, Credicorp Ltd. has no current term deposits, however, during 2022, the interest income amounts to S/1.7 million (S/3.8 million as of December 31, 2021).</w:t>
      </w:r>
    </w:p>
    <w:p>
      <w:pPr>
        <w:spacing w:after="0" w:line="165" w:lineRule="exact"/>
        <w:rPr>
          <w:sz w:val="20"/>
          <w:szCs w:val="20"/>
          <w:color w:val="auto"/>
        </w:rPr>
      </w:pPr>
    </w:p>
    <w:tbl>
      <w:tblPr>
        <w:tblLayout w:type="fixed"/>
        <w:tblInd w:w="14" w:type="dxa"/>
        <w:tblCellMar>
          <w:top w:w="0" w:type="dxa"/>
          <w:left w:w="0" w:type="dxa"/>
          <w:bottom w:w="0" w:type="dxa"/>
          <w:right w:w="0" w:type="dxa"/>
        </w:tblCellMar>
      </w:tblPr>
      <w:tr>
        <w:trPr>
          <w:trHeight w:val="234"/>
        </w:trPr>
        <w:tc>
          <w:tcPr>
            <w:tcW w:w="360" w:type="dxa"/>
            <w:vAlign w:val="bottom"/>
          </w:tcPr>
          <w:p>
            <w:pPr>
              <w:jc w:val="right"/>
              <w:ind w:right="171"/>
              <w:spacing w:after="0"/>
              <w:rPr>
                <w:sz w:val="20"/>
                <w:szCs w:val="20"/>
                <w:color w:val="auto"/>
              </w:rPr>
            </w:pPr>
            <w:r>
              <w:rPr>
                <w:rFonts w:ascii="Arial" w:cs="Arial" w:eastAsia="Arial" w:hAnsi="Arial"/>
                <w:sz w:val="18"/>
                <w:szCs w:val="18"/>
                <w:b w:val="1"/>
                <w:bCs w:val="1"/>
                <w:color w:val="auto"/>
                <w:w w:val="79"/>
              </w:rPr>
              <w:t>5</w:t>
            </w:r>
          </w:p>
        </w:tc>
        <w:tc>
          <w:tcPr>
            <w:tcW w:w="6640" w:type="dxa"/>
            <w:vAlign w:val="bottom"/>
            <w:gridSpan w:val="2"/>
          </w:tcPr>
          <w:p>
            <w:pPr>
              <w:ind w:left="260"/>
              <w:spacing w:after="0"/>
              <w:rPr>
                <w:sz w:val="20"/>
                <w:szCs w:val="20"/>
                <w:color w:val="auto"/>
              </w:rPr>
            </w:pPr>
            <w:r>
              <w:rPr>
                <w:rFonts w:ascii="Arial" w:cs="Arial" w:eastAsia="Arial" w:hAnsi="Arial"/>
                <w:sz w:val="18"/>
                <w:szCs w:val="18"/>
                <w:b w:val="1"/>
                <w:bCs w:val="1"/>
                <w:color w:val="auto"/>
              </w:rPr>
              <w:t>INVESTMENTS</w:t>
            </w:r>
          </w:p>
        </w:tc>
        <w:tc>
          <w:tcPr>
            <w:tcW w:w="1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8"/>
        </w:trPr>
        <w:tc>
          <w:tcPr>
            <w:tcW w:w="360" w:type="dxa"/>
            <w:vAlign w:val="bottom"/>
          </w:tcPr>
          <w:p>
            <w:pPr>
              <w:spacing w:after="0"/>
              <w:rPr>
                <w:sz w:val="24"/>
                <w:szCs w:val="24"/>
                <w:color w:val="auto"/>
              </w:rPr>
            </w:pP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rPr>
              <w:t>The table below presents the components of this item:</w:t>
            </w: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8"/>
        </w:trPr>
        <w:tc>
          <w:tcPr>
            <w:tcW w:w="360" w:type="dxa"/>
            <w:vAlign w:val="bottom"/>
          </w:tcPr>
          <w:p>
            <w:pPr>
              <w:spacing w:after="0"/>
              <w:rPr>
                <w:sz w:val="24"/>
                <w:szCs w:val="24"/>
                <w:color w:val="auto"/>
              </w:rPr>
            </w:pPr>
          </w:p>
        </w:tc>
        <w:tc>
          <w:tcPr>
            <w:tcW w:w="6640" w:type="dxa"/>
            <w:vAlign w:val="bottom"/>
            <w:gridSpan w:val="2"/>
          </w:tcPr>
          <w:p>
            <w:pPr>
              <w:ind w:left="260"/>
              <w:spacing w:after="0"/>
              <w:rPr>
                <w:sz w:val="20"/>
                <w:szCs w:val="20"/>
                <w:color w:val="auto"/>
              </w:rPr>
            </w:pPr>
            <w:r>
              <w:rPr>
                <w:rFonts w:ascii="Arial" w:cs="Arial" w:eastAsia="Arial" w:hAnsi="Arial"/>
                <w:sz w:val="18"/>
                <w:szCs w:val="18"/>
                <w:color w:val="auto"/>
              </w:rPr>
              <w:t>a)  At fair value through profit or loss:</w:t>
            </w:r>
          </w:p>
        </w:tc>
        <w:tc>
          <w:tcPr>
            <w:tcW w:w="1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3"/>
        </w:trPr>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760" w:type="dxa"/>
            <w:vAlign w:val="bottom"/>
            <w:gridSpan w:val="2"/>
          </w:tcPr>
          <w:p>
            <w:pPr>
              <w:ind w:left="174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4"/>
                <w:szCs w:val="24"/>
                <w:color w:val="auto"/>
              </w:rPr>
            </w:pPr>
          </w:p>
        </w:tc>
      </w:tr>
      <w:tr>
        <w:trPr>
          <w:trHeight w:val="199"/>
        </w:trPr>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2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b w:val="1"/>
                <w:bCs w:val="1"/>
                <w:color w:val="auto"/>
              </w:rPr>
              <w:t>S/000</w:t>
            </w:r>
          </w:p>
        </w:tc>
        <w:tc>
          <w:tcPr>
            <w:tcW w:w="180" w:type="dxa"/>
            <w:vAlign w:val="bottom"/>
          </w:tcPr>
          <w:p>
            <w:pPr>
              <w:spacing w:after="0"/>
              <w:rPr>
                <w:sz w:val="17"/>
                <w:szCs w:val="17"/>
                <w:color w:val="auto"/>
              </w:rPr>
            </w:pPr>
          </w:p>
        </w:tc>
        <w:tc>
          <w:tcPr>
            <w:tcW w:w="1020" w:type="dxa"/>
            <w:vAlign w:val="bottom"/>
            <w:tcBorders>
              <w:top w:val="single" w:sz="8" w:color="auto"/>
            </w:tcBorders>
            <w:gridSpan w:val="2"/>
          </w:tcPr>
          <w:p>
            <w:pPr>
              <w:spacing w:after="0" w:line="199" w:lineRule="exact"/>
              <w:rPr>
                <w:sz w:val="20"/>
                <w:szCs w:val="20"/>
                <w:color w:val="auto"/>
              </w:rPr>
            </w:pPr>
            <w:r>
              <w:rPr>
                <w:rFonts w:ascii="Arial" w:cs="Arial" w:eastAsia="Arial" w:hAnsi="Arial"/>
                <w:sz w:val="18"/>
                <w:szCs w:val="18"/>
                <w:b w:val="1"/>
                <w:bCs w:val="1"/>
                <w:color w:val="auto"/>
              </w:rPr>
              <w:t>S/000</w:t>
            </w:r>
          </w:p>
        </w:tc>
        <w:tc>
          <w:tcPr>
            <w:tcW w:w="80" w:type="dxa"/>
            <w:vAlign w:val="bottom"/>
          </w:tcPr>
          <w:p>
            <w:pPr>
              <w:spacing w:after="0"/>
              <w:rPr>
                <w:sz w:val="17"/>
                <w:szCs w:val="17"/>
                <w:color w:val="auto"/>
              </w:rPr>
            </w:pPr>
          </w:p>
        </w:tc>
      </w:tr>
      <w:tr>
        <w:trPr>
          <w:trHeight w:val="199"/>
        </w:trPr>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6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Mutual Funds:</w:t>
            </w:r>
          </w:p>
        </w:tc>
        <w:tc>
          <w:tcPr>
            <w:tcW w:w="1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9"/>
        </w:trPr>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60" w:type="dxa"/>
            <w:vAlign w:val="bottom"/>
          </w:tcPr>
          <w:p>
            <w:pPr>
              <w:spacing w:after="0" w:line="199" w:lineRule="exact"/>
              <w:rPr>
                <w:sz w:val="20"/>
                <w:szCs w:val="20"/>
                <w:color w:val="auto"/>
              </w:rPr>
            </w:pPr>
            <w:r>
              <w:rPr>
                <w:rFonts w:ascii="Arial" w:cs="Arial" w:eastAsia="Arial" w:hAnsi="Arial"/>
                <w:sz w:val="18"/>
                <w:szCs w:val="18"/>
                <w:color w:val="auto"/>
              </w:rPr>
              <w:t>Bnp Paribas Insticash I ACC FO</w:t>
            </w:r>
          </w:p>
        </w:tc>
        <w:tc>
          <w:tcPr>
            <w:tcW w:w="2940" w:type="dxa"/>
            <w:vAlign w:val="bottom"/>
            <w:gridSpan w:val="3"/>
          </w:tcPr>
          <w:p>
            <w:pPr>
              <w:jc w:val="right"/>
              <w:ind w:right="180"/>
              <w:spacing w:after="0" w:line="199" w:lineRule="exact"/>
              <w:rPr>
                <w:sz w:val="20"/>
                <w:szCs w:val="20"/>
                <w:color w:val="auto"/>
              </w:rPr>
            </w:pPr>
            <w:r>
              <w:rPr>
                <w:rFonts w:ascii="Arial" w:cs="Arial" w:eastAsia="Arial" w:hAnsi="Arial"/>
                <w:sz w:val="18"/>
                <w:szCs w:val="18"/>
                <w:color w:val="auto"/>
              </w:rPr>
              <w:t>271,794</w:t>
            </w:r>
          </w:p>
        </w:tc>
        <w:tc>
          <w:tcPr>
            <w:tcW w:w="1100" w:type="dxa"/>
            <w:vAlign w:val="bottom"/>
            <w:gridSpan w:val="3"/>
          </w:tcPr>
          <w:p>
            <w:pPr>
              <w:jc w:val="right"/>
              <w:ind w:right="80"/>
              <w:spacing w:after="0" w:line="199" w:lineRule="exact"/>
              <w:rPr>
                <w:sz w:val="20"/>
                <w:szCs w:val="20"/>
                <w:color w:val="auto"/>
              </w:rPr>
            </w:pPr>
            <w:r>
              <w:rPr>
                <w:rFonts w:ascii="Arial" w:cs="Arial" w:eastAsia="Arial" w:hAnsi="Arial"/>
                <w:sz w:val="18"/>
                <w:szCs w:val="18"/>
                <w:color w:val="auto"/>
              </w:rPr>
              <w:t>279,256</w:t>
            </w:r>
          </w:p>
        </w:tc>
      </w:tr>
      <w:tr>
        <w:trPr>
          <w:trHeight w:val="199"/>
        </w:trPr>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Allianz US Short Duration High WT</w:t>
            </w:r>
          </w:p>
        </w:tc>
        <w:tc>
          <w:tcPr>
            <w:tcW w:w="2940" w:type="dxa"/>
            <w:vAlign w:val="bottom"/>
            <w:gridSpan w:val="3"/>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229,841</w:t>
            </w:r>
          </w:p>
        </w:tc>
        <w:tc>
          <w:tcPr>
            <w:tcW w:w="1100" w:type="dxa"/>
            <w:vAlign w:val="bottom"/>
            <w:gridSpan w:val="3"/>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255,171</w:t>
            </w:r>
          </w:p>
        </w:tc>
      </w:tr>
      <w:tr>
        <w:trPr>
          <w:trHeight w:val="199"/>
        </w:trPr>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60" w:type="dxa"/>
            <w:vAlign w:val="bottom"/>
          </w:tcPr>
          <w:p>
            <w:pPr>
              <w:spacing w:after="0" w:line="199" w:lineRule="exact"/>
              <w:rPr>
                <w:sz w:val="20"/>
                <w:szCs w:val="20"/>
                <w:color w:val="auto"/>
              </w:rPr>
            </w:pPr>
            <w:r>
              <w:rPr>
                <w:rFonts w:ascii="Arial" w:cs="Arial" w:eastAsia="Arial" w:hAnsi="Arial"/>
                <w:sz w:val="18"/>
                <w:szCs w:val="18"/>
                <w:color w:val="auto"/>
              </w:rPr>
              <w:t>Credicorp Capital Latin American Corporate Debt Fund</w:t>
            </w:r>
          </w:p>
        </w:tc>
        <w:tc>
          <w:tcPr>
            <w:tcW w:w="2940" w:type="dxa"/>
            <w:vAlign w:val="bottom"/>
            <w:gridSpan w:val="3"/>
          </w:tcPr>
          <w:p>
            <w:pPr>
              <w:jc w:val="right"/>
              <w:ind w:right="180"/>
              <w:spacing w:after="0" w:line="199" w:lineRule="exact"/>
              <w:rPr>
                <w:sz w:val="20"/>
                <w:szCs w:val="20"/>
                <w:color w:val="auto"/>
              </w:rPr>
            </w:pPr>
            <w:r>
              <w:rPr>
                <w:rFonts w:ascii="Arial" w:cs="Arial" w:eastAsia="Arial" w:hAnsi="Arial"/>
                <w:sz w:val="18"/>
                <w:szCs w:val="18"/>
                <w:color w:val="auto"/>
              </w:rPr>
              <w:t>200,867</w:t>
            </w:r>
          </w:p>
        </w:tc>
        <w:tc>
          <w:tcPr>
            <w:tcW w:w="1100" w:type="dxa"/>
            <w:vAlign w:val="bottom"/>
            <w:gridSpan w:val="3"/>
          </w:tcPr>
          <w:p>
            <w:pPr>
              <w:jc w:val="right"/>
              <w:ind w:right="80"/>
              <w:spacing w:after="0" w:line="199" w:lineRule="exact"/>
              <w:rPr>
                <w:sz w:val="20"/>
                <w:szCs w:val="20"/>
                <w:color w:val="auto"/>
              </w:rPr>
            </w:pPr>
            <w:r>
              <w:rPr>
                <w:rFonts w:ascii="Arial" w:cs="Arial" w:eastAsia="Arial" w:hAnsi="Arial"/>
                <w:sz w:val="18"/>
                <w:szCs w:val="18"/>
                <w:color w:val="auto"/>
              </w:rPr>
              <w:t>230,930</w:t>
            </w:r>
          </w:p>
        </w:tc>
      </w:tr>
      <w:tr>
        <w:trPr>
          <w:trHeight w:val="199"/>
        </w:trPr>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Credicorp Capital Latin American Investment Grade</w:t>
            </w:r>
          </w:p>
        </w:tc>
        <w:tc>
          <w:tcPr>
            <w:tcW w:w="2940" w:type="dxa"/>
            <w:vAlign w:val="bottom"/>
            <w:gridSpan w:val="3"/>
            <w:shd w:val="clear" w:color="auto" w:fill="CCEEFF"/>
          </w:tcPr>
          <w:p>
            <w:pPr>
              <w:jc w:val="right"/>
              <w:ind w:right="180"/>
              <w:spacing w:after="0" w:line="199" w:lineRule="exact"/>
              <w:rPr>
                <w:sz w:val="20"/>
                <w:szCs w:val="20"/>
                <w:color w:val="auto"/>
              </w:rPr>
            </w:pPr>
            <w:r>
              <w:rPr>
                <w:rFonts w:ascii="Arial" w:cs="Arial" w:eastAsia="Arial" w:hAnsi="Arial"/>
                <w:sz w:val="18"/>
                <w:szCs w:val="18"/>
                <w:color w:val="auto"/>
              </w:rPr>
              <w:t>141,053</w:t>
            </w:r>
          </w:p>
        </w:tc>
        <w:tc>
          <w:tcPr>
            <w:tcW w:w="1100" w:type="dxa"/>
            <w:vAlign w:val="bottom"/>
            <w:gridSpan w:val="3"/>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165,185</w:t>
            </w:r>
          </w:p>
        </w:tc>
      </w:tr>
      <w:tr>
        <w:trPr>
          <w:trHeight w:val="206"/>
        </w:trPr>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60" w:type="dxa"/>
            <w:vAlign w:val="bottom"/>
          </w:tcPr>
          <w:p>
            <w:pPr>
              <w:spacing w:after="0" w:line="199" w:lineRule="exact"/>
              <w:rPr>
                <w:sz w:val="20"/>
                <w:szCs w:val="20"/>
                <w:color w:val="auto"/>
              </w:rPr>
            </w:pPr>
            <w:r>
              <w:rPr>
                <w:rFonts w:ascii="Arial" w:cs="Arial" w:eastAsia="Arial" w:hAnsi="Arial"/>
                <w:sz w:val="18"/>
                <w:szCs w:val="18"/>
                <w:color w:val="auto"/>
              </w:rPr>
              <w:t>CC Latin American Short Duration I</w:t>
            </w:r>
          </w:p>
        </w:tc>
        <w:tc>
          <w:tcPr>
            <w:tcW w:w="2940" w:type="dxa"/>
            <w:vAlign w:val="bottom"/>
            <w:gridSpan w:val="3"/>
          </w:tcPr>
          <w:p>
            <w:pPr>
              <w:jc w:val="right"/>
              <w:ind w:right="180"/>
              <w:spacing w:after="0" w:line="199" w:lineRule="exact"/>
              <w:rPr>
                <w:sz w:val="20"/>
                <w:szCs w:val="20"/>
                <w:color w:val="auto"/>
              </w:rPr>
            </w:pPr>
            <w:r>
              <w:rPr>
                <w:rFonts w:ascii="Arial" w:cs="Arial" w:eastAsia="Arial" w:hAnsi="Arial"/>
                <w:sz w:val="18"/>
                <w:szCs w:val="18"/>
                <w:color w:val="auto"/>
              </w:rPr>
              <w:t>115,384</w:t>
            </w:r>
          </w:p>
        </w:tc>
        <w:tc>
          <w:tcPr>
            <w:tcW w:w="1100" w:type="dxa"/>
            <w:vAlign w:val="bottom"/>
            <w:gridSpan w:val="3"/>
          </w:tcPr>
          <w:p>
            <w:pPr>
              <w:jc w:val="right"/>
              <w:ind w:right="80"/>
              <w:spacing w:after="0" w:line="199" w:lineRule="exact"/>
              <w:rPr>
                <w:sz w:val="20"/>
                <w:szCs w:val="20"/>
                <w:color w:val="auto"/>
              </w:rPr>
            </w:pPr>
            <w:r>
              <w:rPr>
                <w:rFonts w:ascii="Arial" w:cs="Arial" w:eastAsia="Arial" w:hAnsi="Arial"/>
                <w:sz w:val="18"/>
                <w:szCs w:val="18"/>
                <w:color w:val="auto"/>
              </w:rPr>
              <w:t>119,676</w:t>
            </w:r>
          </w:p>
        </w:tc>
      </w:tr>
      <w:tr>
        <w:trPr>
          <w:trHeight w:val="224"/>
        </w:trPr>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60" w:type="dxa"/>
            <w:vAlign w:val="bottom"/>
            <w:tcBorders>
              <w:top w:val="single" w:sz="8" w:color="CCEEFF"/>
              <w:bottom w:val="single" w:sz="8" w:color="CCEEFF"/>
            </w:tcBorders>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Total</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958,939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1,050,218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34" w:right="420"/>
        <w:spacing w:after="0" w:line="238" w:lineRule="auto"/>
        <w:rPr>
          <w:sz w:val="20"/>
          <w:szCs w:val="20"/>
          <w:color w:val="auto"/>
        </w:rPr>
      </w:pPr>
      <w:r>
        <w:rPr>
          <w:rFonts w:ascii="Arial" w:cs="Arial" w:eastAsia="Arial" w:hAnsi="Arial"/>
          <w:sz w:val="18"/>
          <w:szCs w:val="18"/>
          <w:color w:val="auto"/>
        </w:rPr>
        <w:t>As of December 31, 2022, the losses of these funds from valuation are recorded in the separate income statement in “Net gain on investments at fair value through profit or loss” for S/43.1 million (the gains were S/2.7 million, as of December 31, 2021).</w:t>
      </w:r>
    </w:p>
    <w:p>
      <w:pPr>
        <w:spacing w:after="0" w:line="360"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34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94"/>
          </w:cols>
          <w:pgMar w:left="326" w:top="338" w:right="379" w:bottom="1440" w:gutter="0" w:footer="0" w:header="0"/>
        </w:sectPr>
      </w:pPr>
    </w:p>
    <w:bookmarkStart w:id="35" w:name="page36"/>
    <w:bookmarkEnd w:id="35"/>
    <w:p>
      <w:pPr>
        <w:spacing w:after="0"/>
        <w:tabs>
          <w:tab w:leader="none" w:pos="30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At fair value through other comprehensive income:</w:t>
      </w:r>
    </w:p>
    <w:p>
      <w:pPr>
        <w:spacing w:after="0" w:line="172" w:lineRule="exact"/>
        <w:rPr>
          <w:sz w:val="20"/>
          <w:szCs w:val="20"/>
          <w:color w:val="auto"/>
        </w:rPr>
      </w:pPr>
    </w:p>
    <w:tbl>
      <w:tblPr>
        <w:tblLayout w:type="fixed"/>
        <w:tblInd w:w="320" w:type="dxa"/>
        <w:tblCellMar>
          <w:top w:w="0" w:type="dxa"/>
          <w:left w:w="0" w:type="dxa"/>
          <w:bottom w:w="0" w:type="dxa"/>
          <w:right w:w="0" w:type="dxa"/>
        </w:tblCellMar>
      </w:tblPr>
      <w:tr>
        <w:trPr>
          <w:trHeight w:val="159"/>
        </w:trPr>
        <w:tc>
          <w:tcPr>
            <w:tcW w:w="2600" w:type="dxa"/>
            <w:vAlign w:val="bottom"/>
          </w:tcPr>
          <w:p>
            <w:pPr>
              <w:spacing w:after="0"/>
              <w:rPr>
                <w:sz w:val="13"/>
                <w:szCs w:val="13"/>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2022</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5"/>
          </w:tcPr>
          <w:p>
            <w:pPr>
              <w:ind w:left="160"/>
              <w:spacing w:after="0" w:line="133" w:lineRule="exact"/>
              <w:rPr>
                <w:sz w:val="20"/>
                <w:szCs w:val="20"/>
                <w:color w:val="auto"/>
              </w:rPr>
            </w:pPr>
            <w:r>
              <w:rPr>
                <w:rFonts w:ascii="Arial" w:cs="Arial" w:eastAsia="Arial" w:hAnsi="Arial"/>
                <w:sz w:val="12"/>
                <w:szCs w:val="12"/>
                <w:b w:val="1"/>
                <w:bCs w:val="1"/>
                <w:color w:val="auto"/>
              </w:rPr>
              <w:t>Unrealized gross amount</w:t>
            </w:r>
          </w:p>
        </w:tc>
        <w:tc>
          <w:tcPr>
            <w:tcW w:w="11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Estimated</w:t>
            </w:r>
          </w:p>
        </w:tc>
        <w:tc>
          <w:tcPr>
            <w:tcW w:w="10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Amortized</w:t>
            </w:r>
          </w:p>
        </w:tc>
        <w:tc>
          <w:tcPr>
            <w:tcW w:w="20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Unrealized gross amount</w:t>
            </w:r>
          </w:p>
        </w:tc>
        <w:tc>
          <w:tcPr>
            <w:tcW w:w="9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Estimated fair</w:t>
            </w:r>
          </w:p>
        </w:tc>
        <w:tc>
          <w:tcPr>
            <w:tcW w:w="0" w:type="dxa"/>
            <w:vAlign w:val="bottom"/>
          </w:tcPr>
          <w:p>
            <w:pPr>
              <w:spacing w:after="0"/>
              <w:rPr>
                <w:sz w:val="1"/>
                <w:szCs w:val="1"/>
                <w:color w:val="auto"/>
              </w:rPr>
            </w:pPr>
          </w:p>
        </w:tc>
      </w:tr>
      <w:tr>
        <w:trPr>
          <w:trHeight w:val="113"/>
        </w:trPr>
        <w:tc>
          <w:tcPr>
            <w:tcW w:w="2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600" w:type="dxa"/>
            <w:vAlign w:val="bottom"/>
          </w:tcPr>
          <w:p>
            <w:pPr>
              <w:spacing w:after="0"/>
              <w:rPr>
                <w:sz w:val="13"/>
                <w:szCs w:val="13"/>
                <w:color w:val="auto"/>
              </w:rPr>
            </w:pPr>
          </w:p>
        </w:tc>
        <w:tc>
          <w:tcPr>
            <w:tcW w:w="104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w w:val="97"/>
              </w:rPr>
              <w:t>Cost</w:t>
            </w:r>
          </w:p>
        </w:tc>
        <w:tc>
          <w:tcPr>
            <w:tcW w:w="1260" w:type="dxa"/>
            <w:vAlign w:val="bottom"/>
            <w:gridSpan w:val="3"/>
          </w:tcPr>
          <w:p>
            <w:pPr>
              <w:ind w:left="160"/>
              <w:spacing w:after="0"/>
              <w:rPr>
                <w:sz w:val="20"/>
                <w:szCs w:val="20"/>
                <w:color w:val="auto"/>
              </w:rPr>
            </w:pPr>
            <w:r>
              <w:rPr>
                <w:rFonts w:ascii="Arial" w:cs="Arial" w:eastAsia="Arial" w:hAnsi="Arial"/>
                <w:sz w:val="12"/>
                <w:szCs w:val="12"/>
                <w:b w:val="1"/>
                <w:bCs w:val="1"/>
                <w:color w:val="auto"/>
              </w:rPr>
              <w:t>Profits</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Losses</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fair value</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Profits</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Losses</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88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82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2"/>
                <w:szCs w:val="12"/>
                <w:b w:val="1"/>
                <w:bCs w:val="1"/>
                <w:color w:val="auto"/>
              </w:rPr>
              <w:t>S/000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600" w:type="dxa"/>
            <w:vAlign w:val="bottom"/>
            <w:shd w:val="clear" w:color="auto" w:fill="CCEEFF"/>
          </w:tcPr>
          <w:p>
            <w:pPr>
              <w:spacing w:after="0" w:line="113" w:lineRule="exact"/>
              <w:rPr>
                <w:sz w:val="20"/>
                <w:szCs w:val="20"/>
                <w:color w:val="auto"/>
              </w:rPr>
            </w:pPr>
            <w:r>
              <w:rPr>
                <w:rFonts w:ascii="Arial" w:cs="Arial" w:eastAsia="Arial" w:hAnsi="Arial"/>
                <w:sz w:val="12"/>
                <w:szCs w:val="12"/>
                <w:b w:val="1"/>
                <w:bCs w:val="1"/>
                <w:color w:val="auto"/>
              </w:rPr>
              <w:t>Equity instruments designated at the</w:t>
            </w: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initial recognition</w:t>
            </w: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line="133" w:lineRule="exact"/>
              <w:rPr>
                <w:sz w:val="20"/>
                <w:szCs w:val="20"/>
                <w:color w:val="auto"/>
              </w:rPr>
            </w:pPr>
            <w:r>
              <w:rPr>
                <w:rFonts w:ascii="Arial" w:cs="Arial" w:eastAsia="Arial" w:hAnsi="Arial"/>
                <w:sz w:val="12"/>
                <w:szCs w:val="12"/>
                <w:color w:val="auto"/>
              </w:rPr>
              <w:t>Shares issued by:</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6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Alicorp S.A.A.</w:t>
            </w:r>
          </w:p>
        </w:tc>
        <w:tc>
          <w:tcPr>
            <w:tcW w:w="104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60,170</w:t>
            </w:r>
          </w:p>
        </w:tc>
        <w:tc>
          <w:tcPr>
            <w:tcW w:w="1260" w:type="dxa"/>
            <w:vAlign w:val="bottom"/>
            <w:gridSpan w:val="3"/>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96,669</w:t>
            </w:r>
          </w:p>
        </w:tc>
        <w:tc>
          <w:tcPr>
            <w:tcW w:w="920" w:type="dxa"/>
            <w:vAlign w:val="bottom"/>
            <w:gridSpan w:val="2"/>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156,839</w:t>
            </w:r>
          </w:p>
        </w:tc>
        <w:tc>
          <w:tcPr>
            <w:tcW w:w="22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60,170</w:t>
            </w:r>
          </w:p>
        </w:tc>
        <w:tc>
          <w:tcPr>
            <w:tcW w:w="9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77,383</w:t>
            </w:r>
          </w:p>
        </w:tc>
        <w:tc>
          <w:tcPr>
            <w:tcW w:w="114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137,553</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line="133" w:lineRule="exact"/>
              <w:rPr>
                <w:sz w:val="20"/>
                <w:szCs w:val="20"/>
                <w:color w:val="auto"/>
              </w:rPr>
            </w:pPr>
            <w:r>
              <w:rPr>
                <w:rFonts w:ascii="Arial" w:cs="Arial" w:eastAsia="Arial" w:hAnsi="Arial"/>
                <w:sz w:val="12"/>
                <w:szCs w:val="12"/>
                <w:color w:val="auto"/>
              </w:rPr>
              <w:t>Inversiones Centenario</w:t>
            </w:r>
          </w:p>
        </w:tc>
        <w:tc>
          <w:tcPr>
            <w:tcW w:w="1040" w:type="dxa"/>
            <w:vAlign w:val="bottom"/>
            <w:gridSpan w:val="2"/>
          </w:tcPr>
          <w:p>
            <w:pPr>
              <w:jc w:val="right"/>
              <w:ind w:right="160"/>
              <w:spacing w:after="0" w:line="133" w:lineRule="exact"/>
              <w:rPr>
                <w:sz w:val="20"/>
                <w:szCs w:val="20"/>
                <w:color w:val="auto"/>
              </w:rPr>
            </w:pPr>
            <w:r>
              <w:rPr>
                <w:rFonts w:ascii="Arial" w:cs="Arial" w:eastAsia="Arial" w:hAnsi="Arial"/>
                <w:sz w:val="12"/>
                <w:szCs w:val="12"/>
                <w:color w:val="auto"/>
              </w:rPr>
              <w:t>220,283</w:t>
            </w:r>
          </w:p>
        </w:tc>
        <w:tc>
          <w:tcPr>
            <w:tcW w:w="1260" w:type="dxa"/>
            <w:vAlign w:val="bottom"/>
            <w:gridSpan w:val="3"/>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(93,479)</w:t>
            </w:r>
          </w:p>
        </w:tc>
        <w:tc>
          <w:tcPr>
            <w:tcW w:w="8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126,804</w:t>
            </w:r>
          </w:p>
        </w:tc>
        <w:tc>
          <w:tcPr>
            <w:tcW w:w="22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220,283</w:t>
            </w:r>
          </w:p>
        </w:tc>
        <w:tc>
          <w:tcPr>
            <w:tcW w:w="220" w:type="dxa"/>
            <w:vAlign w:val="bottom"/>
          </w:tcPr>
          <w:p>
            <w:pPr>
              <w:spacing w:after="0"/>
              <w:rPr>
                <w:sz w:val="11"/>
                <w:szCs w:val="11"/>
                <w:color w:val="auto"/>
              </w:rPr>
            </w:pPr>
          </w:p>
        </w:tc>
        <w:tc>
          <w:tcPr>
            <w:tcW w:w="90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1140" w:type="dxa"/>
            <w:vAlign w:val="bottom"/>
            <w:gridSpan w:val="3"/>
          </w:tcPr>
          <w:p>
            <w:pPr>
              <w:jc w:val="right"/>
              <w:ind w:right="180"/>
              <w:spacing w:after="0" w:line="133" w:lineRule="exact"/>
              <w:rPr>
                <w:sz w:val="20"/>
                <w:szCs w:val="20"/>
                <w:color w:val="auto"/>
              </w:rPr>
            </w:pPr>
            <w:r>
              <w:rPr>
                <w:rFonts w:ascii="Arial" w:cs="Arial" w:eastAsia="Arial" w:hAnsi="Arial"/>
                <w:sz w:val="12"/>
                <w:szCs w:val="12"/>
                <w:color w:val="auto"/>
              </w:rPr>
              <w:t>(35,512)</w:t>
            </w:r>
          </w:p>
        </w:tc>
        <w:tc>
          <w:tcPr>
            <w:tcW w:w="82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184,771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Compañía Universal Textil S.A.</w:t>
            </w:r>
          </w:p>
        </w:tc>
        <w:tc>
          <w:tcPr>
            <w:tcW w:w="104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475</w:t>
            </w:r>
          </w:p>
        </w:tc>
        <w:tc>
          <w:tcPr>
            <w:tcW w:w="1260" w:type="dxa"/>
            <w:vAlign w:val="bottom"/>
            <w:gridSpan w:val="3"/>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(260)</w:t>
            </w:r>
          </w:p>
        </w:tc>
        <w:tc>
          <w:tcPr>
            <w:tcW w:w="8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215</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475</w:t>
            </w:r>
          </w:p>
        </w:tc>
        <w:tc>
          <w:tcPr>
            <w:tcW w:w="2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1140" w:type="dxa"/>
            <w:vAlign w:val="bottom"/>
            <w:gridSpan w:val="3"/>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(302)</w:t>
            </w:r>
          </w:p>
        </w:tc>
        <w:tc>
          <w:tcPr>
            <w:tcW w:w="8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173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600" w:type="dxa"/>
            <w:vAlign w:val="bottom"/>
            <w:tcBorders>
              <w:top w:val="single" w:sz="8" w:color="CCEEFF"/>
              <w:bottom w:val="single" w:sz="8" w:color="CCEEFF"/>
            </w:tcBorders>
          </w:tcPr>
          <w:p>
            <w:pPr>
              <w:spacing w:after="0"/>
              <w:rPr>
                <w:sz w:val="10"/>
                <w:szCs w:val="10"/>
                <w:color w:val="auto"/>
              </w:rPr>
            </w:pPr>
          </w:p>
        </w:tc>
        <w:tc>
          <w:tcPr>
            <w:tcW w:w="8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280,928</w:t>
            </w:r>
          </w:p>
        </w:tc>
        <w:tc>
          <w:tcPr>
            <w:tcW w:w="160" w:type="dxa"/>
            <w:vAlign w:val="bottom"/>
            <w:tcBorders>
              <w:top w:val="single" w:sz="8" w:color="CCEEFF"/>
              <w:bottom w:val="single" w:sz="8" w:color="CCEEFF"/>
            </w:tcBorders>
          </w:tcPr>
          <w:p>
            <w:pPr>
              <w:spacing w:after="0"/>
              <w:rPr>
                <w:sz w:val="10"/>
                <w:szCs w:val="10"/>
                <w:color w:val="auto"/>
              </w:rPr>
            </w:pPr>
          </w:p>
        </w:tc>
        <w:tc>
          <w:tcPr>
            <w:tcW w:w="160" w:type="dxa"/>
            <w:vAlign w:val="bottom"/>
            <w:tcBorders>
              <w:top w:val="single" w:sz="8" w:color="CCEEFF"/>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96,669</w:t>
            </w:r>
          </w:p>
        </w:tc>
        <w:tc>
          <w:tcPr>
            <w:tcW w:w="200" w:type="dxa"/>
            <w:vAlign w:val="bottom"/>
            <w:tcBorders>
              <w:top w:val="single" w:sz="8" w:color="CCEEFF"/>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(93,739)</w:t>
            </w:r>
          </w:p>
        </w:tc>
        <w:tc>
          <w:tcPr>
            <w:tcW w:w="140" w:type="dxa"/>
            <w:vAlign w:val="bottom"/>
            <w:tcBorders>
              <w:top w:val="single" w:sz="8" w:color="CCEEFF"/>
              <w:bottom w:val="single" w:sz="8" w:color="CCEEFF"/>
            </w:tcBorders>
          </w:tcPr>
          <w:p>
            <w:pPr>
              <w:spacing w:after="0"/>
              <w:rPr>
                <w:sz w:val="10"/>
                <w:szCs w:val="10"/>
                <w:color w:val="auto"/>
              </w:rPr>
            </w:pPr>
          </w:p>
        </w:tc>
        <w:tc>
          <w:tcPr>
            <w:tcW w:w="80" w:type="dxa"/>
            <w:vAlign w:val="bottom"/>
            <w:tcBorders>
              <w:top w:val="single" w:sz="8" w:color="CCEEFF"/>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283,858</w:t>
            </w:r>
          </w:p>
        </w:tc>
        <w:tc>
          <w:tcPr>
            <w:tcW w:w="220" w:type="dxa"/>
            <w:vAlign w:val="bottom"/>
            <w:tcBorders>
              <w:top w:val="single" w:sz="8" w:color="CCEEFF"/>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280,928</w:t>
            </w:r>
          </w:p>
        </w:tc>
        <w:tc>
          <w:tcPr>
            <w:tcW w:w="220" w:type="dxa"/>
            <w:vAlign w:val="bottom"/>
            <w:tcBorders>
              <w:top w:val="single" w:sz="8" w:color="CCEEFF"/>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77,383</w:t>
            </w:r>
          </w:p>
        </w:tc>
        <w:tc>
          <w:tcPr>
            <w:tcW w:w="10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CCEEFF"/>
              <w:bottom w:val="single" w:sz="8" w:color="CCEEFF"/>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(35,814)</w:t>
            </w:r>
          </w:p>
        </w:tc>
        <w:tc>
          <w:tcPr>
            <w:tcW w:w="220" w:type="dxa"/>
            <w:vAlign w:val="bottom"/>
            <w:tcBorders>
              <w:top w:val="single" w:sz="8" w:color="CCEEFF"/>
              <w:bottom w:val="single" w:sz="8" w:color="CCEEFF"/>
            </w:tcBorders>
          </w:tcPr>
          <w:p>
            <w:pPr>
              <w:spacing w:after="0"/>
              <w:rPr>
                <w:sz w:val="10"/>
                <w:szCs w:val="10"/>
                <w:color w:val="auto"/>
              </w:rPr>
            </w:pPr>
          </w:p>
        </w:tc>
        <w:tc>
          <w:tcPr>
            <w:tcW w:w="20" w:type="dxa"/>
            <w:vAlign w:val="bottom"/>
            <w:tcBorders>
              <w:top w:val="single" w:sz="8" w:color="CCEEFF"/>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322,497</w:t>
            </w:r>
          </w:p>
        </w:tc>
        <w:tc>
          <w:tcPr>
            <w:tcW w:w="120" w:type="dxa"/>
            <w:vAlign w:val="bottom"/>
            <w:tcBorders>
              <w:top w:val="single" w:sz="8" w:color="CCEEFF"/>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6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line="133" w:lineRule="exact"/>
              <w:rPr>
                <w:sz w:val="20"/>
                <w:szCs w:val="20"/>
                <w:color w:val="auto"/>
              </w:rPr>
            </w:pPr>
            <w:r>
              <w:rPr>
                <w:rFonts w:ascii="Arial" w:cs="Arial" w:eastAsia="Arial" w:hAnsi="Arial"/>
                <w:sz w:val="12"/>
                <w:szCs w:val="12"/>
                <w:b w:val="1"/>
                <w:bCs w:val="1"/>
                <w:color w:val="auto"/>
              </w:rPr>
              <w:t>Debt instruments</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6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Bonds issued by:</w:t>
            </w: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0" w:type="dxa"/>
            <w:vAlign w:val="bottom"/>
          </w:tcPr>
          <w:p>
            <w:pPr>
              <w:spacing w:after="0" w:line="127" w:lineRule="exact"/>
              <w:rPr>
                <w:sz w:val="20"/>
                <w:szCs w:val="20"/>
                <w:color w:val="auto"/>
              </w:rPr>
            </w:pPr>
            <w:r>
              <w:rPr>
                <w:rFonts w:ascii="Arial" w:cs="Arial" w:eastAsia="Arial" w:hAnsi="Arial"/>
                <w:sz w:val="12"/>
                <w:szCs w:val="12"/>
                <w:color w:val="auto"/>
              </w:rPr>
              <w:t>Pacífico Compañía de Seguros y</w:t>
            </w: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600" w:type="dxa"/>
            <w:vAlign w:val="bottom"/>
          </w:tcPr>
          <w:p>
            <w:pPr>
              <w:spacing w:after="0"/>
              <w:rPr>
                <w:sz w:val="20"/>
                <w:szCs w:val="20"/>
                <w:color w:val="auto"/>
              </w:rPr>
            </w:pPr>
            <w:r>
              <w:rPr>
                <w:rFonts w:ascii="Arial" w:cs="Arial" w:eastAsia="Arial" w:hAnsi="Arial"/>
                <w:sz w:val="12"/>
                <w:szCs w:val="12"/>
                <w:color w:val="auto"/>
              </w:rPr>
              <w:t>Reaseguros S.A. (i)</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17,033</w:t>
            </w:r>
          </w:p>
        </w:tc>
        <w:tc>
          <w:tcPr>
            <w:tcW w:w="12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(1,802)</w:t>
            </w:r>
          </w:p>
        </w:tc>
        <w:tc>
          <w:tcPr>
            <w:tcW w:w="1100" w:type="dxa"/>
            <w:vAlign w:val="bottom"/>
            <w:gridSpan w:val="3"/>
          </w:tcPr>
          <w:p>
            <w:pPr>
              <w:jc w:val="right"/>
              <w:ind w:right="220"/>
              <w:spacing w:after="0"/>
              <w:rPr>
                <w:sz w:val="20"/>
                <w:szCs w:val="20"/>
                <w:color w:val="auto"/>
              </w:rPr>
            </w:pPr>
            <w:r>
              <w:rPr>
                <w:rFonts w:ascii="Arial" w:cs="Arial" w:eastAsia="Arial" w:hAnsi="Arial"/>
                <w:sz w:val="12"/>
                <w:szCs w:val="12"/>
                <w:color w:val="auto"/>
              </w:rPr>
              <w:t>15,231</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17,806</w:t>
            </w: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2"/>
                <w:szCs w:val="12"/>
                <w:color w:val="auto"/>
              </w:rPr>
              <w:t>(1,131)</w:t>
            </w:r>
          </w:p>
        </w:tc>
        <w:tc>
          <w:tcPr>
            <w:tcW w:w="940" w:type="dxa"/>
            <w:vAlign w:val="bottom"/>
            <w:gridSpan w:val="3"/>
          </w:tcPr>
          <w:p>
            <w:pPr>
              <w:jc w:val="right"/>
              <w:ind w:right="120"/>
              <w:spacing w:after="0"/>
              <w:rPr>
                <w:sz w:val="20"/>
                <w:szCs w:val="20"/>
                <w:color w:val="auto"/>
              </w:rPr>
            </w:pPr>
            <w:r>
              <w:rPr>
                <w:rFonts w:ascii="Arial" w:cs="Arial" w:eastAsia="Arial" w:hAnsi="Arial"/>
                <w:sz w:val="12"/>
                <w:szCs w:val="12"/>
                <w:color w:val="auto"/>
              </w:rPr>
              <w:t>16,675</w:t>
            </w:r>
          </w:p>
        </w:tc>
        <w:tc>
          <w:tcPr>
            <w:tcW w:w="0" w:type="dxa"/>
            <w:vAlign w:val="bottom"/>
          </w:tcPr>
          <w:p>
            <w:pPr>
              <w:spacing w:after="0"/>
              <w:rPr>
                <w:sz w:val="1"/>
                <w:szCs w:val="1"/>
                <w:color w:val="auto"/>
              </w:rPr>
            </w:pPr>
          </w:p>
        </w:tc>
      </w:tr>
      <w:tr>
        <w:trPr>
          <w:trHeight w:val="153"/>
        </w:trPr>
        <w:tc>
          <w:tcPr>
            <w:tcW w:w="26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Mibanco S.A. (ii)</w:t>
            </w:r>
          </w:p>
        </w:tc>
        <w:tc>
          <w:tcPr>
            <w:tcW w:w="104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8,598</w:t>
            </w:r>
          </w:p>
        </w:tc>
        <w:tc>
          <w:tcPr>
            <w:tcW w:w="1260" w:type="dxa"/>
            <w:vAlign w:val="bottom"/>
            <w:gridSpan w:val="3"/>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(1,500)</w:t>
            </w:r>
          </w:p>
        </w:tc>
        <w:tc>
          <w:tcPr>
            <w:tcW w:w="110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7,098</w:t>
            </w:r>
          </w:p>
        </w:tc>
        <w:tc>
          <w:tcPr>
            <w:tcW w:w="10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8,598</w:t>
            </w:r>
          </w:p>
        </w:tc>
        <w:tc>
          <w:tcPr>
            <w:tcW w:w="90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1140" w:type="dxa"/>
            <w:vAlign w:val="bottom"/>
            <w:gridSpan w:val="3"/>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(949)</w:t>
            </w:r>
          </w:p>
        </w:tc>
        <w:tc>
          <w:tcPr>
            <w:tcW w:w="94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7,649</w:t>
            </w:r>
          </w:p>
        </w:tc>
        <w:tc>
          <w:tcPr>
            <w:tcW w:w="0" w:type="dxa"/>
            <w:vAlign w:val="bottom"/>
          </w:tcPr>
          <w:p>
            <w:pPr>
              <w:spacing w:after="0"/>
              <w:rPr>
                <w:sz w:val="1"/>
                <w:szCs w:val="1"/>
                <w:color w:val="auto"/>
              </w:rPr>
            </w:pPr>
          </w:p>
        </w:tc>
      </w:tr>
      <w:tr>
        <w:trPr>
          <w:trHeight w:val="126"/>
        </w:trPr>
        <w:tc>
          <w:tcPr>
            <w:tcW w:w="2600" w:type="dxa"/>
            <w:vAlign w:val="bottom"/>
            <w:tcBorders>
              <w:top w:val="single" w:sz="8" w:color="CCEEFF"/>
              <w:bottom w:val="single" w:sz="8" w:color="CCEEFF"/>
            </w:tcBorders>
          </w:tcPr>
          <w:p>
            <w:pPr>
              <w:spacing w:after="0"/>
              <w:rPr>
                <w:sz w:val="10"/>
                <w:szCs w:val="10"/>
                <w:color w:val="auto"/>
              </w:rPr>
            </w:pPr>
          </w:p>
        </w:tc>
        <w:tc>
          <w:tcPr>
            <w:tcW w:w="8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25,631</w:t>
            </w:r>
          </w:p>
        </w:tc>
        <w:tc>
          <w:tcPr>
            <w:tcW w:w="160" w:type="dxa"/>
            <w:vAlign w:val="bottom"/>
            <w:tcBorders>
              <w:top w:val="single" w:sz="8" w:color="CCEEFF"/>
              <w:bottom w:val="single" w:sz="8" w:color="CCEEFF"/>
            </w:tcBorders>
          </w:tcPr>
          <w:p>
            <w:pPr>
              <w:spacing w:after="0"/>
              <w:rPr>
                <w:sz w:val="10"/>
                <w:szCs w:val="10"/>
                <w:color w:val="auto"/>
              </w:rPr>
            </w:pPr>
          </w:p>
        </w:tc>
        <w:tc>
          <w:tcPr>
            <w:tcW w:w="160" w:type="dxa"/>
            <w:vAlign w:val="bottom"/>
            <w:tcBorders>
              <w:top w:val="single" w:sz="8" w:color="CCEEFF"/>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CEEFF"/>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(3,302)</w:t>
            </w:r>
          </w:p>
        </w:tc>
        <w:tc>
          <w:tcPr>
            <w:tcW w:w="140" w:type="dxa"/>
            <w:vAlign w:val="bottom"/>
            <w:tcBorders>
              <w:top w:val="single" w:sz="8" w:color="CCEEFF"/>
              <w:bottom w:val="single" w:sz="8" w:color="CCEEFF"/>
            </w:tcBorders>
          </w:tcPr>
          <w:p>
            <w:pPr>
              <w:spacing w:after="0"/>
              <w:rPr>
                <w:sz w:val="10"/>
                <w:szCs w:val="10"/>
                <w:color w:val="auto"/>
              </w:rPr>
            </w:pPr>
          </w:p>
        </w:tc>
        <w:tc>
          <w:tcPr>
            <w:tcW w:w="80" w:type="dxa"/>
            <w:vAlign w:val="bottom"/>
            <w:tcBorders>
              <w:top w:val="single" w:sz="8" w:color="CCEEFF"/>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22,329</w:t>
            </w:r>
          </w:p>
        </w:tc>
        <w:tc>
          <w:tcPr>
            <w:tcW w:w="220" w:type="dxa"/>
            <w:vAlign w:val="bottom"/>
            <w:tcBorders>
              <w:top w:val="single" w:sz="8" w:color="CCEEFF"/>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26,404</w:t>
            </w:r>
          </w:p>
        </w:tc>
        <w:tc>
          <w:tcPr>
            <w:tcW w:w="220" w:type="dxa"/>
            <w:vAlign w:val="bottom"/>
            <w:tcBorders>
              <w:top w:val="single" w:sz="8" w:color="CCEEFF"/>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tcPr>
          <w:p>
            <w:pPr>
              <w:spacing w:after="0"/>
              <w:rPr>
                <w:sz w:val="10"/>
                <w:szCs w:val="10"/>
                <w:color w:val="auto"/>
              </w:rPr>
            </w:pPr>
          </w:p>
        </w:tc>
        <w:tc>
          <w:tcPr>
            <w:tcW w:w="100" w:type="dxa"/>
            <w:vAlign w:val="bottom"/>
            <w:tcBorders>
              <w:top w:val="single" w:sz="8" w:color="CCEEFF"/>
              <w:bottom w:val="single" w:sz="8" w:color="CCEEFF"/>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(2,080)</w:t>
            </w:r>
          </w:p>
        </w:tc>
        <w:tc>
          <w:tcPr>
            <w:tcW w:w="220" w:type="dxa"/>
            <w:vAlign w:val="bottom"/>
            <w:tcBorders>
              <w:top w:val="single" w:sz="8" w:color="CCEEFF"/>
              <w:bottom w:val="single" w:sz="8" w:color="CCEEFF"/>
            </w:tcBorders>
          </w:tcPr>
          <w:p>
            <w:pPr>
              <w:spacing w:after="0"/>
              <w:rPr>
                <w:sz w:val="10"/>
                <w:szCs w:val="10"/>
                <w:color w:val="auto"/>
              </w:rPr>
            </w:pPr>
          </w:p>
        </w:tc>
        <w:tc>
          <w:tcPr>
            <w:tcW w:w="20" w:type="dxa"/>
            <w:vAlign w:val="bottom"/>
            <w:tcBorders>
              <w:top w:val="single" w:sz="8" w:color="CCEEFF"/>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24,324</w:t>
            </w:r>
          </w:p>
        </w:tc>
        <w:tc>
          <w:tcPr>
            <w:tcW w:w="120" w:type="dxa"/>
            <w:vAlign w:val="bottom"/>
            <w:tcBorders>
              <w:top w:val="single" w:sz="8" w:color="CCEEFF"/>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60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Accrued interest</w:t>
            </w:r>
          </w:p>
        </w:tc>
        <w:tc>
          <w:tcPr>
            <w:tcW w:w="8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156</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158</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60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22,485</w:t>
            </w:r>
          </w:p>
        </w:tc>
        <w:tc>
          <w:tcPr>
            <w:tcW w:w="22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2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24,482</w:t>
            </w:r>
          </w:p>
        </w:tc>
        <w:tc>
          <w:tcPr>
            <w:tcW w:w="1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60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w:t>
            </w:r>
          </w:p>
        </w:tc>
        <w:tc>
          <w:tcPr>
            <w:tcW w:w="8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306,343</w:t>
            </w: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346,979</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left="640" w:hanging="315"/>
        <w:spacing w:after="0" w:line="237" w:lineRule="auto"/>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December 2020, Credicorp Ltd. purchased subordinated bonds issued by Pacífico with an annual interest rate of 4.40 percent and maturity date in December 2030 amounting to US$4.5 million, equivalent to S/17.2 million, as of December 31, 2022 (S/17.8 million, as of December 31, 2021).</w:t>
      </w:r>
    </w:p>
    <w:p>
      <w:pPr>
        <w:ind w:left="620" w:hanging="295"/>
        <w:spacing w:after="0" w:line="251" w:lineRule="auto"/>
        <w:tabs>
          <w:tab w:leader="none" w:pos="6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March 2021, Credicorp Ltd. purchased subordinated bonds issued by Mibanco with an annual interest rate of 5.84 percent and maturity date in March 2031 amounting to S/8.6 million.</w:t>
      </w:r>
    </w:p>
    <w:p>
      <w:pPr>
        <w:spacing w:after="0" w:line="348" w:lineRule="exact"/>
        <w:rPr>
          <w:rFonts w:ascii="Arial" w:cs="Arial" w:eastAsia="Arial" w:hAnsi="Arial"/>
          <w:sz w:val="14"/>
          <w:szCs w:val="14"/>
          <w:color w:val="auto"/>
        </w:rPr>
      </w:pPr>
    </w:p>
    <w:p>
      <w:pPr>
        <w:ind w:left="5520" w:hanging="102"/>
        <w:spacing w:after="0"/>
        <w:tabs>
          <w:tab w:leader="none" w:pos="55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34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36" w:name="page37"/>
    <w:bookmarkEnd w:id="36"/>
    <w:p>
      <w:pPr>
        <w:spacing w:after="0"/>
        <w:tabs>
          <w:tab w:leader="none" w:pos="3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In subsidiaries:</w:t>
      </w:r>
    </w:p>
    <w:p>
      <w:pPr>
        <w:spacing w:after="0" w:line="172" w:lineRule="exact"/>
        <w:rPr>
          <w:sz w:val="20"/>
          <w:szCs w:val="20"/>
          <w:color w:val="auto"/>
        </w:rPr>
      </w:pPr>
    </w:p>
    <w:tbl>
      <w:tblPr>
        <w:tblLayout w:type="fixed"/>
        <w:tblInd w:w="320" w:type="dxa"/>
        <w:tblCellMar>
          <w:top w:w="0" w:type="dxa"/>
          <w:left w:w="0" w:type="dxa"/>
          <w:bottom w:w="0" w:type="dxa"/>
          <w:right w:w="0" w:type="dxa"/>
        </w:tblCellMar>
      </w:tblPr>
      <w:tr>
        <w:trPr>
          <w:trHeight w:val="159"/>
        </w:trPr>
        <w:tc>
          <w:tcPr>
            <w:tcW w:w="2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Entity</w:t>
            </w:r>
          </w:p>
        </w:tc>
        <w:tc>
          <w:tcPr>
            <w:tcW w:w="19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Country</w:t>
            </w:r>
          </w:p>
        </w:tc>
        <w:tc>
          <w:tcPr>
            <w:tcW w:w="1800" w:type="dxa"/>
            <w:vAlign w:val="bottom"/>
            <w:vMerge w:val="restart"/>
          </w:tcPr>
          <w:p>
            <w:pPr>
              <w:spacing w:after="0"/>
              <w:rPr>
                <w:sz w:val="20"/>
                <w:szCs w:val="20"/>
                <w:color w:val="auto"/>
              </w:rPr>
            </w:pPr>
            <w:r>
              <w:rPr>
                <w:rFonts w:ascii="Arial" w:cs="Arial" w:eastAsia="Arial" w:hAnsi="Arial"/>
                <w:sz w:val="12"/>
                <w:szCs w:val="12"/>
                <w:b w:val="1"/>
                <w:bCs w:val="1"/>
                <w:color w:val="auto"/>
              </w:rPr>
              <w:t>Operations</w:t>
            </w:r>
          </w:p>
        </w:tc>
        <w:tc>
          <w:tcPr>
            <w:tcW w:w="2340" w:type="dxa"/>
            <w:vAlign w:val="bottom"/>
            <w:gridSpan w:val="4"/>
          </w:tcPr>
          <w:p>
            <w:pPr>
              <w:ind w:left="120"/>
              <w:spacing w:after="0"/>
              <w:rPr>
                <w:sz w:val="20"/>
                <w:szCs w:val="20"/>
                <w:color w:val="auto"/>
              </w:rPr>
            </w:pPr>
            <w:r>
              <w:rPr>
                <w:rFonts w:ascii="Arial" w:cs="Arial" w:eastAsia="Arial" w:hAnsi="Arial"/>
                <w:sz w:val="12"/>
                <w:szCs w:val="12"/>
                <w:b w:val="1"/>
                <w:bCs w:val="1"/>
                <w:color w:val="auto"/>
              </w:rPr>
              <w:t>Direct participation percentage</w:t>
            </w:r>
          </w:p>
        </w:tc>
        <w:tc>
          <w:tcPr>
            <w:tcW w:w="2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Equity Value</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36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2022</w:t>
            </w:r>
          </w:p>
        </w:tc>
        <w:tc>
          <w:tcPr>
            <w:tcW w:w="1220" w:type="dxa"/>
            <w:vAlign w:val="bottom"/>
            <w:tcBorders>
              <w:top w:val="single" w:sz="8" w:color="auto"/>
            </w:tcBorders>
            <w:gridSpan w:val="2"/>
          </w:tcPr>
          <w:p>
            <w:pPr>
              <w:ind w:left="220"/>
              <w:spacing w:after="0" w:line="133" w:lineRule="exact"/>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2"/>
                <w:szCs w:val="12"/>
                <w:color w:val="auto"/>
              </w:rPr>
            </w:pPr>
          </w:p>
        </w:tc>
        <w:tc>
          <w:tcPr>
            <w:tcW w:w="100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2"/>
                <w:szCs w:val="12"/>
                <w:b w:val="1"/>
                <w:bCs w:val="1"/>
                <w:color w:val="auto"/>
              </w:rPr>
              <w:t>2022</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127"/>
        </w:trPr>
        <w:tc>
          <w:tcPr>
            <w:tcW w:w="2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1"/>
                <w:szCs w:val="11"/>
                <w:color w:val="auto"/>
              </w:rPr>
            </w:pPr>
          </w:p>
        </w:tc>
        <w:tc>
          <w:tcPr>
            <w:tcW w:w="100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b w:val="1"/>
                <w:bCs w:val="1"/>
                <w:color w:val="auto"/>
              </w:rPr>
              <w:t>S/000</w:t>
            </w:r>
          </w:p>
        </w:tc>
        <w:tc>
          <w:tcPr>
            <w:tcW w:w="220" w:type="dxa"/>
            <w:vAlign w:val="bottom"/>
          </w:tcPr>
          <w:p>
            <w:pPr>
              <w:spacing w:after="0"/>
              <w:rPr>
                <w:sz w:val="11"/>
                <w:szCs w:val="11"/>
                <w:color w:val="auto"/>
              </w:rPr>
            </w:pPr>
          </w:p>
        </w:tc>
        <w:tc>
          <w:tcPr>
            <w:tcW w:w="920" w:type="dxa"/>
            <w:vAlign w:val="bottom"/>
            <w:tcBorders>
              <w:top w:val="single" w:sz="8" w:color="auto"/>
            </w:tcBorders>
          </w:tcPr>
          <w:p>
            <w:pPr>
              <w:spacing w:after="0" w:line="127" w:lineRule="exact"/>
              <w:rPr>
                <w:sz w:val="20"/>
                <w:szCs w:val="20"/>
                <w:color w:val="auto"/>
              </w:rPr>
            </w:pPr>
            <w:r>
              <w:rPr>
                <w:rFonts w:ascii="Arial" w:cs="Arial" w:eastAsia="Arial" w:hAnsi="Arial"/>
                <w:sz w:val="12"/>
                <w:szCs w:val="12"/>
                <w:b w:val="1"/>
                <w:bCs w:val="1"/>
                <w:color w:val="auto"/>
              </w:rPr>
              <w:t>S/000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39"/>
        </w:trPr>
        <w:tc>
          <w:tcPr>
            <w:tcW w:w="2200" w:type="dxa"/>
            <w:vAlign w:val="bottom"/>
            <w:shd w:val="clear" w:color="auto" w:fill="CCEEFF"/>
          </w:tcPr>
          <w:p>
            <w:pPr>
              <w:spacing w:after="0"/>
              <w:rPr>
                <w:sz w:val="20"/>
                <w:szCs w:val="20"/>
                <w:color w:val="auto"/>
              </w:rPr>
            </w:pPr>
            <w:r>
              <w:rPr>
                <w:rFonts w:ascii="Arial" w:cs="Arial" w:eastAsia="Arial" w:hAnsi="Arial"/>
                <w:sz w:val="12"/>
                <w:szCs w:val="12"/>
                <w:color w:val="auto"/>
              </w:rPr>
              <w:t>Grupo Crédito S.A.</w:t>
            </w:r>
          </w:p>
        </w:tc>
        <w:tc>
          <w:tcPr>
            <w:tcW w:w="15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Peru</w:t>
            </w:r>
          </w:p>
        </w:tc>
        <w:tc>
          <w:tcPr>
            <w:tcW w:w="25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Holding</w:t>
            </w:r>
          </w:p>
        </w:tc>
        <w:tc>
          <w:tcPr>
            <w:tcW w:w="1360" w:type="dxa"/>
            <w:vAlign w:val="bottom"/>
            <w:shd w:val="clear" w:color="auto" w:fill="CCEEFF"/>
          </w:tcPr>
          <w:p>
            <w:pPr>
              <w:jc w:val="right"/>
              <w:ind w:right="358"/>
              <w:spacing w:after="0"/>
              <w:rPr>
                <w:sz w:val="20"/>
                <w:szCs w:val="20"/>
                <w:color w:val="auto"/>
              </w:rPr>
            </w:pPr>
            <w:r>
              <w:rPr>
                <w:rFonts w:ascii="Arial" w:cs="Arial" w:eastAsia="Arial" w:hAnsi="Arial"/>
                <w:sz w:val="12"/>
                <w:szCs w:val="12"/>
                <w:color w:val="auto"/>
              </w:rPr>
              <w:t>100.00</w:t>
            </w:r>
          </w:p>
        </w:tc>
        <w:tc>
          <w:tcPr>
            <w:tcW w:w="102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100.00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29,358,155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26,388,443</w:t>
            </w:r>
          </w:p>
        </w:tc>
        <w:tc>
          <w:tcPr>
            <w:tcW w:w="100" w:type="dxa"/>
            <w:vAlign w:val="bottom"/>
            <w:shd w:val="clear" w:color="auto" w:fill="CCEEFF"/>
          </w:tcPr>
          <w:p>
            <w:pPr>
              <w:spacing w:after="0"/>
              <w:rPr>
                <w:sz w:val="12"/>
                <w:szCs w:val="12"/>
                <w:color w:val="auto"/>
              </w:rPr>
            </w:pPr>
          </w:p>
        </w:tc>
      </w:tr>
      <w:tr>
        <w:trPr>
          <w:trHeight w:val="127"/>
        </w:trPr>
        <w:tc>
          <w:tcPr>
            <w:tcW w:w="2200" w:type="dxa"/>
            <w:vAlign w:val="bottom"/>
          </w:tcPr>
          <w:p>
            <w:pPr>
              <w:spacing w:after="0" w:line="127" w:lineRule="exact"/>
              <w:rPr>
                <w:sz w:val="20"/>
                <w:szCs w:val="20"/>
                <w:color w:val="auto"/>
              </w:rPr>
            </w:pPr>
            <w:r>
              <w:rPr>
                <w:rFonts w:ascii="Arial" w:cs="Arial" w:eastAsia="Arial" w:hAnsi="Arial"/>
                <w:sz w:val="12"/>
                <w:szCs w:val="12"/>
                <w:color w:val="auto"/>
              </w:rPr>
              <w:t>Pacífico Compañía de Seguros y</w:t>
            </w:r>
          </w:p>
        </w:tc>
        <w:tc>
          <w:tcPr>
            <w:tcW w:w="15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9"/>
        </w:trPr>
        <w:tc>
          <w:tcPr>
            <w:tcW w:w="2200" w:type="dxa"/>
            <w:vAlign w:val="bottom"/>
          </w:tcPr>
          <w:p>
            <w:pPr>
              <w:spacing w:after="0"/>
              <w:rPr>
                <w:sz w:val="20"/>
                <w:szCs w:val="20"/>
                <w:color w:val="auto"/>
              </w:rPr>
            </w:pPr>
            <w:r>
              <w:rPr>
                <w:rFonts w:ascii="Arial" w:cs="Arial" w:eastAsia="Arial" w:hAnsi="Arial"/>
                <w:sz w:val="12"/>
                <w:szCs w:val="12"/>
                <w:color w:val="auto"/>
              </w:rPr>
              <w:t>Reaseguros S.A.</w:t>
            </w:r>
          </w:p>
        </w:tc>
        <w:tc>
          <w:tcPr>
            <w:tcW w:w="1560" w:type="dxa"/>
            <w:vAlign w:val="bottom"/>
          </w:tcPr>
          <w:p>
            <w:pPr>
              <w:ind w:left="160"/>
              <w:spacing w:after="0"/>
              <w:rPr>
                <w:sz w:val="20"/>
                <w:szCs w:val="20"/>
                <w:color w:val="auto"/>
              </w:rPr>
            </w:pPr>
            <w:r>
              <w:rPr>
                <w:rFonts w:ascii="Arial" w:cs="Arial" w:eastAsia="Arial" w:hAnsi="Arial"/>
                <w:sz w:val="12"/>
                <w:szCs w:val="12"/>
                <w:color w:val="auto"/>
              </w:rPr>
              <w:t>Peru</w:t>
            </w:r>
          </w:p>
        </w:tc>
        <w:tc>
          <w:tcPr>
            <w:tcW w:w="2500" w:type="dxa"/>
            <w:vAlign w:val="bottom"/>
          </w:tcPr>
          <w:p>
            <w:pPr>
              <w:ind w:left="520"/>
              <w:spacing w:after="0"/>
              <w:rPr>
                <w:sz w:val="20"/>
                <w:szCs w:val="20"/>
                <w:color w:val="auto"/>
              </w:rPr>
            </w:pPr>
            <w:r>
              <w:rPr>
                <w:rFonts w:ascii="Arial" w:cs="Arial" w:eastAsia="Arial" w:hAnsi="Arial"/>
                <w:sz w:val="12"/>
                <w:szCs w:val="12"/>
                <w:color w:val="auto"/>
              </w:rPr>
              <w:t>Insurance</w:t>
            </w:r>
          </w:p>
        </w:tc>
        <w:tc>
          <w:tcPr>
            <w:tcW w:w="1360" w:type="dxa"/>
            <w:vAlign w:val="bottom"/>
          </w:tcPr>
          <w:p>
            <w:pPr>
              <w:jc w:val="right"/>
              <w:ind w:right="358"/>
              <w:spacing w:after="0"/>
              <w:rPr>
                <w:sz w:val="20"/>
                <w:szCs w:val="20"/>
                <w:color w:val="auto"/>
              </w:rPr>
            </w:pPr>
            <w:r>
              <w:rPr>
                <w:rFonts w:ascii="Arial" w:cs="Arial" w:eastAsia="Arial" w:hAnsi="Arial"/>
                <w:sz w:val="12"/>
                <w:szCs w:val="12"/>
                <w:color w:val="auto"/>
              </w:rPr>
              <w:t>65.20</w:t>
            </w:r>
          </w:p>
        </w:tc>
        <w:tc>
          <w:tcPr>
            <w:tcW w:w="1020" w:type="dxa"/>
            <w:vAlign w:val="bottom"/>
          </w:tcPr>
          <w:p>
            <w:pPr>
              <w:jc w:val="right"/>
              <w:ind w:right="158"/>
              <w:spacing w:after="0"/>
              <w:rPr>
                <w:sz w:val="20"/>
                <w:szCs w:val="20"/>
                <w:color w:val="auto"/>
              </w:rPr>
            </w:pPr>
            <w:r>
              <w:rPr>
                <w:rFonts w:ascii="Arial" w:cs="Arial" w:eastAsia="Arial" w:hAnsi="Arial"/>
                <w:sz w:val="12"/>
                <w:szCs w:val="12"/>
                <w:color w:val="auto"/>
              </w:rPr>
              <w:t>65.20</w:t>
            </w: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1,589,265</w:t>
            </w:r>
          </w:p>
        </w:tc>
        <w:tc>
          <w:tcPr>
            <w:tcW w:w="940" w:type="dxa"/>
            <w:vAlign w:val="bottom"/>
            <w:gridSpan w:val="2"/>
          </w:tcPr>
          <w:p>
            <w:pPr>
              <w:jc w:val="right"/>
              <w:ind w:right="20"/>
              <w:spacing w:after="0"/>
              <w:rPr>
                <w:sz w:val="20"/>
                <w:szCs w:val="20"/>
                <w:color w:val="auto"/>
              </w:rPr>
            </w:pPr>
            <w:r>
              <w:rPr>
                <w:rFonts w:ascii="Arial" w:cs="Arial" w:eastAsia="Arial" w:hAnsi="Arial"/>
                <w:sz w:val="12"/>
                <w:szCs w:val="12"/>
                <w:color w:val="auto"/>
              </w:rPr>
              <w:t>1,522,954</w:t>
            </w:r>
          </w:p>
        </w:tc>
        <w:tc>
          <w:tcPr>
            <w:tcW w:w="100" w:type="dxa"/>
            <w:vAlign w:val="bottom"/>
          </w:tcPr>
          <w:p>
            <w:pPr>
              <w:spacing w:after="0"/>
              <w:rPr>
                <w:sz w:val="12"/>
                <w:szCs w:val="12"/>
                <w:color w:val="auto"/>
              </w:rPr>
            </w:pPr>
          </w:p>
        </w:tc>
      </w:tr>
      <w:tr>
        <w:trPr>
          <w:trHeight w:val="127"/>
        </w:trPr>
        <w:tc>
          <w:tcPr>
            <w:tcW w:w="220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Atlantic Security Holding Corporation</w:t>
            </w:r>
          </w:p>
        </w:tc>
        <w:tc>
          <w:tcPr>
            <w:tcW w:w="156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9"/>
        </w:trPr>
        <w:tc>
          <w:tcPr>
            <w:tcW w:w="2200" w:type="dxa"/>
            <w:vAlign w:val="bottom"/>
            <w:shd w:val="clear" w:color="auto" w:fill="CCEEFF"/>
          </w:tcPr>
          <w:p>
            <w:pPr>
              <w:spacing w:after="0"/>
              <w:rPr>
                <w:sz w:val="20"/>
                <w:szCs w:val="20"/>
                <w:color w:val="auto"/>
              </w:rPr>
            </w:pPr>
            <w:r>
              <w:rPr>
                <w:rFonts w:ascii="Arial" w:cs="Arial" w:eastAsia="Arial" w:hAnsi="Arial"/>
                <w:sz w:val="12"/>
                <w:szCs w:val="12"/>
                <w:color w:val="auto"/>
              </w:rPr>
              <w:t>and Subsidiaries</w:t>
            </w:r>
          </w:p>
        </w:tc>
        <w:tc>
          <w:tcPr>
            <w:tcW w:w="15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Cayman Islands</w:t>
            </w:r>
          </w:p>
        </w:tc>
        <w:tc>
          <w:tcPr>
            <w:tcW w:w="25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Capital Markets</w:t>
            </w:r>
          </w:p>
        </w:tc>
        <w:tc>
          <w:tcPr>
            <w:tcW w:w="1360" w:type="dxa"/>
            <w:vAlign w:val="bottom"/>
            <w:shd w:val="clear" w:color="auto" w:fill="CCEEFF"/>
          </w:tcPr>
          <w:p>
            <w:pPr>
              <w:jc w:val="right"/>
              <w:ind w:right="358"/>
              <w:spacing w:after="0"/>
              <w:rPr>
                <w:sz w:val="20"/>
                <w:szCs w:val="20"/>
                <w:color w:val="auto"/>
              </w:rPr>
            </w:pPr>
            <w:r>
              <w:rPr>
                <w:rFonts w:ascii="Arial" w:cs="Arial" w:eastAsia="Arial" w:hAnsi="Arial"/>
                <w:sz w:val="12"/>
                <w:szCs w:val="12"/>
                <w:color w:val="auto"/>
              </w:rPr>
              <w:t>100.00</w:t>
            </w:r>
          </w:p>
        </w:tc>
        <w:tc>
          <w:tcPr>
            <w:tcW w:w="102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100.00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1,956,817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2,244,518</w:t>
            </w:r>
          </w:p>
        </w:tc>
        <w:tc>
          <w:tcPr>
            <w:tcW w:w="100" w:type="dxa"/>
            <w:vAlign w:val="bottom"/>
            <w:shd w:val="clear" w:color="auto" w:fill="CCEEFF"/>
          </w:tcPr>
          <w:p>
            <w:pPr>
              <w:spacing w:after="0"/>
              <w:rPr>
                <w:sz w:val="12"/>
                <w:szCs w:val="12"/>
                <w:color w:val="auto"/>
              </w:rPr>
            </w:pPr>
          </w:p>
        </w:tc>
      </w:tr>
      <w:tr>
        <w:trPr>
          <w:trHeight w:val="127"/>
        </w:trPr>
        <w:tc>
          <w:tcPr>
            <w:tcW w:w="2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500" w:type="dxa"/>
            <w:vAlign w:val="bottom"/>
          </w:tcPr>
          <w:p>
            <w:pPr>
              <w:ind w:left="520"/>
              <w:spacing w:after="0" w:line="127" w:lineRule="exact"/>
              <w:rPr>
                <w:sz w:val="20"/>
                <w:szCs w:val="20"/>
                <w:color w:val="auto"/>
              </w:rPr>
            </w:pPr>
            <w:r>
              <w:rPr>
                <w:rFonts w:ascii="Arial" w:cs="Arial" w:eastAsia="Arial" w:hAnsi="Arial"/>
                <w:sz w:val="12"/>
                <w:szCs w:val="12"/>
                <w:color w:val="auto"/>
              </w:rPr>
              <w:t>Capital Markets and asset</w:t>
            </w:r>
          </w:p>
        </w:tc>
        <w:tc>
          <w:tcPr>
            <w:tcW w:w="1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9"/>
        </w:trPr>
        <w:tc>
          <w:tcPr>
            <w:tcW w:w="2200" w:type="dxa"/>
            <w:vAlign w:val="bottom"/>
          </w:tcPr>
          <w:p>
            <w:pPr>
              <w:spacing w:after="0"/>
              <w:rPr>
                <w:sz w:val="20"/>
                <w:szCs w:val="20"/>
                <w:color w:val="auto"/>
              </w:rPr>
            </w:pPr>
            <w:r>
              <w:rPr>
                <w:rFonts w:ascii="Arial" w:cs="Arial" w:eastAsia="Arial" w:hAnsi="Arial"/>
                <w:sz w:val="12"/>
                <w:szCs w:val="12"/>
                <w:color w:val="auto"/>
              </w:rPr>
              <w:t>Credicorp Capital Ltd.</w:t>
            </w:r>
          </w:p>
        </w:tc>
        <w:tc>
          <w:tcPr>
            <w:tcW w:w="1560" w:type="dxa"/>
            <w:vAlign w:val="bottom"/>
          </w:tcPr>
          <w:p>
            <w:pPr>
              <w:ind w:left="160"/>
              <w:spacing w:after="0"/>
              <w:rPr>
                <w:sz w:val="20"/>
                <w:szCs w:val="20"/>
                <w:color w:val="auto"/>
              </w:rPr>
            </w:pPr>
            <w:r>
              <w:rPr>
                <w:rFonts w:ascii="Arial" w:cs="Arial" w:eastAsia="Arial" w:hAnsi="Arial"/>
                <w:sz w:val="12"/>
                <w:szCs w:val="12"/>
                <w:color w:val="auto"/>
              </w:rPr>
              <w:t>Bermuda</w:t>
            </w:r>
          </w:p>
        </w:tc>
        <w:tc>
          <w:tcPr>
            <w:tcW w:w="2500" w:type="dxa"/>
            <w:vAlign w:val="bottom"/>
          </w:tcPr>
          <w:p>
            <w:pPr>
              <w:ind w:left="520"/>
              <w:spacing w:after="0"/>
              <w:rPr>
                <w:sz w:val="20"/>
                <w:szCs w:val="20"/>
                <w:color w:val="auto"/>
              </w:rPr>
            </w:pPr>
            <w:r>
              <w:rPr>
                <w:rFonts w:ascii="Arial" w:cs="Arial" w:eastAsia="Arial" w:hAnsi="Arial"/>
                <w:sz w:val="12"/>
                <w:szCs w:val="12"/>
                <w:color w:val="auto"/>
              </w:rPr>
              <w:t>management</w:t>
            </w:r>
          </w:p>
        </w:tc>
        <w:tc>
          <w:tcPr>
            <w:tcW w:w="1360" w:type="dxa"/>
            <w:vAlign w:val="bottom"/>
          </w:tcPr>
          <w:p>
            <w:pPr>
              <w:jc w:val="right"/>
              <w:ind w:right="358"/>
              <w:spacing w:after="0"/>
              <w:rPr>
                <w:sz w:val="20"/>
                <w:szCs w:val="20"/>
                <w:color w:val="auto"/>
              </w:rPr>
            </w:pPr>
            <w:r>
              <w:rPr>
                <w:rFonts w:ascii="Arial" w:cs="Arial" w:eastAsia="Arial" w:hAnsi="Arial"/>
                <w:sz w:val="12"/>
                <w:szCs w:val="12"/>
                <w:color w:val="auto"/>
              </w:rPr>
              <w:t>100.00</w:t>
            </w:r>
          </w:p>
        </w:tc>
        <w:tc>
          <w:tcPr>
            <w:tcW w:w="1020" w:type="dxa"/>
            <w:vAlign w:val="bottom"/>
          </w:tcPr>
          <w:p>
            <w:pPr>
              <w:jc w:val="right"/>
              <w:ind w:right="158"/>
              <w:spacing w:after="0"/>
              <w:rPr>
                <w:sz w:val="20"/>
                <w:szCs w:val="20"/>
                <w:color w:val="auto"/>
              </w:rPr>
            </w:pPr>
            <w:r>
              <w:rPr>
                <w:rFonts w:ascii="Arial" w:cs="Arial" w:eastAsia="Arial" w:hAnsi="Arial"/>
                <w:sz w:val="12"/>
                <w:szCs w:val="12"/>
                <w:color w:val="auto"/>
              </w:rPr>
              <w:t>100.00</w:t>
            </w:r>
          </w:p>
        </w:tc>
        <w:tc>
          <w:tcPr>
            <w:tcW w:w="1000" w:type="dxa"/>
            <w:vAlign w:val="bottom"/>
          </w:tcPr>
          <w:p>
            <w:pPr>
              <w:jc w:val="right"/>
              <w:spacing w:after="0"/>
              <w:rPr>
                <w:sz w:val="20"/>
                <w:szCs w:val="20"/>
                <w:color w:val="auto"/>
              </w:rPr>
            </w:pPr>
            <w:r>
              <w:rPr>
                <w:rFonts w:ascii="Arial" w:cs="Arial" w:eastAsia="Arial" w:hAnsi="Arial"/>
                <w:sz w:val="12"/>
                <w:szCs w:val="12"/>
                <w:color w:val="auto"/>
              </w:rPr>
              <w:t>938,557</w:t>
            </w: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977,235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3"/>
        </w:trPr>
        <w:tc>
          <w:tcPr>
            <w:tcW w:w="22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CCR Inc.</w:t>
            </w:r>
          </w:p>
        </w:tc>
        <w:tc>
          <w:tcPr>
            <w:tcW w:w="1560" w:type="dxa"/>
            <w:vAlign w:val="bottom"/>
            <w:shd w:val="clear" w:color="auto" w:fill="CCEEFF"/>
          </w:tcPr>
          <w:p>
            <w:pPr>
              <w:ind w:left="160"/>
              <w:spacing w:after="0" w:line="133" w:lineRule="exact"/>
              <w:rPr>
                <w:sz w:val="20"/>
                <w:szCs w:val="20"/>
                <w:color w:val="auto"/>
              </w:rPr>
            </w:pPr>
            <w:r>
              <w:rPr>
                <w:rFonts w:ascii="Arial" w:cs="Arial" w:eastAsia="Arial" w:hAnsi="Arial"/>
                <w:sz w:val="12"/>
                <w:szCs w:val="12"/>
                <w:color w:val="auto"/>
              </w:rPr>
              <w:t>Bahamas</w:t>
            </w:r>
          </w:p>
        </w:tc>
        <w:tc>
          <w:tcPr>
            <w:tcW w:w="2500" w:type="dxa"/>
            <w:vAlign w:val="bottom"/>
            <w:shd w:val="clear" w:color="auto" w:fill="CCEEFF"/>
          </w:tcPr>
          <w:p>
            <w:pPr>
              <w:ind w:left="520"/>
              <w:spacing w:after="0" w:line="133" w:lineRule="exact"/>
              <w:rPr>
                <w:sz w:val="20"/>
                <w:szCs w:val="20"/>
                <w:color w:val="auto"/>
              </w:rPr>
            </w:pPr>
            <w:r>
              <w:rPr>
                <w:rFonts w:ascii="Arial" w:cs="Arial" w:eastAsia="Arial" w:hAnsi="Arial"/>
                <w:sz w:val="12"/>
                <w:szCs w:val="12"/>
                <w:color w:val="auto"/>
              </w:rPr>
              <w:t>Special purpose Entity</w:t>
            </w:r>
          </w:p>
        </w:tc>
        <w:tc>
          <w:tcPr>
            <w:tcW w:w="1360" w:type="dxa"/>
            <w:vAlign w:val="bottom"/>
            <w:shd w:val="clear" w:color="auto" w:fill="CCEEFF"/>
          </w:tcPr>
          <w:p>
            <w:pPr>
              <w:jc w:val="right"/>
              <w:ind w:right="358"/>
              <w:spacing w:after="0" w:line="133" w:lineRule="exact"/>
              <w:rPr>
                <w:sz w:val="20"/>
                <w:szCs w:val="20"/>
                <w:color w:val="auto"/>
              </w:rPr>
            </w:pPr>
            <w:r>
              <w:rPr>
                <w:rFonts w:ascii="Arial" w:cs="Arial" w:eastAsia="Arial" w:hAnsi="Arial"/>
                <w:sz w:val="12"/>
                <w:szCs w:val="12"/>
                <w:color w:val="auto"/>
              </w:rPr>
              <w:t>100.00</w:t>
            </w:r>
          </w:p>
        </w:tc>
        <w:tc>
          <w:tcPr>
            <w:tcW w:w="1020" w:type="dxa"/>
            <w:vAlign w:val="bottom"/>
            <w:shd w:val="clear" w:color="auto" w:fill="CCEEFF"/>
          </w:tcPr>
          <w:p>
            <w:pPr>
              <w:jc w:val="right"/>
              <w:ind w:right="158"/>
              <w:spacing w:after="0" w:line="133" w:lineRule="exact"/>
              <w:rPr>
                <w:sz w:val="20"/>
                <w:szCs w:val="20"/>
                <w:color w:val="auto"/>
              </w:rPr>
            </w:pPr>
            <w:r>
              <w:rPr>
                <w:rFonts w:ascii="Arial" w:cs="Arial" w:eastAsia="Arial" w:hAnsi="Arial"/>
                <w:sz w:val="12"/>
                <w:szCs w:val="12"/>
                <w:color w:val="auto"/>
              </w:rPr>
              <w:t>100.00</w:t>
            </w:r>
          </w:p>
        </w:tc>
        <w:tc>
          <w:tcPr>
            <w:tcW w:w="10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384</w:t>
            </w:r>
          </w:p>
        </w:tc>
        <w:tc>
          <w:tcPr>
            <w:tcW w:w="2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1,029</w:t>
            </w:r>
          </w:p>
        </w:tc>
        <w:tc>
          <w:tcPr>
            <w:tcW w:w="100" w:type="dxa"/>
            <w:vAlign w:val="bottom"/>
            <w:shd w:val="clear" w:color="auto" w:fill="CCEEFF"/>
          </w:tcPr>
          <w:p>
            <w:pPr>
              <w:spacing w:after="0"/>
              <w:rPr>
                <w:sz w:val="11"/>
                <w:szCs w:val="11"/>
                <w:color w:val="auto"/>
              </w:rPr>
            </w:pPr>
          </w:p>
        </w:tc>
      </w:tr>
      <w:tr>
        <w:trPr>
          <w:trHeight w:val="133"/>
        </w:trPr>
        <w:tc>
          <w:tcPr>
            <w:tcW w:w="2200" w:type="dxa"/>
            <w:vAlign w:val="bottom"/>
          </w:tcPr>
          <w:p>
            <w:pPr>
              <w:spacing w:after="0" w:line="133" w:lineRule="exact"/>
              <w:rPr>
                <w:sz w:val="20"/>
                <w:szCs w:val="20"/>
                <w:color w:val="auto"/>
              </w:rPr>
            </w:pPr>
            <w:r>
              <w:rPr>
                <w:rFonts w:ascii="Arial" w:cs="Arial" w:eastAsia="Arial" w:hAnsi="Arial"/>
                <w:sz w:val="12"/>
                <w:szCs w:val="12"/>
                <w:color w:val="auto"/>
              </w:rPr>
              <w:t>Banco de Crédito de Bolivia (*)</w:t>
            </w:r>
          </w:p>
        </w:tc>
        <w:tc>
          <w:tcPr>
            <w:tcW w:w="1560" w:type="dxa"/>
            <w:vAlign w:val="bottom"/>
          </w:tcPr>
          <w:p>
            <w:pPr>
              <w:ind w:left="160"/>
              <w:spacing w:after="0" w:line="133" w:lineRule="exact"/>
              <w:rPr>
                <w:sz w:val="20"/>
                <w:szCs w:val="20"/>
                <w:color w:val="auto"/>
              </w:rPr>
            </w:pPr>
            <w:r>
              <w:rPr>
                <w:rFonts w:ascii="Arial" w:cs="Arial" w:eastAsia="Arial" w:hAnsi="Arial"/>
                <w:sz w:val="12"/>
                <w:szCs w:val="12"/>
                <w:color w:val="auto"/>
              </w:rPr>
              <w:t>Bolivia</w:t>
            </w:r>
          </w:p>
        </w:tc>
        <w:tc>
          <w:tcPr>
            <w:tcW w:w="2500" w:type="dxa"/>
            <w:vAlign w:val="bottom"/>
          </w:tcPr>
          <w:p>
            <w:pPr>
              <w:ind w:left="520"/>
              <w:spacing w:after="0" w:line="133" w:lineRule="exact"/>
              <w:rPr>
                <w:sz w:val="20"/>
                <w:szCs w:val="20"/>
                <w:color w:val="auto"/>
              </w:rPr>
            </w:pPr>
            <w:r>
              <w:rPr>
                <w:rFonts w:ascii="Arial" w:cs="Arial" w:eastAsia="Arial" w:hAnsi="Arial"/>
                <w:sz w:val="12"/>
                <w:szCs w:val="12"/>
                <w:color w:val="auto"/>
              </w:rPr>
              <w:t>Banking</w:t>
            </w:r>
          </w:p>
        </w:tc>
        <w:tc>
          <w:tcPr>
            <w:tcW w:w="136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4.01</w:t>
            </w:r>
          </w:p>
        </w:tc>
        <w:tc>
          <w:tcPr>
            <w:tcW w:w="10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4.07</w:t>
            </w:r>
          </w:p>
        </w:tc>
        <w:tc>
          <w:tcPr>
            <w:tcW w:w="122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34,473</w:t>
            </w:r>
          </w:p>
        </w:tc>
        <w:tc>
          <w:tcPr>
            <w:tcW w:w="94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34,001</w:t>
            </w:r>
          </w:p>
        </w:tc>
        <w:tc>
          <w:tcPr>
            <w:tcW w:w="100" w:type="dxa"/>
            <w:vAlign w:val="bottom"/>
          </w:tcPr>
          <w:p>
            <w:pPr>
              <w:spacing w:after="0"/>
              <w:rPr>
                <w:sz w:val="11"/>
                <w:szCs w:val="11"/>
                <w:color w:val="auto"/>
              </w:rPr>
            </w:pPr>
          </w:p>
        </w:tc>
      </w:tr>
      <w:tr>
        <w:trPr>
          <w:trHeight w:val="153"/>
        </w:trPr>
        <w:tc>
          <w:tcPr>
            <w:tcW w:w="220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Inversiones Credicorp Bolivia S.A. (*)</w:t>
            </w:r>
          </w:p>
        </w:tc>
        <w:tc>
          <w:tcPr>
            <w:tcW w:w="1560" w:type="dxa"/>
            <w:vAlign w:val="bottom"/>
            <w:tcBorders>
              <w:bottom w:val="single" w:sz="8" w:color="CCEEFF"/>
            </w:tcBorders>
            <w:shd w:val="clear" w:color="auto" w:fill="CCEEFF"/>
          </w:tcPr>
          <w:p>
            <w:pPr>
              <w:ind w:left="160"/>
              <w:spacing w:after="0" w:line="133" w:lineRule="exact"/>
              <w:rPr>
                <w:sz w:val="20"/>
                <w:szCs w:val="20"/>
                <w:color w:val="auto"/>
              </w:rPr>
            </w:pPr>
            <w:r>
              <w:rPr>
                <w:rFonts w:ascii="Arial" w:cs="Arial" w:eastAsia="Arial" w:hAnsi="Arial"/>
                <w:sz w:val="12"/>
                <w:szCs w:val="12"/>
                <w:color w:val="auto"/>
              </w:rPr>
              <w:t>Bolivia</w:t>
            </w:r>
          </w:p>
        </w:tc>
        <w:tc>
          <w:tcPr>
            <w:tcW w:w="2500" w:type="dxa"/>
            <w:vAlign w:val="bottom"/>
            <w:tcBorders>
              <w:bottom w:val="single" w:sz="8" w:color="CCEEFF"/>
            </w:tcBorders>
            <w:shd w:val="clear" w:color="auto" w:fill="CCEEFF"/>
          </w:tcPr>
          <w:p>
            <w:pPr>
              <w:ind w:left="520"/>
              <w:spacing w:after="0" w:line="133" w:lineRule="exact"/>
              <w:rPr>
                <w:sz w:val="20"/>
                <w:szCs w:val="20"/>
                <w:color w:val="auto"/>
              </w:rPr>
            </w:pPr>
            <w:r>
              <w:rPr>
                <w:rFonts w:ascii="Arial" w:cs="Arial" w:eastAsia="Arial" w:hAnsi="Arial"/>
                <w:sz w:val="12"/>
                <w:szCs w:val="12"/>
                <w:color w:val="auto"/>
              </w:rPr>
              <w:t>Banking</w:t>
            </w:r>
          </w:p>
        </w:tc>
        <w:tc>
          <w:tcPr>
            <w:tcW w:w="1360" w:type="dxa"/>
            <w:vAlign w:val="bottom"/>
            <w:tcBorders>
              <w:bottom w:val="single" w:sz="8" w:color="CCEEFF"/>
            </w:tcBorders>
            <w:shd w:val="clear" w:color="auto" w:fill="CCEEFF"/>
          </w:tcPr>
          <w:p>
            <w:pPr>
              <w:jc w:val="right"/>
              <w:ind w:right="358"/>
              <w:spacing w:after="0" w:line="133" w:lineRule="exact"/>
              <w:rPr>
                <w:sz w:val="20"/>
                <w:szCs w:val="20"/>
                <w:color w:val="auto"/>
              </w:rPr>
            </w:pPr>
            <w:r>
              <w:rPr>
                <w:rFonts w:ascii="Arial" w:cs="Arial" w:eastAsia="Arial" w:hAnsi="Arial"/>
                <w:sz w:val="12"/>
                <w:szCs w:val="12"/>
                <w:color w:val="auto"/>
              </w:rPr>
              <w:t>0.08</w:t>
            </w:r>
          </w:p>
        </w:tc>
        <w:tc>
          <w:tcPr>
            <w:tcW w:w="1020" w:type="dxa"/>
            <w:vAlign w:val="bottom"/>
            <w:tcBorders>
              <w:bottom w:val="single" w:sz="8" w:color="CCEEFF"/>
            </w:tcBorders>
            <w:shd w:val="clear" w:color="auto" w:fill="CCEEFF"/>
          </w:tcPr>
          <w:p>
            <w:pPr>
              <w:jc w:val="right"/>
              <w:ind w:right="158"/>
              <w:spacing w:after="0" w:line="133" w:lineRule="exact"/>
              <w:rPr>
                <w:sz w:val="20"/>
                <w:szCs w:val="20"/>
                <w:color w:val="auto"/>
              </w:rPr>
            </w:pPr>
            <w:r>
              <w:rPr>
                <w:rFonts w:ascii="Arial" w:cs="Arial" w:eastAsia="Arial" w:hAnsi="Arial"/>
                <w:sz w:val="12"/>
                <w:szCs w:val="12"/>
                <w:color w:val="auto"/>
              </w:rPr>
              <w:t>0.08</w:t>
            </w:r>
          </w:p>
        </w:tc>
        <w:tc>
          <w:tcPr>
            <w:tcW w:w="10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667</w:t>
            </w: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647</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r>
      <w:tr>
        <w:trPr>
          <w:trHeight w:val="119"/>
        </w:trPr>
        <w:tc>
          <w:tcPr>
            <w:tcW w:w="2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33,878,318</w:t>
            </w:r>
          </w:p>
        </w:tc>
        <w:tc>
          <w:tcPr>
            <w:tcW w:w="220" w:type="dxa"/>
            <w:vAlign w:val="bottom"/>
          </w:tcPr>
          <w:p>
            <w:pPr>
              <w:spacing w:after="0"/>
              <w:rPr>
                <w:sz w:val="10"/>
                <w:szCs w:val="10"/>
                <w:color w:val="auto"/>
              </w:rPr>
            </w:pPr>
          </w:p>
        </w:tc>
        <w:tc>
          <w:tcPr>
            <w:tcW w:w="92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31,168,827</w:t>
            </w: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0"/>
        </w:trPr>
        <w:tc>
          <w:tcPr>
            <w:tcW w:w="2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ind w:left="640" w:hanging="315"/>
        <w:spacing w:after="0"/>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Credicorp has indirect control through Grupo Crédito S.A.</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348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338" w:right="359" w:bottom="1440" w:gutter="0" w:footer="0" w:header="0"/>
        </w:sectPr>
      </w:pPr>
    </w:p>
    <w:bookmarkStart w:id="37" w:name="page38"/>
    <w:bookmarkEnd w:id="37"/>
    <w:p>
      <w:pPr>
        <w:ind w:left="634"/>
        <w:spacing w:after="0"/>
        <w:rPr>
          <w:sz w:val="20"/>
          <w:szCs w:val="20"/>
          <w:color w:val="auto"/>
        </w:rPr>
      </w:pPr>
      <w:r>
        <w:rPr>
          <w:rFonts w:ascii="Arial" w:cs="Arial" w:eastAsia="Arial" w:hAnsi="Arial"/>
          <w:sz w:val="18"/>
          <w:szCs w:val="18"/>
          <w:color w:val="auto"/>
        </w:rPr>
        <w:t>As of December 31, 2022 and 2021 the movement of the investments in subsidiaries is as follows:</w:t>
      </w:r>
    </w:p>
    <w:p>
      <w:pPr>
        <w:spacing w:after="0" w:line="179" w:lineRule="exact"/>
        <w:rPr>
          <w:sz w:val="20"/>
          <w:szCs w:val="20"/>
          <w:color w:val="auto"/>
        </w:rPr>
      </w:pPr>
    </w:p>
    <w:tbl>
      <w:tblPr>
        <w:tblLayout w:type="fixed"/>
        <w:tblInd w:w="634" w:type="dxa"/>
        <w:tblCellMar>
          <w:top w:w="0" w:type="dxa"/>
          <w:left w:w="0" w:type="dxa"/>
          <w:bottom w:w="0" w:type="dxa"/>
          <w:right w:w="0" w:type="dxa"/>
        </w:tblCellMar>
      </w:tblPr>
      <w:tr>
        <w:trPr>
          <w:trHeight w:val="179"/>
        </w:trPr>
        <w:tc>
          <w:tcPr>
            <w:tcW w:w="5920" w:type="dxa"/>
            <w:vAlign w:val="bottom"/>
          </w:tcPr>
          <w:p>
            <w:pPr>
              <w:spacing w:after="0"/>
              <w:rPr>
                <w:sz w:val="15"/>
                <w:szCs w:val="15"/>
                <w:color w:val="auto"/>
              </w:rPr>
            </w:pPr>
          </w:p>
        </w:tc>
        <w:tc>
          <w:tcPr>
            <w:tcW w:w="2680" w:type="dxa"/>
            <w:vAlign w:val="bottom"/>
            <w:gridSpan w:val="2"/>
          </w:tcPr>
          <w:p>
            <w:pPr>
              <w:ind w:left="146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88"/>
        </w:trPr>
        <w:tc>
          <w:tcPr>
            <w:tcW w:w="5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S/000</w:t>
            </w:r>
          </w:p>
        </w:tc>
        <w:tc>
          <w:tcPr>
            <w:tcW w:w="200" w:type="dxa"/>
            <w:vAlign w:val="bottom"/>
          </w:tcPr>
          <w:p>
            <w:pPr>
              <w:spacing w:after="0"/>
              <w:rPr>
                <w:sz w:val="16"/>
                <w:szCs w:val="16"/>
                <w:color w:val="auto"/>
              </w:rPr>
            </w:pPr>
          </w:p>
        </w:tc>
        <w:tc>
          <w:tcPr>
            <w:tcW w:w="12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S/000</w:t>
            </w:r>
          </w:p>
        </w:tc>
        <w:tc>
          <w:tcPr>
            <w:tcW w:w="100" w:type="dxa"/>
            <w:vAlign w:val="bottom"/>
          </w:tcPr>
          <w:p>
            <w:pPr>
              <w:spacing w:after="0"/>
              <w:rPr>
                <w:sz w:val="16"/>
                <w:szCs w:val="16"/>
                <w:color w:val="auto"/>
              </w:rPr>
            </w:pPr>
          </w:p>
        </w:tc>
      </w:tr>
      <w:tr>
        <w:trPr>
          <w:trHeight w:val="170"/>
        </w:trPr>
        <w:tc>
          <w:tcPr>
            <w:tcW w:w="5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9"/>
        </w:trPr>
        <w:tc>
          <w:tcPr>
            <w:tcW w:w="592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Balance at January 1</w:t>
            </w:r>
          </w:p>
        </w:tc>
        <w:tc>
          <w:tcPr>
            <w:tcW w:w="268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31,168,827</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29,118,425</w:t>
            </w:r>
          </w:p>
        </w:tc>
        <w:tc>
          <w:tcPr>
            <w:tcW w:w="100" w:type="dxa"/>
            <w:vAlign w:val="bottom"/>
            <w:shd w:val="clear" w:color="auto" w:fill="CCEEFF"/>
          </w:tcPr>
          <w:p>
            <w:pPr>
              <w:spacing w:after="0"/>
              <w:rPr>
                <w:sz w:val="17"/>
                <w:szCs w:val="17"/>
                <w:color w:val="auto"/>
              </w:rPr>
            </w:pPr>
          </w:p>
        </w:tc>
      </w:tr>
      <w:tr>
        <w:trPr>
          <w:trHeight w:val="199"/>
        </w:trPr>
        <w:tc>
          <w:tcPr>
            <w:tcW w:w="5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9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share of the income from investments in subsidiaries</w:t>
            </w:r>
          </w:p>
        </w:tc>
        <w:tc>
          <w:tcPr>
            <w:tcW w:w="2880" w:type="dxa"/>
            <w:vAlign w:val="bottom"/>
            <w:gridSpan w:val="3"/>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5,156,494</w:t>
            </w:r>
          </w:p>
        </w:tc>
        <w:tc>
          <w:tcPr>
            <w:tcW w:w="1320" w:type="dxa"/>
            <w:vAlign w:val="bottom"/>
            <w:gridSpan w:val="3"/>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3,751,366</w:t>
            </w:r>
          </w:p>
        </w:tc>
      </w:tr>
      <w:tr>
        <w:trPr>
          <w:trHeight w:val="199"/>
        </w:trPr>
        <w:tc>
          <w:tcPr>
            <w:tcW w:w="5920" w:type="dxa"/>
            <w:vAlign w:val="bottom"/>
          </w:tcPr>
          <w:p>
            <w:pPr>
              <w:spacing w:after="0" w:line="199" w:lineRule="exact"/>
              <w:rPr>
                <w:sz w:val="20"/>
                <w:szCs w:val="20"/>
                <w:color w:val="auto"/>
              </w:rPr>
            </w:pPr>
            <w:r>
              <w:rPr>
                <w:rFonts w:ascii="Arial" w:cs="Arial" w:eastAsia="Arial" w:hAnsi="Arial"/>
                <w:sz w:val="18"/>
                <w:szCs w:val="18"/>
                <w:color w:val="auto"/>
              </w:rPr>
              <w:t>Dividends received from subsidiaries (a)</w:t>
            </w:r>
          </w:p>
        </w:tc>
        <w:tc>
          <w:tcPr>
            <w:tcW w:w="2880" w:type="dxa"/>
            <w:vAlign w:val="bottom"/>
            <w:gridSpan w:val="3"/>
          </w:tcPr>
          <w:p>
            <w:pPr>
              <w:jc w:val="right"/>
              <w:ind w:right="140"/>
              <w:spacing w:after="0" w:line="199" w:lineRule="exact"/>
              <w:rPr>
                <w:sz w:val="20"/>
                <w:szCs w:val="20"/>
                <w:color w:val="auto"/>
              </w:rPr>
            </w:pPr>
            <w:r>
              <w:rPr>
                <w:rFonts w:ascii="Arial" w:cs="Arial" w:eastAsia="Arial" w:hAnsi="Arial"/>
                <w:sz w:val="18"/>
                <w:szCs w:val="18"/>
                <w:color w:val="auto"/>
              </w:rPr>
              <w:t>(1,617,391)</w:t>
            </w:r>
          </w:p>
        </w:tc>
        <w:tc>
          <w:tcPr>
            <w:tcW w:w="1320" w:type="dxa"/>
            <w:vAlign w:val="bottom"/>
            <w:gridSpan w:val="3"/>
          </w:tcPr>
          <w:p>
            <w:pPr>
              <w:jc w:val="right"/>
              <w:ind w:right="40"/>
              <w:spacing w:after="0" w:line="199" w:lineRule="exact"/>
              <w:rPr>
                <w:sz w:val="20"/>
                <w:szCs w:val="20"/>
                <w:color w:val="auto"/>
              </w:rPr>
            </w:pPr>
            <w:r>
              <w:rPr>
                <w:rFonts w:ascii="Arial" w:cs="Arial" w:eastAsia="Arial" w:hAnsi="Arial"/>
                <w:sz w:val="18"/>
                <w:szCs w:val="18"/>
                <w:color w:val="auto"/>
              </w:rPr>
              <w:t>(676,313)</w:t>
            </w:r>
          </w:p>
        </w:tc>
      </w:tr>
      <w:tr>
        <w:trPr>
          <w:trHeight w:val="199"/>
        </w:trPr>
        <w:tc>
          <w:tcPr>
            <w:tcW w:w="59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Net unrealized (loss) gain of subsidiaries’ equity (b)</w:t>
            </w:r>
          </w:p>
        </w:tc>
        <w:tc>
          <w:tcPr>
            <w:tcW w:w="2880" w:type="dxa"/>
            <w:vAlign w:val="bottom"/>
            <w:gridSpan w:val="3"/>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(898,918)</w:t>
            </w:r>
          </w:p>
        </w:tc>
        <w:tc>
          <w:tcPr>
            <w:tcW w:w="1320" w:type="dxa"/>
            <w:vAlign w:val="bottom"/>
            <w:gridSpan w:val="3"/>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(1,426,654)</w:t>
            </w:r>
          </w:p>
        </w:tc>
      </w:tr>
      <w:tr>
        <w:trPr>
          <w:trHeight w:val="199"/>
        </w:trPr>
        <w:tc>
          <w:tcPr>
            <w:tcW w:w="5920" w:type="dxa"/>
            <w:vAlign w:val="bottom"/>
          </w:tcPr>
          <w:p>
            <w:pPr>
              <w:spacing w:after="0" w:line="199" w:lineRule="exact"/>
              <w:rPr>
                <w:sz w:val="20"/>
                <w:szCs w:val="20"/>
                <w:color w:val="auto"/>
              </w:rPr>
            </w:pPr>
            <w:r>
              <w:rPr>
                <w:rFonts w:ascii="Arial" w:cs="Arial" w:eastAsia="Arial" w:hAnsi="Arial"/>
                <w:sz w:val="18"/>
                <w:szCs w:val="18"/>
                <w:color w:val="auto"/>
              </w:rPr>
              <w:t>Capital contribution (c)</w:t>
            </w:r>
          </w:p>
        </w:tc>
        <w:tc>
          <w:tcPr>
            <w:tcW w:w="2880" w:type="dxa"/>
            <w:vAlign w:val="bottom"/>
            <w:gridSpan w:val="3"/>
          </w:tcPr>
          <w:p>
            <w:pPr>
              <w:jc w:val="right"/>
              <w:ind w:right="200"/>
              <w:spacing w:after="0" w:line="199" w:lineRule="exact"/>
              <w:rPr>
                <w:sz w:val="20"/>
                <w:szCs w:val="20"/>
                <w:color w:val="auto"/>
              </w:rPr>
            </w:pPr>
            <w:r>
              <w:rPr>
                <w:rFonts w:ascii="Arial" w:cs="Arial" w:eastAsia="Arial" w:hAnsi="Arial"/>
                <w:sz w:val="18"/>
                <w:szCs w:val="18"/>
                <w:color w:val="auto"/>
              </w:rPr>
              <w:t>60,000</w:t>
            </w:r>
          </w:p>
        </w:tc>
        <w:tc>
          <w:tcPr>
            <w:tcW w:w="122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364,639</w:t>
            </w:r>
          </w:p>
        </w:tc>
        <w:tc>
          <w:tcPr>
            <w:tcW w:w="100" w:type="dxa"/>
            <w:vAlign w:val="bottom"/>
          </w:tcPr>
          <w:p>
            <w:pPr>
              <w:spacing w:after="0"/>
              <w:rPr>
                <w:sz w:val="17"/>
                <w:szCs w:val="17"/>
                <w:color w:val="auto"/>
              </w:rPr>
            </w:pPr>
          </w:p>
        </w:tc>
      </w:tr>
      <w:tr>
        <w:trPr>
          <w:trHeight w:val="219"/>
        </w:trPr>
        <w:tc>
          <w:tcPr>
            <w:tcW w:w="59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Others</w:t>
            </w:r>
          </w:p>
        </w:tc>
        <w:tc>
          <w:tcPr>
            <w:tcW w:w="2880" w:type="dxa"/>
            <w:vAlign w:val="bottom"/>
            <w:gridSpan w:val="3"/>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9,306</w:t>
            </w:r>
          </w:p>
        </w:tc>
        <w:tc>
          <w:tcPr>
            <w:tcW w:w="1320" w:type="dxa"/>
            <w:vAlign w:val="bottom"/>
            <w:gridSpan w:val="3"/>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37,364</w:t>
            </w:r>
          </w:p>
        </w:tc>
      </w:tr>
      <w:tr>
        <w:trPr>
          <w:trHeight w:val="186"/>
        </w:trPr>
        <w:tc>
          <w:tcPr>
            <w:tcW w:w="5920" w:type="dxa"/>
            <w:vAlign w:val="bottom"/>
            <w:tcBorders>
              <w:top w:val="single" w:sz="8" w:color="CCEEFF"/>
            </w:tcBorders>
          </w:tcPr>
          <w:p>
            <w:pPr>
              <w:spacing w:after="0" w:line="186" w:lineRule="exact"/>
              <w:rPr>
                <w:sz w:val="20"/>
                <w:szCs w:val="20"/>
                <w:color w:val="auto"/>
              </w:rPr>
            </w:pPr>
            <w:r>
              <w:rPr>
                <w:rFonts w:ascii="Arial" w:cs="Arial" w:eastAsia="Arial" w:hAnsi="Arial"/>
                <w:sz w:val="18"/>
                <w:szCs w:val="18"/>
                <w:b w:val="1"/>
                <w:bCs w:val="1"/>
                <w:color w:val="auto"/>
              </w:rPr>
              <w:t>Ending balance</w:t>
            </w:r>
          </w:p>
        </w:tc>
        <w:tc>
          <w:tcPr>
            <w:tcW w:w="1460" w:type="dxa"/>
            <w:vAlign w:val="bottom"/>
            <w:tcBorders>
              <w:top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33,878,318</w:t>
            </w: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31,168,827</w:t>
            </w:r>
          </w:p>
        </w:tc>
        <w:tc>
          <w:tcPr>
            <w:tcW w:w="100" w:type="dxa"/>
            <w:vAlign w:val="bottom"/>
            <w:tcBorders>
              <w:top w:val="single" w:sz="8" w:color="CCEEFF"/>
            </w:tcBorders>
          </w:tcPr>
          <w:p>
            <w:pPr>
              <w:spacing w:after="0"/>
              <w:rPr>
                <w:sz w:val="16"/>
                <w:szCs w:val="16"/>
                <w:color w:val="auto"/>
              </w:rPr>
            </w:pPr>
          </w:p>
        </w:tc>
      </w:tr>
      <w:tr>
        <w:trPr>
          <w:trHeight w:val="20"/>
        </w:trPr>
        <w:tc>
          <w:tcPr>
            <w:tcW w:w="5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954" w:right="160" w:hanging="316"/>
        <w:spacing w:after="0" w:line="236" w:lineRule="auto"/>
        <w:tabs>
          <w:tab w:leader="none" w:pos="9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of December 31, 2022, the Company has received dividends from Grupo Crédito and ASHC for S/1,400.0 million and S/217.4 million, respectively (as of December 31, 2021, Grupo Crédito, ASHC, PPS, and CCL for S/350.0 million, S/164.4 million, S/137.0 million, and S/25.0 million respectively). Amounts do not include withholding taxes.</w:t>
      </w:r>
    </w:p>
    <w:p>
      <w:pPr>
        <w:spacing w:after="0" w:line="186" w:lineRule="exact"/>
        <w:rPr>
          <w:rFonts w:ascii="Arial" w:cs="Arial" w:eastAsia="Arial" w:hAnsi="Arial"/>
          <w:sz w:val="18"/>
          <w:szCs w:val="18"/>
          <w:color w:val="auto"/>
        </w:rPr>
      </w:pPr>
    </w:p>
    <w:p>
      <w:pPr>
        <w:ind w:left="954" w:right="160" w:hanging="316"/>
        <w:spacing w:after="0" w:line="251" w:lineRule="auto"/>
        <w:tabs>
          <w:tab w:leader="none" w:pos="954" w:val="left"/>
        </w:tabs>
        <w:numPr>
          <w:ilvl w:val="0"/>
          <w:numId w:val="33"/>
        </w:numPr>
        <w:rPr>
          <w:rFonts w:ascii="Arial" w:cs="Arial" w:eastAsia="Arial" w:hAnsi="Arial"/>
          <w:sz w:val="17"/>
          <w:szCs w:val="17"/>
          <w:color w:val="auto"/>
        </w:rPr>
      </w:pPr>
      <w:r>
        <w:rPr>
          <w:rFonts w:ascii="Arial" w:cs="Arial" w:eastAsia="Arial" w:hAnsi="Arial"/>
          <w:sz w:val="17"/>
          <w:szCs w:val="17"/>
          <w:color w:val="auto"/>
        </w:rPr>
        <w:t>As of December 31, 2022, the movement comprises unrealized loss from ASHC, Grupo Crédito, Pacifico, CCL and BCB amounting to S/310.5 million, S/234.4 million, S/224.0 million, S/127.9 million and S/2.1 million, respectively (As of December 31, 2021, the movement comprises unrealized loss from Grupo Crédito, Pacifico and CCL for S/1,221.0 million, S/224.0 million and S/60.0 million, respectively, and unrealized gain from ASHC and BCB amounting to S/75.0 million and S/3.0 million, respectively).</w:t>
      </w:r>
    </w:p>
    <w:p>
      <w:pPr>
        <w:spacing w:after="0" w:line="178" w:lineRule="exact"/>
        <w:rPr>
          <w:rFonts w:ascii="Arial" w:cs="Arial" w:eastAsia="Arial" w:hAnsi="Arial"/>
          <w:sz w:val="17"/>
          <w:szCs w:val="17"/>
          <w:color w:val="auto"/>
        </w:rPr>
      </w:pPr>
    </w:p>
    <w:p>
      <w:pPr>
        <w:ind w:left="954" w:right="640" w:hanging="316"/>
        <w:spacing w:after="0" w:line="265" w:lineRule="auto"/>
        <w:tabs>
          <w:tab w:leader="none" w:pos="954" w:val="left"/>
        </w:tabs>
        <w:numPr>
          <w:ilvl w:val="0"/>
          <w:numId w:val="33"/>
        </w:numPr>
        <w:rPr>
          <w:rFonts w:ascii="Arial" w:cs="Arial" w:eastAsia="Arial" w:hAnsi="Arial"/>
          <w:sz w:val="17"/>
          <w:szCs w:val="17"/>
          <w:color w:val="auto"/>
        </w:rPr>
      </w:pPr>
      <w:r>
        <w:rPr>
          <w:rFonts w:ascii="Arial" w:cs="Arial" w:eastAsia="Arial" w:hAnsi="Arial"/>
          <w:sz w:val="17"/>
          <w:szCs w:val="17"/>
          <w:color w:val="auto"/>
        </w:rPr>
        <w:t>As of December 31, 2022, capital contributions were registered to Credicorp Capital Ltd. amounting to S/60.0 million. (As of December 31, 2021, capital contributions were registered to Atlantic Security Holding Corp. amounting to S/364.6 million).</w:t>
      </w:r>
    </w:p>
    <w:p>
      <w:pPr>
        <w:spacing w:after="0" w:line="144" w:lineRule="exact"/>
        <w:rPr>
          <w:sz w:val="20"/>
          <w:szCs w:val="20"/>
          <w:color w:val="auto"/>
        </w:rPr>
      </w:pPr>
    </w:p>
    <w:p>
      <w:pPr>
        <w:ind w:left="634" w:hanging="634"/>
        <w:spacing w:after="0"/>
        <w:tabs>
          <w:tab w:leader="none" w:pos="634"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BONDS AND NOTES ISSUED</w:t>
      </w:r>
    </w:p>
    <w:p>
      <w:pPr>
        <w:spacing w:after="0" w:line="213" w:lineRule="exact"/>
        <w:rPr>
          <w:rFonts w:ascii="Arial" w:cs="Arial" w:eastAsia="Arial" w:hAnsi="Arial"/>
          <w:sz w:val="18"/>
          <w:szCs w:val="18"/>
          <w:b w:val="1"/>
          <w:bCs w:val="1"/>
          <w:color w:val="auto"/>
        </w:rPr>
      </w:pPr>
    </w:p>
    <w:p>
      <w:pPr>
        <w:ind w:left="634"/>
        <w:spacing w:after="0" w:line="248" w:lineRule="auto"/>
        <w:rPr>
          <w:rFonts w:ascii="Arial" w:cs="Arial" w:eastAsia="Arial" w:hAnsi="Arial"/>
          <w:sz w:val="18"/>
          <w:szCs w:val="18"/>
          <w:b w:val="1"/>
          <w:bCs w:val="1"/>
          <w:color w:val="auto"/>
        </w:rPr>
      </w:pPr>
      <w:r>
        <w:rPr>
          <w:rFonts w:ascii="Arial" w:cs="Arial" w:eastAsia="Arial" w:hAnsi="Arial"/>
          <w:sz w:val="17"/>
          <w:szCs w:val="17"/>
          <w:color w:val="auto"/>
        </w:rPr>
        <w:t>In June 2020, Credicorp Ltd. issued Senior Notes for approximately US$500.0 million, equivalent to S/1,907.0 million as of December 31, 2022 (US$500.0 million, equivalent to S/1,993.5 million as of December 31, 2021) at fixed interest rate of 2.75 percent and maturity on June 17, 2025. These Senior Notes can redeem the whole or part mainly by the following ways (i) at any time prior to May 17, 2025, make whole or partial call, at Treasury plus 40 basis points, and (ii) at any time on or after May 17, 2025, at nominal value. The payment of principal will take place on the due date or when redeems the notes. Interest expense is recorded in the separate statement of income using the effective interest rate method amounting to S/68.1 million (S/57.9 million, as of December 31,2021).</w:t>
      </w:r>
    </w:p>
    <w:p>
      <w:pPr>
        <w:spacing w:after="0" w:line="182" w:lineRule="exact"/>
        <w:rPr>
          <w:rFonts w:ascii="Arial" w:cs="Arial" w:eastAsia="Arial" w:hAnsi="Arial"/>
          <w:sz w:val="18"/>
          <w:szCs w:val="18"/>
          <w:b w:val="1"/>
          <w:bCs w:val="1"/>
          <w:color w:val="auto"/>
        </w:rPr>
      </w:pPr>
    </w:p>
    <w:p>
      <w:pPr>
        <w:ind w:left="634" w:right="80"/>
        <w:spacing w:after="0" w:line="233" w:lineRule="auto"/>
        <w:rPr>
          <w:rFonts w:ascii="Arial" w:cs="Arial" w:eastAsia="Arial" w:hAnsi="Arial"/>
          <w:sz w:val="18"/>
          <w:szCs w:val="18"/>
          <w:b w:val="1"/>
          <w:bCs w:val="1"/>
          <w:color w:val="auto"/>
        </w:rPr>
      </w:pPr>
      <w:r>
        <w:rPr>
          <w:rFonts w:ascii="Arial" w:cs="Arial" w:eastAsia="Arial" w:hAnsi="Arial"/>
          <w:sz w:val="18"/>
          <w:szCs w:val="18"/>
          <w:color w:val="auto"/>
        </w:rPr>
        <w:t>As of December 31, 2022, Credicorp Ltd. designated as a hedge of a net investment of a foreign operation a portion of these bonds issued for approximately US$228.8 million, equivalent to S/872.7 million (US$228.8 million, equivalent to S/912.2 million, as of December 31, 2021), which hedges by the same amount the exposure of the net investment in the subsidiary Atlantic Security Holding Corporation (ASHC), established in Cayman Islands and whose functional currency is the U.S. dollars. This hedge covers the fluctuation in the exchange rate risk associated with the conversion of the net investment held in ASHC to Credicorp Ltd. functional currency (in Soles). As of December 31, 2022, net movement in hedges of net investments in foreign businesses operation amounts approximately S/39.6 million (S/57.3 million, as of December 31, 2021).</w:t>
      </w:r>
    </w:p>
    <w:p>
      <w:pPr>
        <w:spacing w:after="0" w:line="399" w:lineRule="exact"/>
        <w:rPr>
          <w:rFonts w:ascii="Arial" w:cs="Arial" w:eastAsia="Arial" w:hAnsi="Arial"/>
          <w:sz w:val="18"/>
          <w:szCs w:val="18"/>
          <w:b w:val="1"/>
          <w:bCs w:val="1"/>
          <w:color w:val="auto"/>
        </w:rPr>
      </w:pPr>
    </w:p>
    <w:p>
      <w:pPr>
        <w:ind w:left="5494" w:hanging="109"/>
        <w:spacing w:after="0"/>
        <w:tabs>
          <w:tab w:leader="none" w:pos="5494" w:val="left"/>
        </w:tabs>
        <w:numPr>
          <w:ilvl w:val="1"/>
          <w:numId w:val="34"/>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34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34"/>
          </w:cols>
          <w:pgMar w:left="326" w:top="33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640" w:type="dxa"/>
            <w:vAlign w:val="bottom"/>
          </w:tcPr>
          <w:p>
            <w:pPr>
              <w:jc w:val="right"/>
              <w:ind w:right="451"/>
              <w:spacing w:after="0"/>
              <w:rPr>
                <w:sz w:val="20"/>
                <w:szCs w:val="20"/>
                <w:color w:val="auto"/>
              </w:rPr>
            </w:pPr>
            <w:r>
              <w:rPr>
                <w:rFonts w:ascii="Arial" w:cs="Arial" w:eastAsia="Arial" w:hAnsi="Arial"/>
                <w:sz w:val="18"/>
                <w:szCs w:val="18"/>
                <w:b w:val="1"/>
                <w:bCs w:val="1"/>
                <w:color w:val="auto"/>
                <w:w w:val="79"/>
              </w:rPr>
              <w:t>7</w:t>
            </w:r>
          </w:p>
        </w:tc>
        <w:tc>
          <w:tcPr>
            <w:tcW w:w="564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8"/>
        </w:trPr>
        <w:tc>
          <w:tcPr>
            <w:tcW w:w="64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This item comprises:</w:t>
            </w: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6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880" w:type="dxa"/>
            <w:vAlign w:val="bottom"/>
            <w:gridSpan w:val="2"/>
          </w:tcPr>
          <w:p>
            <w:pPr>
              <w:ind w:left="154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r>
      <w:tr>
        <w:trPr>
          <w:trHeight w:val="234"/>
        </w:trPr>
        <w:tc>
          <w:tcPr>
            <w:tcW w:w="6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200" w:type="dxa"/>
            <w:vAlign w:val="bottom"/>
          </w:tcPr>
          <w:p>
            <w:pPr>
              <w:spacing w:after="0"/>
              <w:rPr>
                <w:sz w:val="20"/>
                <w:szCs w:val="20"/>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S/000</w:t>
            </w:r>
          </w:p>
        </w:tc>
        <w:tc>
          <w:tcPr>
            <w:tcW w:w="100" w:type="dxa"/>
            <w:vAlign w:val="bottom"/>
          </w:tcPr>
          <w:p>
            <w:pPr>
              <w:spacing w:after="0"/>
              <w:rPr>
                <w:sz w:val="20"/>
                <w:szCs w:val="20"/>
                <w:color w:val="auto"/>
              </w:rPr>
            </w:pPr>
          </w:p>
        </w:tc>
      </w:tr>
      <w:tr>
        <w:trPr>
          <w:trHeight w:val="164"/>
        </w:trPr>
        <w:tc>
          <w:tcPr>
            <w:tcW w:w="6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9"/>
        </w:trPr>
        <w:tc>
          <w:tcPr>
            <w:tcW w:w="640" w:type="dxa"/>
            <w:vAlign w:val="bottom"/>
          </w:tcPr>
          <w:p>
            <w:pPr>
              <w:spacing w:after="0"/>
              <w:rPr>
                <w:sz w:val="17"/>
                <w:szCs w:val="17"/>
                <w:color w:val="auto"/>
              </w:rPr>
            </w:pPr>
          </w:p>
        </w:tc>
        <w:tc>
          <w:tcPr>
            <w:tcW w:w="56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Provision for income tax on dividends, see Note 9(a)</w:t>
            </w:r>
          </w:p>
        </w:tc>
        <w:tc>
          <w:tcPr>
            <w:tcW w:w="3080" w:type="dxa"/>
            <w:vAlign w:val="bottom"/>
            <w:gridSpan w:val="3"/>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172,839</w:t>
            </w:r>
          </w:p>
        </w:tc>
        <w:tc>
          <w:tcPr>
            <w:tcW w:w="13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100,039</w:t>
            </w:r>
          </w:p>
        </w:tc>
        <w:tc>
          <w:tcPr>
            <w:tcW w:w="100" w:type="dxa"/>
            <w:vAlign w:val="bottom"/>
            <w:shd w:val="clear" w:color="auto" w:fill="CCEEFF"/>
          </w:tcPr>
          <w:p>
            <w:pPr>
              <w:spacing w:after="0"/>
              <w:rPr>
                <w:sz w:val="17"/>
                <w:szCs w:val="17"/>
                <w:color w:val="auto"/>
              </w:rPr>
            </w:pPr>
          </w:p>
        </w:tc>
      </w:tr>
      <w:tr>
        <w:trPr>
          <w:trHeight w:val="199"/>
        </w:trPr>
        <w:tc>
          <w:tcPr>
            <w:tcW w:w="640" w:type="dxa"/>
            <w:vAlign w:val="bottom"/>
          </w:tcPr>
          <w:p>
            <w:pPr>
              <w:spacing w:after="0"/>
              <w:rPr>
                <w:sz w:val="17"/>
                <w:szCs w:val="17"/>
                <w:color w:val="auto"/>
              </w:rPr>
            </w:pPr>
          </w:p>
        </w:tc>
        <w:tc>
          <w:tcPr>
            <w:tcW w:w="5640" w:type="dxa"/>
            <w:vAlign w:val="bottom"/>
          </w:tcPr>
          <w:p>
            <w:pPr>
              <w:spacing w:after="0" w:line="199" w:lineRule="exact"/>
              <w:rPr>
                <w:sz w:val="20"/>
                <w:szCs w:val="20"/>
                <w:color w:val="auto"/>
              </w:rPr>
            </w:pPr>
            <w:r>
              <w:rPr>
                <w:rFonts w:ascii="Arial" w:cs="Arial" w:eastAsia="Arial" w:hAnsi="Arial"/>
                <w:sz w:val="18"/>
                <w:szCs w:val="18"/>
                <w:color w:val="auto"/>
              </w:rPr>
              <w:t>Dividends pending from previous years (i)</w:t>
            </w:r>
          </w:p>
        </w:tc>
        <w:tc>
          <w:tcPr>
            <w:tcW w:w="3080" w:type="dxa"/>
            <w:vAlign w:val="bottom"/>
            <w:gridSpan w:val="3"/>
          </w:tcPr>
          <w:p>
            <w:pPr>
              <w:jc w:val="right"/>
              <w:ind w:right="200"/>
              <w:spacing w:after="0" w:line="199" w:lineRule="exact"/>
              <w:rPr>
                <w:sz w:val="20"/>
                <w:szCs w:val="20"/>
                <w:color w:val="auto"/>
              </w:rPr>
            </w:pPr>
            <w:r>
              <w:rPr>
                <w:rFonts w:ascii="Arial" w:cs="Arial" w:eastAsia="Arial" w:hAnsi="Arial"/>
                <w:sz w:val="18"/>
                <w:szCs w:val="18"/>
                <w:color w:val="auto"/>
              </w:rPr>
              <w:t>47,298</w:t>
            </w:r>
          </w:p>
        </w:tc>
        <w:tc>
          <w:tcPr>
            <w:tcW w:w="1400" w:type="dxa"/>
            <w:vAlign w:val="bottom"/>
            <w:gridSpan w:val="3"/>
          </w:tcPr>
          <w:p>
            <w:pPr>
              <w:jc w:val="right"/>
              <w:ind w:right="100"/>
              <w:spacing w:after="0" w:line="199" w:lineRule="exact"/>
              <w:rPr>
                <w:sz w:val="20"/>
                <w:szCs w:val="20"/>
                <w:color w:val="auto"/>
              </w:rPr>
            </w:pPr>
            <w:r>
              <w:rPr>
                <w:rFonts w:ascii="Arial" w:cs="Arial" w:eastAsia="Arial" w:hAnsi="Arial"/>
                <w:sz w:val="18"/>
                <w:szCs w:val="18"/>
                <w:color w:val="auto"/>
              </w:rPr>
              <w:t>57,217</w:t>
            </w:r>
          </w:p>
        </w:tc>
      </w:tr>
      <w:tr>
        <w:trPr>
          <w:trHeight w:val="219"/>
        </w:trPr>
        <w:tc>
          <w:tcPr>
            <w:tcW w:w="640" w:type="dxa"/>
            <w:vAlign w:val="bottom"/>
          </w:tcPr>
          <w:p>
            <w:pPr>
              <w:spacing w:after="0"/>
              <w:rPr>
                <w:sz w:val="19"/>
                <w:szCs w:val="19"/>
                <w:color w:val="auto"/>
              </w:rPr>
            </w:pPr>
          </w:p>
        </w:tc>
        <w:tc>
          <w:tcPr>
            <w:tcW w:w="56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Others</w:t>
            </w:r>
          </w:p>
        </w:tc>
        <w:tc>
          <w:tcPr>
            <w:tcW w:w="3080" w:type="dxa"/>
            <w:vAlign w:val="bottom"/>
            <w:gridSpan w:val="3"/>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505</w:t>
            </w:r>
          </w:p>
        </w:tc>
        <w:tc>
          <w:tcPr>
            <w:tcW w:w="1400" w:type="dxa"/>
            <w:vAlign w:val="bottom"/>
            <w:gridSpan w:val="3"/>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2,147</w:t>
            </w:r>
          </w:p>
        </w:tc>
      </w:tr>
      <w:tr>
        <w:trPr>
          <w:trHeight w:val="186"/>
        </w:trPr>
        <w:tc>
          <w:tcPr>
            <w:tcW w:w="640" w:type="dxa"/>
            <w:vAlign w:val="bottom"/>
          </w:tcPr>
          <w:p>
            <w:pPr>
              <w:spacing w:after="0"/>
              <w:rPr>
                <w:sz w:val="16"/>
                <w:szCs w:val="16"/>
                <w:color w:val="auto"/>
              </w:rPr>
            </w:pPr>
          </w:p>
        </w:tc>
        <w:tc>
          <w:tcPr>
            <w:tcW w:w="56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220,642</w:t>
            </w: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159,403</w:t>
            </w:r>
          </w:p>
        </w:tc>
        <w:tc>
          <w:tcPr>
            <w:tcW w:w="100" w:type="dxa"/>
            <w:vAlign w:val="bottom"/>
            <w:tcBorders>
              <w:top w:val="single" w:sz="8" w:color="CCEEFF"/>
            </w:tcBorders>
          </w:tcPr>
          <w:p>
            <w:pPr>
              <w:spacing w:after="0"/>
              <w:rPr>
                <w:sz w:val="16"/>
                <w:szCs w:val="16"/>
                <w:color w:val="auto"/>
              </w:rPr>
            </w:pPr>
          </w:p>
        </w:tc>
      </w:tr>
      <w:tr>
        <w:trPr>
          <w:trHeight w:val="20"/>
        </w:trPr>
        <w:tc>
          <w:tcPr>
            <w:tcW w:w="6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960" w:right="160" w:hanging="316"/>
        <w:spacing w:after="0" w:line="236"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December 31, 2022 and 2021, the balance comprises dividends returned by the Central Registry of Securities and Liquidations of the Peruvian Market (Cavali S.A. I.C.L.V by its acronym in Spanish), by those minority shareholders who could not be credited to their account banking.</w:t>
      </w:r>
    </w:p>
    <w:p>
      <w:pPr>
        <w:spacing w:after="0" w:line="164" w:lineRule="exact"/>
        <w:rPr>
          <w:sz w:val="20"/>
          <w:szCs w:val="20"/>
          <w:color w:val="auto"/>
        </w:rPr>
      </w:pPr>
    </w:p>
    <w:p>
      <w:pPr>
        <w:ind w:left="640" w:hanging="634"/>
        <w:spacing w:after="0"/>
        <w:tabs>
          <w:tab w:leader="none" w:pos="6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13" w:lineRule="exact"/>
        <w:rPr>
          <w:rFonts w:ascii="Arial" w:cs="Arial" w:eastAsia="Arial" w:hAnsi="Arial"/>
          <w:sz w:val="18"/>
          <w:szCs w:val="18"/>
          <w:b w:val="1"/>
          <w:bCs w:val="1"/>
          <w:color w:val="auto"/>
        </w:rPr>
      </w:pPr>
    </w:p>
    <w:p>
      <w:pPr>
        <w:ind w:left="960" w:hanging="316"/>
        <w:spacing w:after="0"/>
        <w:tabs>
          <w:tab w:leader="none" w:pos="9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Capital stock -</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2022 and 2021 a total of 94,382,317 shares have been issued at US$5.0 per share.</w:t>
      </w:r>
    </w:p>
    <w:p>
      <w:pPr>
        <w:spacing w:after="0" w:line="191" w:lineRule="exact"/>
        <w:rPr>
          <w:sz w:val="20"/>
          <w:szCs w:val="20"/>
          <w:color w:val="auto"/>
        </w:rPr>
      </w:pPr>
    </w:p>
    <w:p>
      <w:pPr>
        <w:ind w:left="640"/>
        <w:spacing w:after="0"/>
        <w:tabs>
          <w:tab w:leader="none" w:pos="9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Reserves -</w:t>
      </w:r>
    </w:p>
    <w:p>
      <w:pPr>
        <w:spacing w:after="0" w:line="191" w:lineRule="exact"/>
        <w:rPr>
          <w:sz w:val="20"/>
          <w:szCs w:val="20"/>
          <w:color w:val="auto"/>
        </w:rPr>
      </w:pPr>
    </w:p>
    <w:p>
      <w:pPr>
        <w:ind w:left="640" w:right="500"/>
        <w:spacing w:after="0" w:line="234" w:lineRule="auto"/>
        <w:rPr>
          <w:sz w:val="20"/>
          <w:szCs w:val="20"/>
          <w:color w:val="auto"/>
        </w:rPr>
      </w:pPr>
      <w:r>
        <w:rPr>
          <w:rFonts w:ascii="Arial" w:cs="Arial" w:eastAsia="Arial" w:hAnsi="Arial"/>
          <w:sz w:val="18"/>
          <w:szCs w:val="18"/>
          <w:color w:val="auto"/>
        </w:rPr>
        <w:t>Certain Company’s subsidiaries are required to keep a reserve that equals a percentage of paid-in capital (20.00, 30.00 or 50.00 percent, depending on its activities and the country in which production takes place); this reserve must be constituted with annual transfers of not less than 10.00 percent of net profits. As of December 31, 2022 and 2021, the balance of this reserves amounts approximately to S/23,300.0 million and S/20,946.0 million, respectively.</w:t>
      </w:r>
    </w:p>
    <w:p>
      <w:pPr>
        <w:spacing w:after="0" w:line="189" w:lineRule="exact"/>
        <w:rPr>
          <w:sz w:val="20"/>
          <w:szCs w:val="20"/>
          <w:color w:val="auto"/>
        </w:rPr>
      </w:pPr>
    </w:p>
    <w:p>
      <w:pPr>
        <w:ind w:left="640" w:right="280"/>
        <w:spacing w:after="0" w:line="238" w:lineRule="auto"/>
        <w:rPr>
          <w:sz w:val="20"/>
          <w:szCs w:val="20"/>
          <w:color w:val="auto"/>
        </w:rPr>
      </w:pPr>
      <w:r>
        <w:rPr>
          <w:rFonts w:ascii="Arial" w:cs="Arial" w:eastAsia="Arial" w:hAnsi="Arial"/>
          <w:sz w:val="18"/>
          <w:szCs w:val="18"/>
          <w:color w:val="auto"/>
        </w:rPr>
        <w:t>At the Board meetings held on April 28, 2022 and February 25, 2021, the decision was made to transfer from “Retained earnings” to “Reserves” S/2,354.9 million and S/347.0 million, respectively.</w:t>
      </w:r>
    </w:p>
    <w:p>
      <w:pPr>
        <w:spacing w:after="0" w:line="187" w:lineRule="exact"/>
        <w:rPr>
          <w:sz w:val="20"/>
          <w:szCs w:val="20"/>
          <w:color w:val="auto"/>
        </w:rPr>
      </w:pPr>
    </w:p>
    <w:p>
      <w:pPr>
        <w:ind w:left="640" w:right="220"/>
        <w:spacing w:after="0" w:line="238" w:lineRule="auto"/>
        <w:rPr>
          <w:sz w:val="20"/>
          <w:szCs w:val="20"/>
          <w:color w:val="auto"/>
        </w:rPr>
      </w:pPr>
      <w:r>
        <w:rPr>
          <w:rFonts w:ascii="Arial" w:cs="Arial" w:eastAsia="Arial" w:hAnsi="Arial"/>
          <w:sz w:val="18"/>
          <w:szCs w:val="18"/>
          <w:color w:val="auto"/>
        </w:rPr>
        <w:t>At the Board meetings held on April 28, 2022, the decision was made to transfer from "Reserves" to "Dividends payable" for S/1,415.7 million.</w:t>
      </w:r>
    </w:p>
    <w:p>
      <w:pPr>
        <w:spacing w:after="0" w:line="187" w:lineRule="exact"/>
        <w:rPr>
          <w:sz w:val="20"/>
          <w:szCs w:val="20"/>
          <w:color w:val="auto"/>
        </w:rPr>
      </w:pPr>
    </w:p>
    <w:p>
      <w:pPr>
        <w:ind w:left="640"/>
        <w:spacing w:after="0"/>
        <w:tabs>
          <w:tab w:leader="none" w:pos="9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Dividend distribution -</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chart below shows the distribution of dividends agreed by the Board of Directors: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160" w:type="dxa"/>
            <w:vAlign w:val="bottom"/>
            <w:gridSpan w:val="2"/>
          </w:tcPr>
          <w:p>
            <w:pPr>
              <w:ind w:left="282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4"/>
        </w:trPr>
        <w:tc>
          <w:tcPr>
            <w:tcW w:w="6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2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164"/>
        </w:trPr>
        <w:tc>
          <w:tcPr>
            <w:tcW w:w="6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99"/>
        </w:trPr>
        <w:tc>
          <w:tcPr>
            <w:tcW w:w="640" w:type="dxa"/>
            <w:vAlign w:val="bottom"/>
          </w:tcPr>
          <w:p>
            <w:pPr>
              <w:spacing w:after="0"/>
              <w:rPr>
                <w:sz w:val="17"/>
                <w:szCs w:val="17"/>
                <w:color w:val="auto"/>
              </w:rPr>
            </w:pPr>
          </w:p>
        </w:tc>
        <w:tc>
          <w:tcPr>
            <w:tcW w:w="43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Date of Meeting - Board of Directors</w:t>
            </w:r>
          </w:p>
        </w:tc>
        <w:tc>
          <w:tcPr>
            <w:tcW w:w="41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28.04.2022</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26.08.2021</w:t>
            </w:r>
          </w:p>
        </w:tc>
        <w:tc>
          <w:tcPr>
            <w:tcW w:w="10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199"/>
        </w:trPr>
        <w:tc>
          <w:tcPr>
            <w:tcW w:w="640" w:type="dxa"/>
            <w:vAlign w:val="bottom"/>
          </w:tcPr>
          <w:p>
            <w:pPr>
              <w:spacing w:after="0"/>
              <w:rPr>
                <w:sz w:val="17"/>
                <w:szCs w:val="17"/>
                <w:color w:val="auto"/>
              </w:rPr>
            </w:pPr>
          </w:p>
        </w:tc>
        <w:tc>
          <w:tcPr>
            <w:tcW w:w="4360" w:type="dxa"/>
            <w:vAlign w:val="bottom"/>
          </w:tcPr>
          <w:p>
            <w:pPr>
              <w:spacing w:after="0" w:line="199" w:lineRule="exact"/>
              <w:rPr>
                <w:sz w:val="20"/>
                <w:szCs w:val="20"/>
                <w:color w:val="auto"/>
              </w:rPr>
            </w:pPr>
            <w:r>
              <w:rPr>
                <w:rFonts w:ascii="Arial" w:cs="Arial" w:eastAsia="Arial" w:hAnsi="Arial"/>
                <w:sz w:val="18"/>
                <w:szCs w:val="18"/>
                <w:color w:val="auto"/>
              </w:rPr>
              <w:t>Dividends distribution</w:t>
            </w:r>
          </w:p>
        </w:tc>
        <w:tc>
          <w:tcPr>
            <w:tcW w:w="4360" w:type="dxa"/>
            <w:vAlign w:val="bottom"/>
            <w:gridSpan w:val="3"/>
          </w:tcPr>
          <w:p>
            <w:pPr>
              <w:jc w:val="right"/>
              <w:ind w:right="200"/>
              <w:spacing w:after="0" w:line="199" w:lineRule="exact"/>
              <w:rPr>
                <w:sz w:val="20"/>
                <w:szCs w:val="20"/>
                <w:color w:val="auto"/>
              </w:rPr>
            </w:pPr>
            <w:r>
              <w:rPr>
                <w:rFonts w:ascii="Arial" w:cs="Arial" w:eastAsia="Arial" w:hAnsi="Arial"/>
                <w:sz w:val="18"/>
                <w:szCs w:val="18"/>
                <w:color w:val="auto"/>
              </w:rPr>
              <w:t>1,415,734</w:t>
            </w:r>
          </w:p>
        </w:tc>
        <w:tc>
          <w:tcPr>
            <w:tcW w:w="1300" w:type="dxa"/>
            <w:vAlign w:val="bottom"/>
          </w:tcPr>
          <w:p>
            <w:pPr>
              <w:jc w:val="right"/>
              <w:spacing w:after="0" w:line="199" w:lineRule="exact"/>
              <w:rPr>
                <w:sz w:val="20"/>
                <w:szCs w:val="20"/>
                <w:color w:val="auto"/>
              </w:rPr>
            </w:pPr>
            <w:r>
              <w:rPr>
                <w:rFonts w:ascii="Arial" w:cs="Arial" w:eastAsia="Arial" w:hAnsi="Arial"/>
                <w:sz w:val="18"/>
                <w:szCs w:val="18"/>
                <w:color w:val="auto"/>
              </w:rPr>
              <w:t>471,912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9"/>
        </w:trPr>
        <w:tc>
          <w:tcPr>
            <w:tcW w:w="640" w:type="dxa"/>
            <w:vAlign w:val="bottom"/>
          </w:tcPr>
          <w:p>
            <w:pPr>
              <w:spacing w:after="0"/>
              <w:rPr>
                <w:sz w:val="17"/>
                <w:szCs w:val="17"/>
                <w:color w:val="auto"/>
              </w:rPr>
            </w:pPr>
          </w:p>
        </w:tc>
        <w:tc>
          <w:tcPr>
            <w:tcW w:w="43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Payment of dividends per share (in Soles)</w:t>
            </w:r>
          </w:p>
        </w:tc>
        <w:tc>
          <w:tcPr>
            <w:tcW w:w="4360" w:type="dxa"/>
            <w:vAlign w:val="bottom"/>
            <w:gridSpan w:val="3"/>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15.0</w:t>
            </w:r>
          </w:p>
        </w:tc>
        <w:tc>
          <w:tcPr>
            <w:tcW w:w="140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5.0</w:t>
            </w:r>
          </w:p>
        </w:tc>
        <w:tc>
          <w:tcPr>
            <w:tcW w:w="480" w:type="dxa"/>
            <w:vAlign w:val="bottom"/>
          </w:tcPr>
          <w:p>
            <w:pPr>
              <w:spacing w:after="0"/>
              <w:rPr>
                <w:sz w:val="17"/>
                <w:szCs w:val="17"/>
                <w:color w:val="auto"/>
              </w:rPr>
            </w:pPr>
          </w:p>
        </w:tc>
      </w:tr>
      <w:tr>
        <w:trPr>
          <w:trHeight w:val="199"/>
        </w:trPr>
        <w:tc>
          <w:tcPr>
            <w:tcW w:w="640" w:type="dxa"/>
            <w:vAlign w:val="bottom"/>
          </w:tcPr>
          <w:p>
            <w:pPr>
              <w:spacing w:after="0"/>
              <w:rPr>
                <w:sz w:val="17"/>
                <w:szCs w:val="17"/>
                <w:color w:val="auto"/>
              </w:rPr>
            </w:pPr>
          </w:p>
        </w:tc>
        <w:tc>
          <w:tcPr>
            <w:tcW w:w="4360" w:type="dxa"/>
            <w:vAlign w:val="bottom"/>
          </w:tcPr>
          <w:p>
            <w:pPr>
              <w:spacing w:after="0" w:line="199" w:lineRule="exact"/>
              <w:rPr>
                <w:sz w:val="20"/>
                <w:szCs w:val="20"/>
                <w:color w:val="auto"/>
              </w:rPr>
            </w:pPr>
            <w:r>
              <w:rPr>
                <w:rFonts w:ascii="Arial" w:cs="Arial" w:eastAsia="Arial" w:hAnsi="Arial"/>
                <w:sz w:val="18"/>
                <w:szCs w:val="18"/>
                <w:color w:val="auto"/>
              </w:rPr>
              <w:t>Date of dividends payout</w:t>
            </w:r>
          </w:p>
        </w:tc>
        <w:tc>
          <w:tcPr>
            <w:tcW w:w="41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10.06.2022</w:t>
            </w:r>
          </w:p>
        </w:tc>
        <w:tc>
          <w:tcPr>
            <w:tcW w:w="200" w:type="dxa"/>
            <w:vAlign w:val="bottom"/>
          </w:tcPr>
          <w:p>
            <w:pPr>
              <w:spacing w:after="0"/>
              <w:rPr>
                <w:sz w:val="17"/>
                <w:szCs w:val="17"/>
                <w:color w:val="auto"/>
              </w:rPr>
            </w:pPr>
          </w:p>
        </w:tc>
        <w:tc>
          <w:tcPr>
            <w:tcW w:w="1300" w:type="dxa"/>
            <w:vAlign w:val="bottom"/>
          </w:tcPr>
          <w:p>
            <w:pPr>
              <w:jc w:val="right"/>
              <w:spacing w:after="0" w:line="199" w:lineRule="exact"/>
              <w:rPr>
                <w:sz w:val="20"/>
                <w:szCs w:val="20"/>
                <w:color w:val="auto"/>
              </w:rPr>
            </w:pPr>
            <w:r>
              <w:rPr>
                <w:rFonts w:ascii="Arial" w:cs="Arial" w:eastAsia="Arial" w:hAnsi="Arial"/>
                <w:sz w:val="18"/>
                <w:szCs w:val="18"/>
                <w:color w:val="auto"/>
              </w:rPr>
              <w:t>07.10.2021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9"/>
        </w:trPr>
        <w:tc>
          <w:tcPr>
            <w:tcW w:w="640" w:type="dxa"/>
            <w:vAlign w:val="bottom"/>
          </w:tcPr>
          <w:p>
            <w:pPr>
              <w:spacing w:after="0"/>
              <w:rPr>
                <w:sz w:val="17"/>
                <w:szCs w:val="17"/>
                <w:color w:val="auto"/>
              </w:rPr>
            </w:pPr>
          </w:p>
        </w:tc>
        <w:tc>
          <w:tcPr>
            <w:tcW w:w="43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Exchange fixing rate published by the SBS</w:t>
            </w:r>
          </w:p>
        </w:tc>
        <w:tc>
          <w:tcPr>
            <w:tcW w:w="4360" w:type="dxa"/>
            <w:vAlign w:val="bottom"/>
            <w:gridSpan w:val="3"/>
            <w:shd w:val="clear" w:color="auto" w:fill="CCEEFF"/>
          </w:tcPr>
          <w:p>
            <w:pPr>
              <w:jc w:val="right"/>
              <w:ind w:right="200"/>
              <w:spacing w:after="0" w:line="199" w:lineRule="exact"/>
              <w:rPr>
                <w:sz w:val="20"/>
                <w:szCs w:val="20"/>
                <w:color w:val="auto"/>
              </w:rPr>
            </w:pPr>
            <w:r>
              <w:rPr>
                <w:rFonts w:ascii="Arial" w:cs="Arial" w:eastAsia="Arial" w:hAnsi="Arial"/>
                <w:sz w:val="18"/>
                <w:szCs w:val="18"/>
                <w:color w:val="auto"/>
              </w:rPr>
              <w:t>3.756</w:t>
            </w:r>
          </w:p>
        </w:tc>
        <w:tc>
          <w:tcPr>
            <w:tcW w:w="1400" w:type="dxa"/>
            <w:vAlign w:val="bottom"/>
            <w:gridSpan w:val="2"/>
            <w:shd w:val="clear" w:color="auto" w:fill="CCEEFF"/>
          </w:tcPr>
          <w:p>
            <w:pPr>
              <w:jc w:val="right"/>
              <w:ind w:right="100"/>
              <w:spacing w:after="0" w:line="199" w:lineRule="exact"/>
              <w:rPr>
                <w:sz w:val="20"/>
                <w:szCs w:val="20"/>
                <w:color w:val="auto"/>
              </w:rPr>
            </w:pPr>
            <w:r>
              <w:rPr>
                <w:rFonts w:ascii="Arial" w:cs="Arial" w:eastAsia="Arial" w:hAnsi="Arial"/>
                <w:sz w:val="18"/>
                <w:szCs w:val="18"/>
                <w:color w:val="auto"/>
              </w:rPr>
              <w:t>4.131</w:t>
            </w:r>
          </w:p>
        </w:tc>
        <w:tc>
          <w:tcPr>
            <w:tcW w:w="480" w:type="dxa"/>
            <w:vAlign w:val="bottom"/>
          </w:tcPr>
          <w:p>
            <w:pPr>
              <w:spacing w:after="0"/>
              <w:rPr>
                <w:sz w:val="17"/>
                <w:szCs w:val="17"/>
                <w:color w:val="auto"/>
              </w:rPr>
            </w:pPr>
          </w:p>
        </w:tc>
      </w:tr>
      <w:tr>
        <w:trPr>
          <w:trHeight w:val="212"/>
        </w:trPr>
        <w:tc>
          <w:tcPr>
            <w:tcW w:w="6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Dividends payout (equivalent in thousands of US$)</w:t>
            </w:r>
          </w:p>
        </w:tc>
        <w:tc>
          <w:tcPr>
            <w:tcW w:w="4360" w:type="dxa"/>
            <w:vAlign w:val="bottom"/>
            <w:gridSpan w:val="3"/>
          </w:tcPr>
          <w:p>
            <w:pPr>
              <w:jc w:val="right"/>
              <w:ind w:right="200"/>
              <w:spacing w:after="0"/>
              <w:rPr>
                <w:sz w:val="20"/>
                <w:szCs w:val="20"/>
                <w:color w:val="auto"/>
              </w:rPr>
            </w:pPr>
            <w:r>
              <w:rPr>
                <w:rFonts w:ascii="Arial" w:cs="Arial" w:eastAsia="Arial" w:hAnsi="Arial"/>
                <w:sz w:val="18"/>
                <w:szCs w:val="18"/>
                <w:color w:val="auto"/>
              </w:rPr>
              <w:t>376,926</w:t>
            </w:r>
          </w:p>
        </w:tc>
        <w:tc>
          <w:tcPr>
            <w:tcW w:w="1300" w:type="dxa"/>
            <w:vAlign w:val="bottom"/>
          </w:tcPr>
          <w:p>
            <w:pPr>
              <w:jc w:val="right"/>
              <w:spacing w:after="0"/>
              <w:rPr>
                <w:sz w:val="20"/>
                <w:szCs w:val="20"/>
                <w:color w:val="auto"/>
              </w:rPr>
            </w:pPr>
            <w:r>
              <w:rPr>
                <w:rFonts w:ascii="Arial" w:cs="Arial" w:eastAsia="Arial" w:hAnsi="Arial"/>
                <w:sz w:val="18"/>
                <w:szCs w:val="18"/>
                <w:color w:val="auto"/>
              </w:rPr>
              <w:t>114,240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610"/>
        </w:trPr>
        <w:tc>
          <w:tcPr>
            <w:tcW w:w="6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820" w:type="dxa"/>
            <w:vAlign w:val="bottom"/>
          </w:tcPr>
          <w:p>
            <w:pPr>
              <w:jc w:val="right"/>
              <w:ind w:right="1931"/>
              <w:spacing w:after="0"/>
              <w:rPr>
                <w:sz w:val="20"/>
                <w:szCs w:val="20"/>
                <w:color w:val="auto"/>
              </w:rPr>
            </w:pPr>
            <w:r>
              <w:rPr>
                <w:rFonts w:ascii="Arial" w:cs="Arial" w:eastAsia="Arial" w:hAnsi="Arial"/>
                <w:sz w:val="18"/>
                <w:szCs w:val="18"/>
                <w:color w:val="auto"/>
              </w:rPr>
              <w:t>- 33 -</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61"/>
        </w:trPr>
        <w:tc>
          <w:tcPr>
            <w:tcW w:w="640" w:type="dxa"/>
            <w:vAlign w:val="bottom"/>
            <w:tcBorders>
              <w:bottom w:val="single" w:sz="8" w:color="auto"/>
            </w:tcBorders>
          </w:tcPr>
          <w:p>
            <w:pPr>
              <w:spacing w:after="0"/>
              <w:rPr>
                <w:sz w:val="5"/>
                <w:szCs w:val="5"/>
                <w:color w:val="auto"/>
              </w:rPr>
            </w:pPr>
          </w:p>
        </w:tc>
        <w:tc>
          <w:tcPr>
            <w:tcW w:w="436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29" w:right="339" w:bottom="1440" w:gutter="0" w:footer="0" w:header="0"/>
        </w:sectPr>
      </w:pPr>
    </w:p>
    <w:bookmarkStart w:id="39" w:name="page40"/>
    <w:bookmarkEnd w:id="39"/>
    <w:p>
      <w:pPr>
        <w:ind w:left="634" w:hanging="634"/>
        <w:spacing w:after="0"/>
        <w:tabs>
          <w:tab w:leader="none" w:pos="634"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TAX SITUATION</w:t>
      </w:r>
    </w:p>
    <w:p>
      <w:pPr>
        <w:spacing w:after="0" w:line="213" w:lineRule="exact"/>
        <w:rPr>
          <w:rFonts w:ascii="Arial" w:cs="Arial" w:eastAsia="Arial" w:hAnsi="Arial"/>
          <w:sz w:val="18"/>
          <w:szCs w:val="18"/>
          <w:b w:val="1"/>
          <w:bCs w:val="1"/>
          <w:color w:val="auto"/>
        </w:rPr>
      </w:pPr>
    </w:p>
    <w:p>
      <w:pPr>
        <w:ind w:left="954" w:hanging="316"/>
        <w:spacing w:after="0"/>
        <w:tabs>
          <w:tab w:leader="none" w:pos="954" w:val="left"/>
        </w:tabs>
        <w:numPr>
          <w:ilvl w:val="1"/>
          <w:numId w:val="37"/>
        </w:numPr>
        <w:rPr>
          <w:rFonts w:ascii="Arial" w:cs="Arial" w:eastAsia="Arial" w:hAnsi="Arial"/>
          <w:sz w:val="18"/>
          <w:szCs w:val="18"/>
          <w:color w:val="auto"/>
        </w:rPr>
      </w:pPr>
      <w:r>
        <w:rPr>
          <w:rFonts w:ascii="Arial" w:cs="Arial" w:eastAsia="Arial" w:hAnsi="Arial"/>
          <w:sz w:val="18"/>
          <w:szCs w:val="18"/>
          <w:color w:val="auto"/>
        </w:rPr>
        <w:t>Credicorp is not subject to income tax or any taxes on capital gains, equity or property in Bermuda.</w:t>
      </w:r>
    </w:p>
    <w:p>
      <w:pPr>
        <w:spacing w:after="0" w:line="191" w:lineRule="exact"/>
        <w:rPr>
          <w:sz w:val="20"/>
          <w:szCs w:val="20"/>
          <w:color w:val="auto"/>
        </w:rPr>
      </w:pPr>
    </w:p>
    <w:p>
      <w:pPr>
        <w:ind w:left="634"/>
        <w:spacing w:after="0" w:line="234" w:lineRule="auto"/>
        <w:rPr>
          <w:sz w:val="20"/>
          <w:szCs w:val="20"/>
          <w:color w:val="auto"/>
        </w:rPr>
      </w:pPr>
      <w:r>
        <w:rPr>
          <w:rFonts w:ascii="Arial" w:cs="Arial" w:eastAsia="Arial" w:hAnsi="Arial"/>
          <w:sz w:val="18"/>
          <w:szCs w:val="18"/>
          <w:color w:val="auto"/>
        </w:rPr>
        <w:t>In accordance with current Peruvian legislation, there is no restriction for overseas remittance of dividends or the repatriation of foreign investment. As of December 31, 2022 and 2021, dividends paid by the Peruvian subsidiaries to Credicorp are subject to a 5.00 percent withholding tax. As of December 31, 2022, the expense for provision income tax for withholding dividends of the company amounts to S/168.3 million (S/78.1 million as of December 31, 2021), see Note 7.</w:t>
      </w:r>
    </w:p>
    <w:p>
      <w:pPr>
        <w:spacing w:after="0" w:line="167" w:lineRule="exact"/>
        <w:rPr>
          <w:sz w:val="20"/>
          <w:szCs w:val="20"/>
          <w:color w:val="auto"/>
        </w:rPr>
      </w:pPr>
    </w:p>
    <w:p>
      <w:pPr>
        <w:ind w:left="634" w:hanging="634"/>
        <w:spacing w:after="0"/>
        <w:tabs>
          <w:tab w:leader="none" w:pos="634"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13" w:lineRule="exact"/>
        <w:rPr>
          <w:rFonts w:ascii="Arial" w:cs="Arial" w:eastAsia="Arial" w:hAnsi="Arial"/>
          <w:sz w:val="18"/>
          <w:szCs w:val="18"/>
          <w:b w:val="1"/>
          <w:bCs w:val="1"/>
          <w:color w:val="auto"/>
        </w:rPr>
      </w:pPr>
    </w:p>
    <w:p>
      <w:pPr>
        <w:ind w:left="954" w:hanging="316"/>
        <w:spacing w:after="0"/>
        <w:tabs>
          <w:tab w:leader="none" w:pos="95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following table shows the main transactions with related parties as of December 31, 2022 and 2021:</w:t>
      </w:r>
    </w:p>
    <w:p>
      <w:pPr>
        <w:sectPr>
          <w:pgSz w:w="11900" w:h="16838" w:orient="portrait"/>
          <w:cols w:equalWidth="0" w:num="1">
            <w:col w:w="11194"/>
          </w:cols>
          <w:pgMar w:left="326" w:top="32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54"/>
        <w:spacing w:after="0"/>
        <w:rPr>
          <w:sz w:val="20"/>
          <w:szCs w:val="20"/>
          <w:color w:val="auto"/>
        </w:rPr>
      </w:pPr>
      <w:r>
        <w:rPr>
          <w:rFonts w:ascii="Arial" w:cs="Arial" w:eastAsia="Arial" w:hAnsi="Arial"/>
          <w:sz w:val="17"/>
          <w:szCs w:val="17"/>
          <w:b w:val="1"/>
          <w:bCs w:val="1"/>
          <w:color w:val="auto"/>
        </w:rPr>
        <w:t>Statement of financial position -</w:t>
      </w:r>
    </w:p>
    <w:p>
      <w:pPr>
        <w:spacing w:after="0" w:line="31" w:lineRule="exact"/>
        <w:rPr>
          <w:sz w:val="20"/>
          <w:szCs w:val="20"/>
          <w:color w:val="auto"/>
        </w:rPr>
      </w:pPr>
    </w:p>
    <w:p>
      <w:pPr>
        <w:ind w:left="954"/>
        <w:spacing w:after="0"/>
        <w:rPr>
          <w:sz w:val="20"/>
          <w:szCs w:val="20"/>
          <w:color w:val="auto"/>
        </w:rPr>
      </w:pPr>
      <w:r>
        <w:rPr>
          <w:rFonts w:ascii="Arial" w:cs="Arial" w:eastAsia="Arial" w:hAnsi="Arial"/>
          <w:sz w:val="18"/>
          <w:szCs w:val="18"/>
          <w:color w:val="auto"/>
        </w:rPr>
        <w:t>Cash and cash equivalents (i) -</w:t>
      </w:r>
    </w:p>
    <w:p>
      <w:pPr>
        <w:ind w:left="954"/>
        <w:spacing w:after="0"/>
        <w:rPr>
          <w:sz w:val="20"/>
          <w:szCs w:val="20"/>
          <w:color w:val="auto"/>
        </w:rPr>
      </w:pPr>
      <w:r>
        <w:rPr>
          <w:rFonts w:ascii="Arial" w:cs="Arial" w:eastAsia="Arial" w:hAnsi="Arial"/>
          <w:sz w:val="18"/>
          <w:szCs w:val="18"/>
          <w:color w:val="auto"/>
        </w:rPr>
        <w:t>Banco de Crédito del Perú</w:t>
      </w:r>
    </w:p>
    <w:p>
      <w:pPr>
        <w:spacing w:after="0" w:line="6" w:lineRule="exact"/>
        <w:rPr>
          <w:sz w:val="20"/>
          <w:szCs w:val="20"/>
          <w:color w:val="auto"/>
        </w:rPr>
      </w:pPr>
    </w:p>
    <w:p>
      <w:pPr>
        <w:ind w:left="954"/>
        <w:spacing w:after="0"/>
        <w:rPr>
          <w:sz w:val="20"/>
          <w:szCs w:val="20"/>
          <w:color w:val="auto"/>
        </w:rPr>
      </w:pPr>
      <w:r>
        <w:rPr>
          <w:rFonts w:ascii="Arial" w:cs="Arial" w:eastAsia="Arial" w:hAnsi="Arial"/>
          <w:sz w:val="18"/>
          <w:szCs w:val="18"/>
          <w:color w:val="auto"/>
        </w:rPr>
        <w:t>Atlantic Security Bank</w:t>
      </w:r>
    </w:p>
    <w:p>
      <w:pPr>
        <w:spacing w:after="0" w:line="5" w:lineRule="exact"/>
        <w:rPr>
          <w:sz w:val="20"/>
          <w:szCs w:val="20"/>
          <w:color w:val="auto"/>
        </w:rPr>
      </w:pPr>
    </w:p>
    <w:p>
      <w:pPr>
        <w:ind w:left="954"/>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2021</w:t>
            </w:r>
          </w:p>
        </w:tc>
      </w:t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S/000</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8"/>
                <w:szCs w:val="18"/>
                <w:b w:val="1"/>
                <w:bCs w:val="1"/>
                <w:color w:val="auto"/>
              </w:rPr>
              <w:t>S/000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-21590</wp:posOffset>
            </wp:positionV>
            <wp:extent cx="6063615" cy="134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63615" cy="134620"/>
                    </a:xfrm>
                    <a:prstGeom prst="rect">
                      <a:avLst/>
                    </a:prstGeom>
                    <a:noFill/>
                  </pic:spPr>
                </pic:pic>
              </a:graphicData>
            </a:graphic>
          </wp:anchor>
        </w:drawing>
      </w:r>
    </w:p>
    <w:p>
      <w:pPr>
        <w:spacing w:after="0" w:line="361" w:lineRule="exact"/>
        <w:rPr>
          <w:sz w:val="20"/>
          <w:szCs w:val="20"/>
          <w:color w:val="auto"/>
        </w:rPr>
      </w:pPr>
    </w:p>
    <w:p>
      <w:pPr>
        <w:jc w:val="both"/>
        <w:ind w:left="800"/>
        <w:spacing w:after="0"/>
        <w:tabs>
          <w:tab w:leader="none" w:pos="2480" w:val="left"/>
        </w:tabs>
        <w:rPr>
          <w:sz w:val="20"/>
          <w:szCs w:val="20"/>
          <w:color w:val="auto"/>
        </w:rPr>
      </w:pPr>
      <w:r>
        <w:rPr>
          <w:rFonts w:ascii="Arial" w:cs="Arial" w:eastAsia="Arial" w:hAnsi="Arial"/>
          <w:sz w:val="18"/>
          <w:szCs w:val="18"/>
          <w:color w:val="auto"/>
        </w:rPr>
        <w:t>136,108</w:t>
      </w:r>
      <w:r>
        <w:rPr>
          <w:sz w:val="20"/>
          <w:szCs w:val="20"/>
          <w:color w:val="auto"/>
        </w:rPr>
        <w:tab/>
      </w:r>
      <w:r>
        <w:rPr>
          <w:rFonts w:ascii="Arial" w:cs="Arial" w:eastAsia="Arial" w:hAnsi="Arial"/>
          <w:sz w:val="18"/>
          <w:szCs w:val="18"/>
          <w:color w:val="auto"/>
        </w:rPr>
        <w:t>175,919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-125095</wp:posOffset>
            </wp:positionV>
            <wp:extent cx="6063615" cy="1263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63615" cy="126365"/>
                    </a:xfrm>
                    <a:prstGeom prst="rect">
                      <a:avLst/>
                    </a:prstGeom>
                    <a:noFill/>
                  </pic:spPr>
                </pic:pic>
              </a:graphicData>
            </a:graphic>
          </wp:anchor>
        </w:drawing>
      </w:r>
    </w:p>
    <w:p>
      <w:pPr>
        <w:ind w:left="2680" w:hanging="1530"/>
        <w:spacing w:after="0"/>
        <w:tabs>
          <w:tab w:leader="none" w:pos="2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3,185</w:t>
      </w:r>
    </w:p>
    <w:p>
      <w:pPr>
        <w:spacing w:after="0" w:line="58"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136,399</w:t>
      </w:r>
      <w:r>
        <w:rPr>
          <w:rFonts w:ascii="Arial" w:cs="Arial" w:eastAsia="Arial" w:hAnsi="Arial"/>
          <w:sz w:val="17"/>
          <w:szCs w:val="17"/>
          <w:color w:val="auto"/>
        </w:rPr>
        <w:t>179,104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-172720</wp:posOffset>
            </wp:positionV>
            <wp:extent cx="6063615" cy="1936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63615" cy="1936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34" w:space="720"/>
            <w:col w:w="3940"/>
          </w:cols>
          <w:pgMar w:left="326" w:top="329" w:right="379" w:bottom="1440" w:gutter="0" w:footer="0" w:header="0"/>
          <w:type w:val="continuous"/>
        </w:sectPr>
      </w:pPr>
    </w:p>
    <w:p>
      <w:pPr>
        <w:spacing w:after="0" w:line="45" w:lineRule="exact"/>
        <w:rPr>
          <w:sz w:val="20"/>
          <w:szCs w:val="20"/>
          <w:color w:val="auto"/>
        </w:rPr>
      </w:pPr>
    </w:p>
    <w:tbl>
      <w:tblPr>
        <w:tblLayout w:type="fixed"/>
        <w:tblInd w:w="954"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 through</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00" w:type="dxa"/>
            <w:vAlign w:val="bottom"/>
            <w:gridSpan w:val="2"/>
          </w:tcPr>
          <w:p>
            <w:pPr>
              <w:spacing w:after="0"/>
              <w:rPr>
                <w:sz w:val="20"/>
                <w:szCs w:val="20"/>
                <w:color w:val="auto"/>
              </w:rPr>
            </w:pPr>
            <w:r>
              <w:rPr>
                <w:rFonts w:ascii="Arial" w:cs="Arial" w:eastAsia="Arial" w:hAnsi="Arial"/>
                <w:sz w:val="18"/>
                <w:szCs w:val="18"/>
                <w:color w:val="auto"/>
              </w:rPr>
              <w:t>Profit or loss -</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Credicorp Capital Asset Management S.A. (ii)</w:t>
            </w:r>
          </w:p>
        </w:tc>
        <w:tc>
          <w:tcPr>
            <w:tcW w:w="166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457,304</w:t>
            </w:r>
          </w:p>
        </w:tc>
        <w:tc>
          <w:tcPr>
            <w:tcW w:w="1500" w:type="dxa"/>
            <w:vAlign w:val="bottom"/>
            <w:tcBorders>
              <w:right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515,791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 through</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00" w:type="dxa"/>
            <w:vAlign w:val="bottom"/>
            <w:gridSpan w:val="2"/>
          </w:tcPr>
          <w:p>
            <w:pPr>
              <w:spacing w:after="0"/>
              <w:rPr>
                <w:sz w:val="20"/>
                <w:szCs w:val="20"/>
                <w:color w:val="auto"/>
              </w:rPr>
            </w:pPr>
            <w:r>
              <w:rPr>
                <w:rFonts w:ascii="Arial" w:cs="Arial" w:eastAsia="Arial" w:hAnsi="Arial"/>
                <w:sz w:val="18"/>
                <w:szCs w:val="18"/>
                <w:color w:val="auto"/>
              </w:rPr>
              <w:t>other comprehensive income -</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00" w:type="dxa"/>
            <w:vAlign w:val="bottom"/>
            <w:gridSpan w:val="2"/>
          </w:tcPr>
          <w:p>
            <w:pPr>
              <w:spacing w:after="0"/>
              <w:rPr>
                <w:sz w:val="20"/>
                <w:szCs w:val="20"/>
                <w:color w:val="auto"/>
              </w:rPr>
            </w:pPr>
            <w:r>
              <w:rPr>
                <w:rFonts w:ascii="Arial" w:cs="Arial" w:eastAsia="Arial" w:hAnsi="Arial"/>
                <w:sz w:val="18"/>
                <w:szCs w:val="18"/>
                <w:color w:val="auto"/>
              </w:rPr>
              <w:t>Debt instruments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280" w:type="dxa"/>
            <w:vAlign w:val="bottom"/>
          </w:tcPr>
          <w:p>
            <w:pPr>
              <w:spacing w:after="0" w:line="199" w:lineRule="exact"/>
              <w:rPr>
                <w:sz w:val="20"/>
                <w:szCs w:val="20"/>
                <w:color w:val="auto"/>
              </w:rPr>
            </w:pPr>
            <w:r>
              <w:rPr>
                <w:rFonts w:ascii="Arial" w:cs="Arial" w:eastAsia="Arial" w:hAnsi="Arial"/>
                <w:sz w:val="18"/>
                <w:szCs w:val="18"/>
                <w:color w:val="auto"/>
              </w:rPr>
              <w:t>Pacífico Compañía de Seguros y Reaseguros</w:t>
            </w:r>
          </w:p>
        </w:tc>
        <w:tc>
          <w:tcPr>
            <w:tcW w:w="1660" w:type="dxa"/>
            <w:vAlign w:val="bottom"/>
            <w:gridSpan w:val="2"/>
          </w:tcPr>
          <w:p>
            <w:pPr>
              <w:jc w:val="right"/>
              <w:ind w:right="220"/>
              <w:spacing w:after="0" w:line="199" w:lineRule="exact"/>
              <w:rPr>
                <w:sz w:val="20"/>
                <w:szCs w:val="20"/>
                <w:color w:val="auto"/>
              </w:rPr>
            </w:pPr>
            <w:r>
              <w:rPr>
                <w:rFonts w:ascii="Arial" w:cs="Arial" w:eastAsia="Arial" w:hAnsi="Arial"/>
                <w:sz w:val="18"/>
                <w:szCs w:val="18"/>
                <w:color w:val="auto"/>
              </w:rPr>
              <w:t>15,262</w:t>
            </w:r>
          </w:p>
        </w:tc>
        <w:tc>
          <w:tcPr>
            <w:tcW w:w="160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16,707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Mibanco S.A.</w:t>
            </w:r>
          </w:p>
        </w:tc>
        <w:tc>
          <w:tcPr>
            <w:tcW w:w="166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7,224</w:t>
            </w:r>
          </w:p>
        </w:tc>
        <w:tc>
          <w:tcPr>
            <w:tcW w:w="1500" w:type="dxa"/>
            <w:vAlign w:val="bottom"/>
            <w:tcBorders>
              <w:right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7,774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0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Equity instruments</w:t>
            </w: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Alicorp S.A. (*)</w:t>
            </w:r>
          </w:p>
        </w:tc>
        <w:tc>
          <w:tcPr>
            <w:tcW w:w="166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156,838</w:t>
            </w:r>
          </w:p>
        </w:tc>
        <w:tc>
          <w:tcPr>
            <w:tcW w:w="1500" w:type="dxa"/>
            <w:vAlign w:val="bottom"/>
            <w:tcBorders>
              <w:right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137,554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80" w:type="dxa"/>
            <w:vAlign w:val="bottom"/>
          </w:tcPr>
          <w:p>
            <w:pPr>
              <w:spacing w:after="0" w:line="199" w:lineRule="exact"/>
              <w:rPr>
                <w:sz w:val="20"/>
                <w:szCs w:val="20"/>
                <w:color w:val="auto"/>
              </w:rPr>
            </w:pPr>
            <w:r>
              <w:rPr>
                <w:rFonts w:ascii="Arial" w:cs="Arial" w:eastAsia="Arial" w:hAnsi="Arial"/>
                <w:sz w:val="18"/>
                <w:szCs w:val="18"/>
                <w:color w:val="auto"/>
              </w:rPr>
              <w:t>Inversiones Centenario S.A.A. (*)</w:t>
            </w:r>
          </w:p>
        </w:tc>
        <w:tc>
          <w:tcPr>
            <w:tcW w:w="1660" w:type="dxa"/>
            <w:vAlign w:val="bottom"/>
            <w:gridSpan w:val="2"/>
          </w:tcPr>
          <w:p>
            <w:pPr>
              <w:jc w:val="right"/>
              <w:ind w:right="220"/>
              <w:spacing w:after="0" w:line="199" w:lineRule="exact"/>
              <w:rPr>
                <w:sz w:val="20"/>
                <w:szCs w:val="20"/>
                <w:color w:val="auto"/>
              </w:rPr>
            </w:pPr>
            <w:r>
              <w:rPr>
                <w:rFonts w:ascii="Arial" w:cs="Arial" w:eastAsia="Arial" w:hAnsi="Arial"/>
                <w:sz w:val="18"/>
                <w:szCs w:val="18"/>
                <w:color w:val="auto"/>
              </w:rPr>
              <w:t>126,804</w:t>
            </w:r>
          </w:p>
        </w:tc>
        <w:tc>
          <w:tcPr>
            <w:tcW w:w="1500" w:type="dxa"/>
            <w:vAlign w:val="bottom"/>
          </w:tcPr>
          <w:p>
            <w:pPr>
              <w:jc w:val="right"/>
              <w:spacing w:after="0" w:line="199" w:lineRule="exact"/>
              <w:rPr>
                <w:sz w:val="20"/>
                <w:szCs w:val="20"/>
                <w:color w:val="auto"/>
              </w:rPr>
            </w:pPr>
            <w:r>
              <w:rPr>
                <w:rFonts w:ascii="Arial" w:cs="Arial" w:eastAsia="Arial" w:hAnsi="Arial"/>
                <w:sz w:val="18"/>
                <w:szCs w:val="18"/>
                <w:color w:val="auto"/>
              </w:rPr>
              <w:t>184,771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Compañía Universal Textil S.A. (*)</w:t>
            </w:r>
          </w:p>
        </w:tc>
        <w:tc>
          <w:tcPr>
            <w:tcW w:w="166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215</w:t>
            </w:r>
          </w:p>
        </w:tc>
        <w:tc>
          <w:tcPr>
            <w:tcW w:w="1500" w:type="dxa"/>
            <w:vAlign w:val="bottom"/>
            <w:tcBorders>
              <w:right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14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0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306,343</w:t>
            </w:r>
          </w:p>
        </w:tc>
        <w:tc>
          <w:tcPr>
            <w:tcW w:w="1500" w:type="dxa"/>
            <w:vAlign w:val="bottom"/>
          </w:tcPr>
          <w:p>
            <w:pPr>
              <w:jc w:val="right"/>
              <w:spacing w:after="0"/>
              <w:rPr>
                <w:sz w:val="20"/>
                <w:szCs w:val="20"/>
                <w:color w:val="auto"/>
              </w:rPr>
            </w:pPr>
            <w:r>
              <w:rPr>
                <w:rFonts w:ascii="Arial" w:cs="Arial" w:eastAsia="Arial" w:hAnsi="Arial"/>
                <w:sz w:val="18"/>
                <w:szCs w:val="18"/>
                <w:color w:val="auto"/>
              </w:rPr>
              <w:t>346,979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62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vMerge w:val="continue"/>
          </w:tcPr>
          <w:p>
            <w:pPr>
              <w:spacing w:after="0"/>
              <w:rPr>
                <w:sz w:val="21"/>
                <w:szCs w:val="21"/>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Investments in subsidiaries -</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33,878,318</w:t>
            </w:r>
          </w:p>
        </w:tc>
        <w:tc>
          <w:tcPr>
            <w:tcW w:w="1500" w:type="dxa"/>
            <w:vAlign w:val="bottom"/>
          </w:tcPr>
          <w:p>
            <w:pPr>
              <w:jc w:val="right"/>
              <w:spacing w:after="0"/>
              <w:rPr>
                <w:sz w:val="20"/>
                <w:szCs w:val="20"/>
                <w:color w:val="auto"/>
              </w:rPr>
            </w:pPr>
            <w:r>
              <w:rPr>
                <w:rFonts w:ascii="Arial" w:cs="Arial" w:eastAsia="Arial" w:hAnsi="Arial"/>
                <w:sz w:val="18"/>
                <w:szCs w:val="18"/>
                <w:color w:val="auto"/>
              </w:rPr>
              <w:t>31,168,827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00" w:type="dxa"/>
            <w:vAlign w:val="bottom"/>
            <w:gridSpan w:val="2"/>
          </w:tcPr>
          <w:p>
            <w:pPr>
              <w:spacing w:after="0"/>
              <w:rPr>
                <w:sz w:val="20"/>
                <w:szCs w:val="20"/>
                <w:color w:val="auto"/>
              </w:rPr>
            </w:pPr>
            <w:r>
              <w:rPr>
                <w:rFonts w:ascii="Arial" w:cs="Arial" w:eastAsia="Arial" w:hAnsi="Arial"/>
                <w:sz w:val="18"/>
                <w:szCs w:val="18"/>
                <w:color w:val="auto"/>
              </w:rPr>
              <w:t>Bonds and notes issued</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Banco de Crédito del Perú</w:t>
            </w:r>
          </w:p>
        </w:tc>
        <w:tc>
          <w:tcPr>
            <w:tcW w:w="166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68,522</w:t>
            </w:r>
          </w:p>
        </w:tc>
        <w:tc>
          <w:tcPr>
            <w:tcW w:w="1600" w:type="dxa"/>
            <w:vAlign w:val="bottom"/>
            <w:gridSpan w:val="2"/>
            <w:shd w:val="clear" w:color="auto" w:fill="CCEEFF"/>
          </w:tcPr>
          <w:p>
            <w:pPr>
              <w:jc w:val="right"/>
              <w:ind w:right="120"/>
              <w:spacing w:after="0" w:line="199" w:lineRule="exact"/>
              <w:rPr>
                <w:sz w:val="20"/>
                <w:szCs w:val="20"/>
                <w:color w:val="auto"/>
              </w:rPr>
            </w:pPr>
            <w:r>
              <w:rPr>
                <w:rFonts w:ascii="Arial" w:cs="Arial" w:eastAsia="Arial" w:hAnsi="Arial"/>
                <w:sz w:val="18"/>
                <w:szCs w:val="18"/>
                <w:color w:val="auto"/>
              </w:rPr>
              <w:t>71,850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14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0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30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rPr>
              <w:t>Total</w:t>
            </w:r>
          </w:p>
        </w:tc>
        <w:tc>
          <w:tcPr>
            <w:tcW w:w="14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68,522</w:t>
            </w:r>
          </w:p>
        </w:tc>
        <w:tc>
          <w:tcPr>
            <w:tcW w:w="220" w:type="dxa"/>
            <w:vAlign w:val="bottom"/>
          </w:tcPr>
          <w:p>
            <w:pPr>
              <w:spacing w:after="0"/>
              <w:rPr>
                <w:sz w:val="19"/>
                <w:szCs w:val="19"/>
                <w:color w:val="auto"/>
              </w:rPr>
            </w:pPr>
          </w:p>
        </w:tc>
        <w:tc>
          <w:tcPr>
            <w:tcW w:w="15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71,850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300" w:type="dxa"/>
            <w:vAlign w:val="bottom"/>
            <w:gridSpan w:val="2"/>
          </w:tcPr>
          <w:p>
            <w:pPr>
              <w:spacing w:after="0"/>
              <w:rPr>
                <w:sz w:val="20"/>
                <w:szCs w:val="20"/>
                <w:color w:val="auto"/>
              </w:rPr>
            </w:pPr>
            <w:r>
              <w:rPr>
                <w:rFonts w:ascii="Arial" w:cs="Arial" w:eastAsia="Arial" w:hAnsi="Arial"/>
                <w:sz w:val="18"/>
                <w:szCs w:val="18"/>
                <w:color w:val="auto"/>
              </w:rPr>
              <w:t>Payables to related parties -</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Banco de Crédito del Perú</w:t>
            </w:r>
          </w:p>
        </w:tc>
        <w:tc>
          <w:tcPr>
            <w:tcW w:w="166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48</w:t>
            </w:r>
          </w:p>
        </w:tc>
        <w:tc>
          <w:tcPr>
            <w:tcW w:w="1500" w:type="dxa"/>
            <w:vAlign w:val="bottom"/>
            <w:tcBorders>
              <w:right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80" w:type="dxa"/>
            <w:vAlign w:val="bottom"/>
          </w:tcPr>
          <w:p>
            <w:pPr>
              <w:spacing w:after="0" w:line="199" w:lineRule="exact"/>
              <w:rPr>
                <w:sz w:val="20"/>
                <w:szCs w:val="20"/>
                <w:color w:val="auto"/>
              </w:rPr>
            </w:pPr>
            <w:r>
              <w:rPr>
                <w:rFonts w:ascii="Arial" w:cs="Arial" w:eastAsia="Arial" w:hAnsi="Arial"/>
                <w:sz w:val="18"/>
                <w:szCs w:val="18"/>
                <w:color w:val="auto"/>
              </w:rPr>
              <w:t>Credicorp Capital Servicios Financieros</w:t>
            </w:r>
          </w:p>
        </w:tc>
        <w:tc>
          <w:tcPr>
            <w:tcW w:w="1660" w:type="dxa"/>
            <w:vAlign w:val="bottom"/>
            <w:gridSpan w:val="2"/>
          </w:tcPr>
          <w:p>
            <w:pPr>
              <w:jc w:val="right"/>
              <w:ind w:right="220"/>
              <w:spacing w:after="0" w:line="199" w:lineRule="exact"/>
              <w:rPr>
                <w:sz w:val="20"/>
                <w:szCs w:val="20"/>
                <w:color w:val="auto"/>
              </w:rPr>
            </w:pPr>
            <w:r>
              <w:rPr>
                <w:rFonts w:ascii="Arial" w:cs="Arial" w:eastAsia="Arial" w:hAnsi="Arial"/>
                <w:sz w:val="18"/>
                <w:szCs w:val="18"/>
                <w:color w:val="auto"/>
              </w:rPr>
              <w:t>20</w:t>
            </w:r>
          </w:p>
        </w:tc>
        <w:tc>
          <w:tcPr>
            <w:tcW w:w="150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Credicorp Capital Sociedad Agente de Bolsa</w:t>
            </w:r>
          </w:p>
        </w:tc>
        <w:tc>
          <w:tcPr>
            <w:tcW w:w="1660" w:type="dxa"/>
            <w:vAlign w:val="bottom"/>
            <w:gridSpan w:val="2"/>
            <w:shd w:val="clear" w:color="auto" w:fill="CCEEFF"/>
          </w:tcPr>
          <w:p>
            <w:pPr>
              <w:jc w:val="right"/>
              <w:ind w:right="220"/>
              <w:spacing w:after="0" w:line="199" w:lineRule="exact"/>
              <w:rPr>
                <w:sz w:val="20"/>
                <w:szCs w:val="20"/>
                <w:color w:val="auto"/>
              </w:rPr>
            </w:pPr>
            <w:r>
              <w:rPr>
                <w:rFonts w:ascii="Arial" w:cs="Arial" w:eastAsia="Arial" w:hAnsi="Arial"/>
                <w:sz w:val="18"/>
                <w:szCs w:val="18"/>
                <w:color w:val="auto"/>
              </w:rPr>
              <w:t>3</w:t>
            </w:r>
          </w:p>
        </w:tc>
        <w:tc>
          <w:tcPr>
            <w:tcW w:w="1500" w:type="dxa"/>
            <w:vAlign w:val="bottom"/>
            <w:tcBorders>
              <w:right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shd w:val="clear" w:color="auto" w:fill="CCEEFF"/>
          </w:tcPr>
          <w:p>
            <w:pPr>
              <w:spacing w:after="0" w:line="20" w:lineRule="exact"/>
              <w:rPr>
                <w:sz w:val="1"/>
                <w:szCs w:val="1"/>
                <w:color w:val="auto"/>
              </w:rPr>
            </w:pPr>
          </w:p>
        </w:tc>
        <w:tc>
          <w:tcPr>
            <w:tcW w:w="14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00" w:type="dxa"/>
            <w:vAlign w:val="bottom"/>
            <w:tcBorders>
              <w:bottom w:val="single" w:sz="8" w:color="auto"/>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300" w:type="dxa"/>
            <w:vAlign w:val="bottom"/>
            <w:gridSpan w:val="2"/>
          </w:tcPr>
          <w:p>
            <w:pPr>
              <w:spacing w:after="0" w:line="186" w:lineRule="exact"/>
              <w:rPr>
                <w:sz w:val="20"/>
                <w:szCs w:val="20"/>
                <w:color w:val="auto"/>
              </w:rPr>
            </w:pPr>
            <w:r>
              <w:rPr>
                <w:rFonts w:ascii="Arial" w:cs="Arial" w:eastAsia="Arial" w:hAnsi="Arial"/>
                <w:sz w:val="18"/>
                <w:szCs w:val="18"/>
                <w:b w:val="1"/>
                <w:bCs w:val="1"/>
                <w:color w:val="auto"/>
              </w:rPr>
              <w:t>Total</w:t>
            </w:r>
          </w:p>
        </w:tc>
        <w:tc>
          <w:tcPr>
            <w:tcW w:w="14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71</w:t>
            </w:r>
          </w:p>
        </w:tc>
        <w:tc>
          <w:tcPr>
            <w:tcW w:w="220" w:type="dxa"/>
            <w:vAlign w:val="bottom"/>
          </w:tcPr>
          <w:p>
            <w:pPr>
              <w:spacing w:after="0"/>
              <w:rPr>
                <w:sz w:val="16"/>
                <w:szCs w:val="16"/>
                <w:color w:val="auto"/>
              </w:rPr>
            </w:pPr>
          </w:p>
        </w:tc>
        <w:tc>
          <w:tcPr>
            <w:tcW w:w="15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54"/>
        <w:spacing w:after="0"/>
        <w:rPr>
          <w:sz w:val="20"/>
          <w:szCs w:val="20"/>
          <w:color w:val="auto"/>
        </w:rPr>
      </w:pPr>
      <w:r>
        <w:rPr>
          <w:rFonts w:ascii="Arial" w:cs="Arial" w:eastAsia="Arial" w:hAnsi="Arial"/>
          <w:sz w:val="18"/>
          <w:szCs w:val="18"/>
          <w:color w:val="auto"/>
        </w:rPr>
        <w:t>(*) Linked businesses</w:t>
      </w:r>
    </w:p>
    <w:p>
      <w:pPr>
        <w:spacing w:after="0" w:line="200" w:lineRule="exact"/>
        <w:rPr>
          <w:sz w:val="20"/>
          <w:szCs w:val="20"/>
          <w:color w:val="auto"/>
        </w:rPr>
      </w:pPr>
    </w:p>
    <w:p>
      <w:pPr>
        <w:spacing w:after="0" w:line="20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34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94"/>
          </w:cols>
          <w:pgMar w:left="326" w:top="329" w:right="379" w:bottom="1440" w:gutter="0" w:footer="0" w:header="0"/>
          <w:type w:val="continuous"/>
        </w:sectPr>
      </w:pPr>
    </w:p>
    <w:bookmarkStart w:id="40" w:name="page41"/>
    <w:bookmarkEnd w:id="40"/>
    <w:tbl>
      <w:tblPr>
        <w:tblLayout w:type="fixed"/>
        <w:tblInd w:w="960" w:type="dxa"/>
        <w:tblCellMar>
          <w:top w:w="0" w:type="dxa"/>
          <w:left w:w="0" w:type="dxa"/>
          <w:bottom w:w="0" w:type="dxa"/>
          <w:right w:w="0" w:type="dxa"/>
        </w:tblCellMar>
      </w:tblPr>
      <w:tr>
        <w:trPr>
          <w:trHeight w:val="229"/>
        </w:trPr>
        <w:tc>
          <w:tcPr>
            <w:tcW w:w="7680" w:type="dxa"/>
            <w:vAlign w:val="bottom"/>
            <w:gridSpan w:val="3"/>
          </w:tcPr>
          <w:p>
            <w:pPr>
              <w:ind w:left="7180"/>
              <w:spacing w:after="0"/>
              <w:rPr>
                <w:sz w:val="20"/>
                <w:szCs w:val="20"/>
                <w:color w:val="auto"/>
              </w:rPr>
            </w:pPr>
            <w:r>
              <w:rPr>
                <w:rFonts w:ascii="Arial" w:cs="Arial" w:eastAsia="Arial" w:hAnsi="Arial"/>
                <w:sz w:val="18"/>
                <w:szCs w:val="18"/>
                <w:b w:val="1"/>
                <w:bCs w:val="1"/>
                <w:color w:val="auto"/>
              </w:rPr>
              <w:t>2022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8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7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766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Statement of comprehensive income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gridSpan w:val="2"/>
          </w:tcPr>
          <w:p>
            <w:pPr>
              <w:spacing w:after="0" w:line="199" w:lineRule="exact"/>
              <w:rPr>
                <w:sz w:val="20"/>
                <w:szCs w:val="20"/>
                <w:color w:val="auto"/>
              </w:rPr>
            </w:pPr>
            <w:r>
              <w:rPr>
                <w:rFonts w:ascii="Arial" w:cs="Arial" w:eastAsia="Arial" w:hAnsi="Arial"/>
                <w:sz w:val="18"/>
                <w:szCs w:val="18"/>
                <w:color w:val="auto"/>
              </w:rPr>
              <w:t>Net share of the income from investments in subsidiaries</w:t>
            </w:r>
          </w:p>
        </w:tc>
        <w:tc>
          <w:tcPr>
            <w:tcW w:w="1040" w:type="dxa"/>
            <w:vAlign w:val="bottom"/>
            <w:gridSpan w:val="2"/>
          </w:tcPr>
          <w:p>
            <w:pPr>
              <w:jc w:val="right"/>
              <w:ind w:right="200"/>
              <w:spacing w:after="0" w:line="199" w:lineRule="exact"/>
              <w:rPr>
                <w:sz w:val="20"/>
                <w:szCs w:val="20"/>
                <w:color w:val="auto"/>
              </w:rPr>
            </w:pPr>
            <w:r>
              <w:rPr>
                <w:rFonts w:ascii="Arial" w:cs="Arial" w:eastAsia="Arial" w:hAnsi="Arial"/>
                <w:sz w:val="18"/>
                <w:szCs w:val="18"/>
                <w:color w:val="auto"/>
              </w:rPr>
              <w:t>5,156,494</w:t>
            </w:r>
          </w:p>
        </w:tc>
        <w:tc>
          <w:tcPr>
            <w:tcW w:w="138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3,751,366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Other comprehensive income (loss)</w:t>
            </w:r>
          </w:p>
        </w:tc>
        <w:tc>
          <w:tcPr>
            <w:tcW w:w="104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(898,920)</w:t>
            </w:r>
          </w:p>
        </w:tc>
        <w:tc>
          <w:tcPr>
            <w:tcW w:w="138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(1,426,654)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gridSpan w:val="2"/>
          </w:tcPr>
          <w:p>
            <w:pPr>
              <w:spacing w:after="0" w:line="199" w:lineRule="exact"/>
              <w:rPr>
                <w:sz w:val="20"/>
                <w:szCs w:val="20"/>
                <w:color w:val="auto"/>
              </w:rPr>
            </w:pPr>
            <w:r>
              <w:rPr>
                <w:rFonts w:ascii="Arial" w:cs="Arial" w:eastAsia="Arial" w:hAnsi="Arial"/>
                <w:sz w:val="18"/>
                <w:szCs w:val="18"/>
                <w:color w:val="auto"/>
              </w:rPr>
              <w:t>Administrative and general expenses</w:t>
            </w:r>
          </w:p>
        </w:tc>
        <w:tc>
          <w:tcPr>
            <w:tcW w:w="104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rPr>
              <w:t>(1,871)</w:t>
            </w:r>
          </w:p>
        </w:tc>
        <w:tc>
          <w:tcPr>
            <w:tcW w:w="13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Interest and similar income (iii)</w:t>
            </w:r>
          </w:p>
        </w:tc>
        <w:tc>
          <w:tcPr>
            <w:tcW w:w="1040" w:type="dxa"/>
            <w:vAlign w:val="bottom"/>
            <w:gridSpan w:val="2"/>
            <w:shd w:val="clear" w:color="auto" w:fill="CCEEFF"/>
          </w:tcPr>
          <w:p>
            <w:pPr>
              <w:jc w:val="right"/>
              <w:ind w:right="140"/>
              <w:spacing w:after="0" w:line="199" w:lineRule="exact"/>
              <w:rPr>
                <w:sz w:val="20"/>
                <w:szCs w:val="20"/>
                <w:color w:val="auto"/>
              </w:rPr>
            </w:pPr>
            <w:r>
              <w:rPr>
                <w:rFonts w:ascii="Arial" w:cs="Arial" w:eastAsia="Arial" w:hAnsi="Arial"/>
                <w:sz w:val="18"/>
                <w:szCs w:val="18"/>
                <w:color w:val="auto"/>
              </w:rPr>
              <w:t>(8,853)</w:t>
            </w:r>
          </w:p>
        </w:tc>
        <w:tc>
          <w:tcPr>
            <w:tcW w:w="138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280" w:right="1100" w:hanging="318"/>
        <w:spacing w:after="0" w:line="238" w:lineRule="auto"/>
        <w:tabs>
          <w:tab w:leader="none" w:pos="12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As of December 31, 2022 and 2021, the Company maintains current accounts in soles and U.S. dollars, which are cash in hand and accrue interest. See Note 4.</w:t>
      </w:r>
    </w:p>
    <w:p>
      <w:pPr>
        <w:spacing w:after="0" w:line="187" w:lineRule="exact"/>
        <w:rPr>
          <w:rFonts w:ascii="Arial" w:cs="Arial" w:eastAsia="Arial" w:hAnsi="Arial"/>
          <w:sz w:val="18"/>
          <w:szCs w:val="18"/>
          <w:color w:val="auto"/>
        </w:rPr>
      </w:pPr>
    </w:p>
    <w:p>
      <w:pPr>
        <w:ind w:left="1280" w:right="420" w:hanging="318"/>
        <w:spacing w:after="0" w:line="236" w:lineRule="auto"/>
        <w:tabs>
          <w:tab w:leader="none" w:pos="12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As of December 31, 2022 and 2021, Credicorp Capital Asset Management S.A. manages the following funds Credicorp Capital Latin American Corporate Debt Fund, Credicorp Capital Latin American Investment Grade and CC Latin American Short Duration I, see Note 5(a).</w:t>
      </w:r>
    </w:p>
    <w:p>
      <w:pPr>
        <w:spacing w:after="0" w:line="186" w:lineRule="exact"/>
        <w:rPr>
          <w:rFonts w:ascii="Arial" w:cs="Arial" w:eastAsia="Arial" w:hAnsi="Arial"/>
          <w:sz w:val="18"/>
          <w:szCs w:val="18"/>
          <w:color w:val="auto"/>
        </w:rPr>
      </w:pPr>
    </w:p>
    <w:p>
      <w:pPr>
        <w:ind w:left="1280" w:right="260" w:hanging="318"/>
        <w:spacing w:after="0" w:line="236" w:lineRule="auto"/>
        <w:tabs>
          <w:tab w:leader="none" w:pos="12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As of December 31, 2022, the balance reflects the interests of working capital notes for a nominal amount of S/340.0 million and time deposits in soles and U.S. dollars for nominal amounts of S/217.7 million and US$35.0 million, respectively. As of December 31, 2021, the interests of working capital notes for a nominal amount of US$200.0 million.</w:t>
      </w:r>
    </w:p>
    <w:p>
      <w:pPr>
        <w:spacing w:after="0" w:line="186" w:lineRule="exact"/>
        <w:rPr>
          <w:rFonts w:ascii="Arial" w:cs="Arial" w:eastAsia="Arial" w:hAnsi="Arial"/>
          <w:sz w:val="18"/>
          <w:szCs w:val="18"/>
          <w:color w:val="auto"/>
        </w:rPr>
      </w:pPr>
    </w:p>
    <w:p>
      <w:pPr>
        <w:ind w:left="960" w:right="380" w:hanging="316"/>
        <w:spacing w:after="0" w:line="254" w:lineRule="auto"/>
        <w:tabs>
          <w:tab w:leader="none" w:pos="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Management considers that the transactions between the Company and its related parties have been carried out in the normal course of business and on terms not less favorable than if they had been carried out with unrelated third parties. The taxes resulting from these transactions, as well as the basis for their calculation, are settled according to current tax regulations.</w:t>
      </w:r>
    </w:p>
    <w:p>
      <w:pPr>
        <w:spacing w:after="0" w:line="176" w:lineRule="exact"/>
        <w:rPr>
          <w:rFonts w:ascii="Arial" w:cs="Arial" w:eastAsia="Arial" w:hAnsi="Arial"/>
          <w:sz w:val="17"/>
          <w:szCs w:val="17"/>
          <w:color w:val="auto"/>
        </w:rPr>
      </w:pPr>
    </w:p>
    <w:p>
      <w:pPr>
        <w:jc w:val="both"/>
        <w:ind w:left="960" w:right="460" w:hanging="316"/>
        <w:spacing w:after="0" w:line="236"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Because the Company is part of Credicorp Ltd., following IAS 24 “Related Party Disclosures” it has not reported expenses for Management payroll. In addition, at December 31, 2022 and 2021 the Company's policy is not to pay any remuneration to the members of the Board of Directors.</w:t>
      </w:r>
    </w:p>
    <w:p>
      <w:pPr>
        <w:spacing w:after="0" w:line="164" w:lineRule="exact"/>
        <w:rPr>
          <w:sz w:val="20"/>
          <w:szCs w:val="20"/>
          <w:color w:val="auto"/>
        </w:rPr>
      </w:pPr>
    </w:p>
    <w:p>
      <w:pPr>
        <w:ind w:left="640" w:hanging="634"/>
        <w:spacing w:after="0"/>
        <w:tabs>
          <w:tab w:leader="none" w:pos="6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13" w:lineRule="exact"/>
        <w:rPr>
          <w:rFonts w:ascii="Arial" w:cs="Arial" w:eastAsia="Arial" w:hAnsi="Arial"/>
          <w:sz w:val="18"/>
          <w:szCs w:val="18"/>
          <w:b w:val="1"/>
          <w:bCs w:val="1"/>
          <w:color w:val="auto"/>
        </w:rPr>
      </w:pPr>
    </w:p>
    <w:p>
      <w:pPr>
        <w:ind w:left="64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Due to the nature of its activities, the Company is exposed to the following risks: credit, market (interest rate, exchange rate and prices) and liquidity, which are managed through the process of identification, measurement and continued monitoring, subject to risk limits and other controls. This risk management process is critical to the continued profitability of the Company; therefore, the analysis and management of its financial risks is supported by BCP.</w:t>
      </w:r>
    </w:p>
    <w:p>
      <w:pPr>
        <w:spacing w:after="0" w:line="16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 management structure -</w:t>
      </w:r>
    </w:p>
    <w:p>
      <w:pPr>
        <w:spacing w:after="0" w:line="213" w:lineRule="exact"/>
        <w:rPr>
          <w:sz w:val="20"/>
          <w:szCs w:val="20"/>
          <w:color w:val="auto"/>
        </w:rPr>
      </w:pPr>
    </w:p>
    <w:p>
      <w:pPr>
        <w:ind w:left="640" w:right="180"/>
        <w:spacing w:after="0" w:line="238" w:lineRule="auto"/>
        <w:rPr>
          <w:sz w:val="20"/>
          <w:szCs w:val="20"/>
          <w:color w:val="auto"/>
        </w:rPr>
      </w:pPr>
      <w:r>
        <w:rPr>
          <w:rFonts w:ascii="Arial" w:cs="Arial" w:eastAsia="Arial" w:hAnsi="Arial"/>
          <w:sz w:val="18"/>
          <w:szCs w:val="18"/>
          <w:color w:val="auto"/>
        </w:rPr>
        <w:t>The risk management structure is supported by the Board of Directors and Management of BCP, which are responsible for identifying and controlling risks together with other supporting areas, as explained below:</w:t>
      </w:r>
    </w:p>
    <w:p>
      <w:pPr>
        <w:spacing w:after="0" w:line="187" w:lineRule="exact"/>
        <w:rPr>
          <w:sz w:val="20"/>
          <w:szCs w:val="20"/>
          <w:color w:val="auto"/>
        </w:rPr>
      </w:pPr>
    </w:p>
    <w:p>
      <w:pPr>
        <w:ind w:left="960" w:hanging="316"/>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Board of Directors -</w:t>
      </w:r>
    </w:p>
    <w:p>
      <w:pPr>
        <w:spacing w:after="0" w:line="191" w:lineRule="exact"/>
        <w:rPr>
          <w:sz w:val="20"/>
          <w:szCs w:val="20"/>
          <w:color w:val="auto"/>
        </w:rPr>
      </w:pPr>
    </w:p>
    <w:p>
      <w:pPr>
        <w:ind w:left="640" w:right="80"/>
        <w:spacing w:after="0" w:line="238" w:lineRule="auto"/>
        <w:rPr>
          <w:sz w:val="20"/>
          <w:szCs w:val="20"/>
          <w:color w:val="auto"/>
        </w:rPr>
      </w:pPr>
      <w:r>
        <w:rPr>
          <w:rFonts w:ascii="Arial" w:cs="Arial" w:eastAsia="Arial" w:hAnsi="Arial"/>
          <w:sz w:val="18"/>
          <w:szCs w:val="18"/>
          <w:color w:val="auto"/>
        </w:rPr>
        <w:t>The Board of Directors is responsible for the overall approach to risk management, providing the principles for management as well as policies covering specific areas, such as the foreign exchange risk, interest rate risk, credit risk and liquidity risk.</w:t>
      </w:r>
    </w:p>
    <w:p>
      <w:pPr>
        <w:spacing w:after="0" w:line="187" w:lineRule="exact"/>
        <w:rPr>
          <w:sz w:val="20"/>
          <w:szCs w:val="20"/>
          <w:color w:val="auto"/>
        </w:rPr>
      </w:pPr>
    </w:p>
    <w:p>
      <w:pPr>
        <w:ind w:left="960" w:hanging="316"/>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 Committee of Credicorp -</w:t>
      </w:r>
    </w:p>
    <w:p>
      <w:pPr>
        <w:spacing w:after="0" w:line="191" w:lineRule="exact"/>
        <w:rPr>
          <w:sz w:val="20"/>
          <w:szCs w:val="20"/>
          <w:color w:val="auto"/>
        </w:rPr>
      </w:pPr>
    </w:p>
    <w:p>
      <w:pPr>
        <w:ind w:left="640" w:right="20"/>
        <w:spacing w:after="0" w:line="236" w:lineRule="auto"/>
        <w:rPr>
          <w:sz w:val="20"/>
          <w:szCs w:val="20"/>
          <w:color w:val="auto"/>
        </w:rPr>
      </w:pPr>
      <w:r>
        <w:rPr>
          <w:rFonts w:ascii="Arial" w:cs="Arial" w:eastAsia="Arial" w:hAnsi="Arial"/>
          <w:sz w:val="18"/>
          <w:szCs w:val="18"/>
          <w:color w:val="auto"/>
        </w:rPr>
        <w:t>It represents the Board of Directors of Credicorp and proposes the levels of risk appetite for Credicorp Ltd. In addition, it is aware of the level of compliance of the risk appetite and the level of exposure assumed by the Company and the relevant improvements in integral management of risks.</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71348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iii)  Central Risk Management of Credicorp -</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Central Risk Management of Credicorp informs the Credicorp Risk Committee of the level of compliance of the risk appetite and the level of exposure assumed by the company. In addition, it proposes to the Credicorp Risk Committee the risk appetite levels for Credicorp Ltd.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iv)  Internal audit -</w:t>
      </w:r>
    </w:p>
    <w:p>
      <w:pPr>
        <w:spacing w:after="0" w:line="191" w:lineRule="exact"/>
        <w:rPr>
          <w:sz w:val="20"/>
          <w:szCs w:val="20"/>
          <w:color w:val="auto"/>
        </w:rPr>
      </w:pPr>
    </w:p>
    <w:p>
      <w:pPr>
        <w:ind w:right="520"/>
        <w:spacing w:after="0" w:line="238" w:lineRule="auto"/>
        <w:rPr>
          <w:sz w:val="20"/>
          <w:szCs w:val="20"/>
          <w:color w:val="auto"/>
        </w:rPr>
      </w:pPr>
      <w:r>
        <w:rPr>
          <w:rFonts w:ascii="Arial" w:cs="Arial" w:eastAsia="Arial" w:hAnsi="Arial"/>
          <w:sz w:val="18"/>
          <w:szCs w:val="18"/>
          <w:color w:val="auto"/>
        </w:rPr>
        <w:t>BCP’s Internal Audit area is responsible for supervising the operation of the internal control systems and the Company’s financial information.</w:t>
      </w:r>
    </w:p>
    <w:p>
      <w:pPr>
        <w:spacing w:after="0" w:line="187"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 risk management processes of the Company are monitored by BCP’s Internal Audit area, which analyzes both the adequacy of procedures and their compliance.</w:t>
      </w:r>
    </w:p>
    <w:p>
      <w:pPr>
        <w:spacing w:after="0" w:line="187" w:lineRule="exact"/>
        <w:rPr>
          <w:sz w:val="20"/>
          <w:szCs w:val="20"/>
          <w:color w:val="auto"/>
        </w:rPr>
      </w:pPr>
    </w:p>
    <w:p>
      <w:pPr>
        <w:ind w:right="780"/>
        <w:spacing w:after="0" w:line="238" w:lineRule="auto"/>
        <w:rPr>
          <w:sz w:val="20"/>
          <w:szCs w:val="20"/>
          <w:color w:val="auto"/>
        </w:rPr>
      </w:pPr>
      <w:r>
        <w:rPr>
          <w:rFonts w:ascii="Arial" w:cs="Arial" w:eastAsia="Arial" w:hAnsi="Arial"/>
          <w:sz w:val="18"/>
          <w:szCs w:val="18"/>
          <w:color w:val="auto"/>
        </w:rPr>
        <w:t>Internal Audit discusses the results of its assessments with management and reports its findings and recommendations to the Company’s Board.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w:t>
      </w:r>
    </w:p>
    <w:p>
      <w:pPr>
        <w:spacing w:after="0" w:line="213" w:lineRule="exact"/>
        <w:rPr>
          <w:sz w:val="20"/>
          <w:szCs w:val="20"/>
          <w:color w:val="auto"/>
        </w:rPr>
      </w:pPr>
    </w:p>
    <w:p>
      <w:pPr>
        <w:jc w:val="both"/>
        <w:ind w:right="120"/>
        <w:spacing w:after="0" w:line="254" w:lineRule="auto"/>
        <w:rPr>
          <w:sz w:val="20"/>
          <w:szCs w:val="20"/>
          <w:color w:val="auto"/>
        </w:rPr>
      </w:pPr>
      <w:r>
        <w:rPr>
          <w:rFonts w:ascii="Arial" w:cs="Arial" w:eastAsia="Arial" w:hAnsi="Arial"/>
          <w:sz w:val="17"/>
          <w:szCs w:val="17"/>
          <w:color w:val="auto"/>
        </w:rPr>
        <w:t>The assets of the Company that are potentially exposed to significant concentrations of credit risk include cash and cash equivalents, receivables from related parties and investments at fair value through profit or loss. The magnitude of the maximum exposure to credit risk of the Company is represented by the balance of the aforementioned items at the date of the statement of financial position.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and 2021, 100.00 percent of cash was in entities which are part of Credicorp and subsidiaries.</w:t>
      </w:r>
    </w:p>
    <w:p>
      <w:pPr>
        <w:spacing w:after="0" w:line="191"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Accordingly, in the opinion of management, the Company does not have any concentration that represents a significant credit risk on the above dates.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w:t>
      </w:r>
    </w:p>
    <w:p>
      <w:pPr>
        <w:spacing w:after="0" w:line="21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Market risk is the risk that the fair value or future cash flows of a financial instrument will fluctuate because of changes in market prices. Market prices comprise three types of risk: (i) exchange rate risk, (ii) interest rate risk, and (iii) prices. All financial instruments of the Company are affected by these risks.</w:t>
      </w:r>
    </w:p>
    <w:p>
      <w:pPr>
        <w:spacing w:after="0" w:line="186" w:lineRule="exact"/>
        <w:rPr>
          <w:sz w:val="20"/>
          <w:szCs w:val="20"/>
          <w:color w:val="auto"/>
        </w:rPr>
      </w:pPr>
    </w:p>
    <w:p>
      <w:pPr>
        <w:ind w:left="320" w:hanging="316"/>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Exchange rate risk -</w:t>
      </w:r>
    </w:p>
    <w:p>
      <w:pPr>
        <w:spacing w:after="0" w:line="19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Exchange rate risk is produced by changes in fair value of future cash flows arising from a financial instrument due to fluctuations in the exchange rate. The Administration and Finance Management has the responsibility to identify, measure, control and communicate the Company’s exposure to global exchange rate risk.</w:t>
      </w:r>
    </w:p>
    <w:p>
      <w:pPr>
        <w:spacing w:after="0" w:line="18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As of December 31, 2022, the free market exchange rate for buying and selling transactions for each U.S. dollars, the main foreign currency held by the Company, was S/3.814 (S/3.987 as of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2021 the Company had the following assets and liabilities denominated in U.S. dollars:</w:t>
      </w:r>
    </w:p>
    <w:p>
      <w:pPr>
        <w:spacing w:after="0" w:line="200" w:lineRule="exact"/>
        <w:rPr>
          <w:sz w:val="20"/>
          <w:szCs w:val="20"/>
          <w:color w:val="auto"/>
        </w:rPr>
      </w:pPr>
    </w:p>
    <w:p>
      <w:pPr>
        <w:spacing w:after="0" w:line="204"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37465</wp:posOffset>
            </wp:positionV>
            <wp:extent cx="71348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600"/>
          </w:cols>
          <w:pgMar w:left="960" w:top="35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9"/>
        </w:trPr>
        <w:tc>
          <w:tcPr>
            <w:tcW w:w="5620" w:type="dxa"/>
            <w:vAlign w:val="bottom"/>
          </w:tcPr>
          <w:p>
            <w:pPr>
              <w:spacing w:after="0"/>
              <w:rPr>
                <w:sz w:val="19"/>
                <w:szCs w:val="19"/>
                <w:color w:val="auto"/>
              </w:rPr>
            </w:pPr>
          </w:p>
        </w:tc>
        <w:tc>
          <w:tcPr>
            <w:tcW w:w="2900" w:type="dxa"/>
            <w:vAlign w:val="bottom"/>
            <w:gridSpan w:val="2"/>
          </w:tcPr>
          <w:p>
            <w:pPr>
              <w:ind w:left="156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US$000</w:t>
            </w:r>
          </w:p>
        </w:tc>
        <w:tc>
          <w:tcPr>
            <w:tcW w:w="200" w:type="dxa"/>
            <w:vAlign w:val="bottom"/>
          </w:tcPr>
          <w:p>
            <w:pPr>
              <w:spacing w:after="0"/>
              <w:rPr>
                <w:sz w:val="20"/>
                <w:szCs w:val="20"/>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US$000</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Assets</w:t>
            </w:r>
          </w:p>
        </w:tc>
        <w:tc>
          <w:tcPr>
            <w:tcW w:w="1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20" w:type="dxa"/>
            <w:vAlign w:val="bottom"/>
          </w:tcPr>
          <w:p>
            <w:pPr>
              <w:spacing w:after="0" w:line="199" w:lineRule="exact"/>
              <w:rPr>
                <w:sz w:val="20"/>
                <w:szCs w:val="20"/>
                <w:color w:val="auto"/>
              </w:rPr>
            </w:pPr>
            <w:r>
              <w:rPr>
                <w:rFonts w:ascii="Arial" w:cs="Arial" w:eastAsia="Arial" w:hAnsi="Arial"/>
                <w:sz w:val="18"/>
                <w:szCs w:val="18"/>
                <w:color w:val="auto"/>
              </w:rPr>
              <w:t>Cash and cash equivalents</w:t>
            </w:r>
          </w:p>
        </w:tc>
        <w:tc>
          <w:tcPr>
            <w:tcW w:w="3100" w:type="dxa"/>
            <w:vAlign w:val="bottom"/>
            <w:gridSpan w:val="3"/>
          </w:tcPr>
          <w:p>
            <w:pPr>
              <w:jc w:val="right"/>
              <w:ind w:right="123"/>
              <w:spacing w:after="0" w:line="199" w:lineRule="exact"/>
              <w:rPr>
                <w:sz w:val="20"/>
                <w:szCs w:val="20"/>
                <w:color w:val="auto"/>
              </w:rPr>
            </w:pPr>
            <w:r>
              <w:rPr>
                <w:rFonts w:ascii="Arial" w:cs="Arial" w:eastAsia="Arial" w:hAnsi="Arial"/>
                <w:sz w:val="18"/>
                <w:szCs w:val="18"/>
                <w:color w:val="auto"/>
              </w:rPr>
              <w:t>25,727</w:t>
            </w:r>
          </w:p>
        </w:tc>
        <w:tc>
          <w:tcPr>
            <w:tcW w:w="132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17,220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At fair value through profit or loss</w:t>
            </w:r>
          </w:p>
        </w:tc>
        <w:tc>
          <w:tcPr>
            <w:tcW w:w="3100" w:type="dxa"/>
            <w:vAlign w:val="bottom"/>
            <w:gridSpan w:val="3"/>
            <w:shd w:val="clear" w:color="auto" w:fill="CCEEFF"/>
          </w:tcPr>
          <w:p>
            <w:pPr>
              <w:jc w:val="right"/>
              <w:ind w:right="123"/>
              <w:spacing w:after="0" w:line="199" w:lineRule="exact"/>
              <w:rPr>
                <w:sz w:val="20"/>
                <w:szCs w:val="20"/>
                <w:color w:val="auto"/>
              </w:rPr>
            </w:pPr>
            <w:r>
              <w:rPr>
                <w:rFonts w:ascii="Arial" w:cs="Arial" w:eastAsia="Arial" w:hAnsi="Arial"/>
                <w:sz w:val="18"/>
                <w:szCs w:val="18"/>
                <w:color w:val="auto"/>
              </w:rPr>
              <w:t>251,426</w:t>
            </w:r>
          </w:p>
        </w:tc>
        <w:tc>
          <w:tcPr>
            <w:tcW w:w="13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263,411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20" w:type="dxa"/>
            <w:vAlign w:val="bottom"/>
          </w:tcPr>
          <w:p>
            <w:pPr>
              <w:spacing w:after="0" w:line="199" w:lineRule="exact"/>
              <w:rPr>
                <w:sz w:val="20"/>
                <w:szCs w:val="20"/>
                <w:color w:val="auto"/>
              </w:rPr>
            </w:pPr>
            <w:r>
              <w:rPr>
                <w:rFonts w:ascii="Arial" w:cs="Arial" w:eastAsia="Arial" w:hAnsi="Arial"/>
                <w:sz w:val="18"/>
                <w:szCs w:val="18"/>
                <w:color w:val="auto"/>
              </w:rPr>
              <w:t>At fair value through other comprehensive income</w:t>
            </w:r>
          </w:p>
        </w:tc>
        <w:tc>
          <w:tcPr>
            <w:tcW w:w="3100" w:type="dxa"/>
            <w:vAlign w:val="bottom"/>
            <w:gridSpan w:val="3"/>
          </w:tcPr>
          <w:p>
            <w:pPr>
              <w:jc w:val="right"/>
              <w:ind w:right="123"/>
              <w:spacing w:after="0" w:line="199" w:lineRule="exact"/>
              <w:rPr>
                <w:sz w:val="20"/>
                <w:szCs w:val="20"/>
                <w:color w:val="auto"/>
              </w:rPr>
            </w:pPr>
            <w:r>
              <w:rPr>
                <w:rFonts w:ascii="Arial" w:cs="Arial" w:eastAsia="Arial" w:hAnsi="Arial"/>
                <w:sz w:val="18"/>
                <w:szCs w:val="18"/>
                <w:color w:val="auto"/>
              </w:rPr>
              <w:t>4,003</w:t>
            </w:r>
          </w:p>
        </w:tc>
        <w:tc>
          <w:tcPr>
            <w:tcW w:w="1320" w:type="dxa"/>
            <w:vAlign w:val="bottom"/>
            <w:gridSpan w:val="3"/>
          </w:tcPr>
          <w:p>
            <w:pPr>
              <w:jc w:val="right"/>
              <w:ind w:right="20"/>
              <w:spacing w:after="0" w:line="199" w:lineRule="exact"/>
              <w:rPr>
                <w:sz w:val="20"/>
                <w:szCs w:val="20"/>
                <w:color w:val="auto"/>
              </w:rPr>
            </w:pPr>
            <w:r>
              <w:rPr>
                <w:rFonts w:ascii="Arial" w:cs="Arial" w:eastAsia="Arial" w:hAnsi="Arial"/>
                <w:sz w:val="18"/>
                <w:szCs w:val="18"/>
                <w:color w:val="auto"/>
              </w:rPr>
              <w:t>4,190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20" w:type="dxa"/>
            <w:vAlign w:val="bottom"/>
            <w:tcBorders>
              <w:bottom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Other assets</w:t>
            </w:r>
          </w:p>
        </w:tc>
        <w:tc>
          <w:tcPr>
            <w:tcW w:w="15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5620" w:type="dxa"/>
            <w:vAlign w:val="bottom"/>
          </w:tcPr>
          <w:p>
            <w:pPr>
              <w:spacing w:after="0"/>
              <w:rPr>
                <w:sz w:val="24"/>
                <w:szCs w:val="24"/>
                <w:color w:val="auto"/>
              </w:rPr>
            </w:pPr>
          </w:p>
        </w:tc>
        <w:tc>
          <w:tcPr>
            <w:tcW w:w="3100" w:type="dxa"/>
            <w:vAlign w:val="bottom"/>
            <w:gridSpan w:val="3"/>
          </w:tcPr>
          <w:p>
            <w:pPr>
              <w:jc w:val="right"/>
              <w:ind w:right="123"/>
              <w:spacing w:after="0"/>
              <w:rPr>
                <w:sz w:val="20"/>
                <w:szCs w:val="20"/>
                <w:color w:val="auto"/>
              </w:rPr>
            </w:pPr>
            <w:r>
              <w:rPr>
                <w:rFonts w:ascii="Arial" w:cs="Arial" w:eastAsia="Arial" w:hAnsi="Arial"/>
                <w:sz w:val="18"/>
                <w:szCs w:val="18"/>
                <w:color w:val="auto"/>
              </w:rPr>
              <w:t>281,164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284,830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562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620" w:type="dxa"/>
            <w:vAlign w:val="bottom"/>
          </w:tcPr>
          <w:p>
            <w:pPr>
              <w:spacing w:after="0" w:line="199" w:lineRule="exact"/>
              <w:rPr>
                <w:sz w:val="20"/>
                <w:szCs w:val="20"/>
                <w:color w:val="auto"/>
              </w:rPr>
            </w:pPr>
            <w:r>
              <w:rPr>
                <w:rFonts w:ascii="Arial" w:cs="Arial" w:eastAsia="Arial" w:hAnsi="Arial"/>
                <w:sz w:val="18"/>
                <w:szCs w:val="18"/>
                <w:b w:val="1"/>
                <w:bCs w:val="1"/>
                <w:color w:val="auto"/>
              </w:rPr>
              <w:t>Liabilities</w:t>
            </w:r>
          </w:p>
        </w:tc>
        <w:tc>
          <w:tcPr>
            <w:tcW w:w="1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Bonds and notes issued</w:t>
            </w:r>
          </w:p>
        </w:tc>
        <w:tc>
          <w:tcPr>
            <w:tcW w:w="3100" w:type="dxa"/>
            <w:vAlign w:val="bottom"/>
            <w:gridSpan w:val="3"/>
            <w:shd w:val="clear" w:color="auto" w:fill="CCEEFF"/>
          </w:tcPr>
          <w:p>
            <w:pPr>
              <w:jc w:val="right"/>
              <w:ind w:right="63"/>
              <w:spacing w:after="0" w:line="199" w:lineRule="exact"/>
              <w:rPr>
                <w:sz w:val="20"/>
                <w:szCs w:val="20"/>
                <w:color w:val="auto"/>
              </w:rPr>
            </w:pPr>
            <w:r>
              <w:rPr>
                <w:rFonts w:ascii="Arial" w:cs="Arial" w:eastAsia="Arial" w:hAnsi="Arial"/>
                <w:sz w:val="18"/>
                <w:szCs w:val="18"/>
                <w:color w:val="auto"/>
              </w:rPr>
              <w:t>(497,658)</w:t>
            </w:r>
          </w:p>
        </w:tc>
        <w:tc>
          <w:tcPr>
            <w:tcW w:w="1400" w:type="dxa"/>
            <w:vAlign w:val="bottom"/>
            <w:gridSpan w:val="4"/>
            <w:shd w:val="clear" w:color="auto" w:fill="CCEEFF"/>
          </w:tcPr>
          <w:p>
            <w:pPr>
              <w:jc w:val="right"/>
              <w:ind w:right="40"/>
              <w:spacing w:after="0" w:line="199" w:lineRule="exact"/>
              <w:rPr>
                <w:sz w:val="20"/>
                <w:szCs w:val="20"/>
                <w:color w:val="auto"/>
              </w:rPr>
            </w:pPr>
            <w:r>
              <w:rPr>
                <w:rFonts w:ascii="Arial" w:cs="Arial" w:eastAsia="Arial" w:hAnsi="Arial"/>
                <w:sz w:val="18"/>
                <w:szCs w:val="18"/>
                <w:color w:val="auto"/>
              </w:rPr>
              <w:t>(496,692)</w:t>
            </w:r>
          </w:p>
        </w:tc>
        <w:tc>
          <w:tcPr>
            <w:tcW w:w="0" w:type="dxa"/>
            <w:vAlign w:val="bottom"/>
          </w:tcPr>
          <w:p>
            <w:pPr>
              <w:spacing w:after="0"/>
              <w:rPr>
                <w:sz w:val="1"/>
                <w:szCs w:val="1"/>
                <w:color w:val="auto"/>
              </w:rPr>
            </w:pPr>
          </w:p>
        </w:tc>
      </w:tr>
      <w:tr>
        <w:trPr>
          <w:trHeight w:val="206"/>
        </w:trPr>
        <w:tc>
          <w:tcPr>
            <w:tcW w:w="5620" w:type="dxa"/>
            <w:vAlign w:val="bottom"/>
          </w:tcPr>
          <w:p>
            <w:pPr>
              <w:spacing w:after="0" w:line="199" w:lineRule="exact"/>
              <w:rPr>
                <w:sz w:val="20"/>
                <w:szCs w:val="20"/>
                <w:color w:val="auto"/>
              </w:rPr>
            </w:pPr>
            <w:r>
              <w:rPr>
                <w:rFonts w:ascii="Arial" w:cs="Arial" w:eastAsia="Arial" w:hAnsi="Arial"/>
                <w:sz w:val="18"/>
                <w:szCs w:val="18"/>
                <w:color w:val="auto"/>
              </w:rPr>
              <w:t>Other liabilities</w:t>
            </w:r>
          </w:p>
        </w:tc>
        <w:tc>
          <w:tcPr>
            <w:tcW w:w="3100" w:type="dxa"/>
            <w:vAlign w:val="bottom"/>
            <w:gridSpan w:val="3"/>
          </w:tcPr>
          <w:p>
            <w:pPr>
              <w:jc w:val="right"/>
              <w:ind w:right="63"/>
              <w:spacing w:after="0" w:line="199" w:lineRule="exact"/>
              <w:rPr>
                <w:sz w:val="20"/>
                <w:szCs w:val="20"/>
                <w:color w:val="auto"/>
              </w:rPr>
            </w:pPr>
            <w:r>
              <w:rPr>
                <w:rFonts w:ascii="Arial" w:cs="Arial" w:eastAsia="Arial" w:hAnsi="Arial"/>
                <w:sz w:val="18"/>
                <w:szCs w:val="18"/>
                <w:color w:val="auto"/>
              </w:rPr>
              <w:t>(12,499)</w:t>
            </w:r>
          </w:p>
        </w:tc>
        <w:tc>
          <w:tcPr>
            <w:tcW w:w="1400" w:type="dxa"/>
            <w:vAlign w:val="bottom"/>
            <w:gridSpan w:val="4"/>
          </w:tcPr>
          <w:p>
            <w:pPr>
              <w:jc w:val="right"/>
              <w:ind w:right="40"/>
              <w:spacing w:after="0" w:line="199" w:lineRule="exact"/>
              <w:rPr>
                <w:sz w:val="20"/>
                <w:szCs w:val="20"/>
                <w:color w:val="auto"/>
              </w:rPr>
            </w:pPr>
            <w:r>
              <w:rPr>
                <w:rFonts w:ascii="Arial" w:cs="Arial" w:eastAsia="Arial" w:hAnsi="Arial"/>
                <w:sz w:val="18"/>
                <w:szCs w:val="18"/>
                <w:color w:val="auto"/>
              </w:rPr>
              <w:t>(14,394)</w:t>
            </w:r>
          </w:p>
        </w:tc>
        <w:tc>
          <w:tcPr>
            <w:tcW w:w="0" w:type="dxa"/>
            <w:vAlign w:val="bottom"/>
          </w:tcPr>
          <w:p>
            <w:pPr>
              <w:spacing w:after="0"/>
              <w:rPr>
                <w:sz w:val="1"/>
                <w:szCs w:val="1"/>
                <w:color w:val="auto"/>
              </w:rPr>
            </w:pPr>
          </w:p>
        </w:tc>
      </w:tr>
      <w:tr>
        <w:trPr>
          <w:trHeight w:val="199"/>
        </w:trPr>
        <w:tc>
          <w:tcPr>
            <w:tcW w:w="56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(510,157)</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(511,086)</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6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Hedges of net investments in foreign businesses (*)</w:t>
            </w:r>
          </w:p>
        </w:tc>
        <w:tc>
          <w:tcPr>
            <w:tcW w:w="15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228,828</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228,828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5620" w:type="dxa"/>
            <w:vAlign w:val="bottom"/>
            <w:vMerge w:val="restart"/>
          </w:tcPr>
          <w:p>
            <w:pPr>
              <w:spacing w:after="0" w:line="186" w:lineRule="exact"/>
              <w:rPr>
                <w:sz w:val="20"/>
                <w:szCs w:val="20"/>
                <w:color w:val="auto"/>
              </w:rPr>
            </w:pPr>
            <w:r>
              <w:rPr>
                <w:rFonts w:ascii="Arial" w:cs="Arial" w:eastAsia="Arial" w:hAnsi="Arial"/>
                <w:sz w:val="18"/>
                <w:szCs w:val="18"/>
                <w:b w:val="1"/>
                <w:bCs w:val="1"/>
                <w:color w:val="auto"/>
              </w:rPr>
              <w:t>Net monetary position</w:t>
            </w:r>
          </w:p>
        </w:tc>
        <w:tc>
          <w:tcPr>
            <w:tcW w:w="1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jc w:val="right"/>
              <w:ind w:right="63"/>
              <w:spacing w:after="0" w:line="133" w:lineRule="exact"/>
              <w:rPr>
                <w:sz w:val="20"/>
                <w:szCs w:val="20"/>
                <w:color w:val="auto"/>
              </w:rPr>
            </w:pPr>
            <w:r>
              <w:rPr>
                <w:rFonts w:ascii="Arial" w:cs="Arial" w:eastAsia="Arial" w:hAnsi="Arial"/>
                <w:sz w:val="15"/>
                <w:szCs w:val="15"/>
                <w:color w:val="auto"/>
                <w:w w:val="79"/>
              </w:rPr>
              <w:t>)</w:t>
            </w:r>
          </w:p>
        </w:tc>
        <w:tc>
          <w:tcPr>
            <w:tcW w:w="1320" w:type="dxa"/>
            <w:vAlign w:val="bottom"/>
            <w:gridSpan w:val="3"/>
            <w:vMerge w:val="restart"/>
          </w:tcPr>
          <w:p>
            <w:pPr>
              <w:jc w:val="right"/>
              <w:ind w:right="20"/>
              <w:spacing w:after="0" w:line="186" w:lineRule="exact"/>
              <w:rPr>
                <w:sz w:val="20"/>
                <w:szCs w:val="20"/>
                <w:color w:val="auto"/>
              </w:rPr>
            </w:pPr>
            <w:r>
              <w:rPr>
                <w:rFonts w:ascii="Arial" w:cs="Arial" w:eastAsia="Arial" w:hAnsi="Arial"/>
                <w:sz w:val="18"/>
                <w:szCs w:val="18"/>
                <w:color w:val="auto"/>
              </w:rPr>
              <w:t>2,572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5620" w:type="dxa"/>
            <w:vAlign w:val="bottom"/>
            <w:vMerge w:val="continue"/>
          </w:tcPr>
          <w:p>
            <w:pPr>
              <w:spacing w:after="0"/>
              <w:rPr>
                <w:sz w:val="4"/>
                <w:szCs w:val="4"/>
                <w:color w:val="auto"/>
              </w:rPr>
            </w:pPr>
          </w:p>
        </w:tc>
        <w:tc>
          <w:tcPr>
            <w:tcW w:w="3100" w:type="dxa"/>
            <w:vAlign w:val="bottom"/>
            <w:gridSpan w:val="3"/>
          </w:tcPr>
          <w:p>
            <w:pPr>
              <w:jc w:val="right"/>
              <w:ind w:right="123"/>
              <w:spacing w:after="0" w:line="53" w:lineRule="exact"/>
              <w:rPr>
                <w:sz w:val="20"/>
                <w:szCs w:val="20"/>
                <w:color w:val="auto"/>
              </w:rPr>
            </w:pPr>
            <w:r>
              <w:rPr>
                <w:rFonts w:ascii="Arial" w:cs="Arial" w:eastAsia="Arial" w:hAnsi="Arial"/>
                <w:sz w:val="6"/>
                <w:szCs w:val="6"/>
                <w:color w:val="auto"/>
              </w:rPr>
              <w:t>(165</w:t>
            </w:r>
          </w:p>
        </w:tc>
        <w:tc>
          <w:tcPr>
            <w:tcW w:w="13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20" w:right="100" w:hanging="316"/>
        <w:spacing w:after="0" w:line="234"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of December 31, 2020, an accounting hedge of a net investment abroad was carried out where part of our liability position in U.S. dollars related to the balance of the item "bonds and notes issued", see Note 6, was designated as cover our permanent investment in Atlantic Security Holding Corporation. The hedged amount is approximately US$228.8 million, equivalent to S/872.7 million as of December 31, 2022 (US$228.8 million, equivalent to S/912.2 million, as of December 31, 2021).</w:t>
      </w:r>
    </w:p>
    <w:p>
      <w:pPr>
        <w:spacing w:after="0" w:line="189" w:lineRule="exact"/>
        <w:rPr>
          <w:sz w:val="20"/>
          <w:szCs w:val="20"/>
          <w:color w:val="auto"/>
        </w:rPr>
      </w:pPr>
    </w:p>
    <w:p>
      <w:pPr>
        <w:ind w:left="320" w:hanging="316"/>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Interest rate risk -</w:t>
      </w:r>
    </w:p>
    <w:p>
      <w:pPr>
        <w:spacing w:after="0" w:line="191"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Company does not have financial instruments which generate or pay significant interest rates; therefore, Management considers that fluctuations in the interest rate will not affect significantly the Company’s operations. Furthermore, as part of Credicorp, the Company has access to financial instruments at market rates, when necessary.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iii)  Price -</w:t>
      </w:r>
    </w:p>
    <w:p>
      <w:pPr>
        <w:spacing w:after="0" w:line="191"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During 2020, within a context of high uncertainty due to COVID-19 crisis, Credicorp Ltd. issued Senior Notes for approximately US$500.0 million in order to maintain high capitalization capacity of its subsidiaries and to take advantage of opportunities in the market. In order to reduce financial impact as a result of the expenses generated by the bond issued, the company has been investing said funds in high quality assets and with volatility parameters, credit risk and duration consistent with the objective of profitability with limited risk of losses that affect its repayment capacity. Portfolio results are reviewed monthly and annual reviews of its composition are carried out. The assets which the company currently invests in are mainly mutual funds and mandates, in charge of managers with a proven track record in the selected classes. In terms of vehicles, mutual funds investments and direct investments are made on Credicorp Ltd.’s books, while investments through mandates are made in Atlantic Security Financial Servicies.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w:t>
      </w:r>
    </w:p>
    <w:p>
      <w:pPr>
        <w:spacing w:after="0" w:line="213"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Liquidity risk is the risk that the Company is unable to meet its short-term payment obligations associated with its financial liabilities when they fall due. In this regard, the Company that is facing a liquidity crisis would be failing to comply with the obligations to pay to bond holders.</w:t>
      </w:r>
    </w:p>
    <w:p>
      <w:pPr>
        <w:spacing w:after="0" w:line="18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Corporate policies have been implemented for liquidity risk management by the Company. Risk Management heads set up limits and autonomy models to determine the adequate liquidity indicators to be managed.</w:t>
      </w:r>
    </w:p>
    <w:p>
      <w:pPr>
        <w:spacing w:after="0" w:line="40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37465</wp:posOffset>
            </wp:positionV>
            <wp:extent cx="71348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560"/>
          </w:cols>
          <w:pgMar w:left="960" w:top="342" w:right="379" w:bottom="1440" w:gutter="0" w:footer="0" w:header="0"/>
        </w:sectPr>
      </w:pPr>
    </w:p>
    <w:bookmarkStart w:id="43" w:name="page44"/>
    <w:bookmarkEnd w:id="43"/>
    <w:p>
      <w:pPr>
        <w:ind w:left="634" w:right="7300" w:hanging="634"/>
        <w:spacing w:after="0" w:line="502" w:lineRule="auto"/>
        <w:tabs>
          <w:tab w:leader="none" w:pos="634"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color w:val="auto"/>
        </w:rPr>
        <w:t>Government Investigations -</w:t>
      </w:r>
    </w:p>
    <w:p>
      <w:pPr>
        <w:spacing w:after="0" w:line="1" w:lineRule="exact"/>
        <w:rPr>
          <w:rFonts w:ascii="Arial" w:cs="Arial" w:eastAsia="Arial" w:hAnsi="Arial"/>
          <w:sz w:val="17"/>
          <w:szCs w:val="17"/>
          <w:b w:val="1"/>
          <w:bCs w:val="1"/>
          <w:color w:val="auto"/>
        </w:rPr>
      </w:pPr>
    </w:p>
    <w:p>
      <w:pPr>
        <w:ind w:left="634" w:right="40"/>
        <w:spacing w:after="0" w:line="232" w:lineRule="auto"/>
        <w:rPr>
          <w:rFonts w:ascii="Arial" w:cs="Arial" w:eastAsia="Arial" w:hAnsi="Arial"/>
          <w:sz w:val="17"/>
          <w:szCs w:val="17"/>
          <w:b w:val="1"/>
          <w:bCs w:val="1"/>
          <w:color w:val="auto"/>
        </w:rPr>
      </w:pPr>
      <w:r>
        <w:rPr>
          <w:rFonts w:ascii="Arial" w:cs="Arial" w:eastAsia="Arial" w:hAnsi="Arial"/>
          <w:sz w:val="18"/>
          <w:szCs w:val="18"/>
          <w:color w:val="auto"/>
        </w:rPr>
        <w:t>The former Chairman and the current Vice Chairman of the Board of Directors of Credicorp, in their respective capacities as Chairman of the Board and as a director of BCP Stand-alone, were summoned as witnesses by Peruvian prosecutors, along with 26 other Peruvian business leaders, to testify in connection with a judicial investigation that is being carried out regarding contributions made to the electoral campaign of a political party in the 2011 Peruvian presidential elections. Our former Chairman testified on November 18, 2019, and our Vice Chairman testified on December 9, 2019. The former Chairman informed prosecutors that in 2010 and 2011 Credicorp made donations totaling US$3.65 million to the Fujimori 2011 campaign (in total amounts of US$1.7 million in 2010 and US$1.95 million in 2011). These contributions were made in coordination with the General Manager of Credicorp at that time. While the amount of these contributions exceeded the limits then permitted under Peruvian electoral law, the law in place at that time provided no sanction for contributors, and instead only for the recipient of the campaign contribution.</w:t>
      </w:r>
    </w:p>
    <w:p>
      <w:pPr>
        <w:spacing w:after="0" w:line="191" w:lineRule="exact"/>
        <w:rPr>
          <w:rFonts w:ascii="Arial" w:cs="Arial" w:eastAsia="Arial" w:hAnsi="Arial"/>
          <w:sz w:val="17"/>
          <w:szCs w:val="17"/>
          <w:b w:val="1"/>
          <w:bCs w:val="1"/>
          <w:color w:val="auto"/>
        </w:rPr>
      </w:pPr>
    </w:p>
    <w:p>
      <w:pPr>
        <w:ind w:left="634" w:right="120"/>
        <w:spacing w:after="0" w:line="234" w:lineRule="auto"/>
        <w:rPr>
          <w:rFonts w:ascii="Arial" w:cs="Arial" w:eastAsia="Arial" w:hAnsi="Arial"/>
          <w:sz w:val="17"/>
          <w:szCs w:val="17"/>
          <w:b w:val="1"/>
          <w:bCs w:val="1"/>
          <w:color w:val="auto"/>
        </w:rPr>
      </w:pPr>
      <w:r>
        <w:rPr>
          <w:rFonts w:ascii="Arial" w:cs="Arial" w:eastAsia="Arial" w:hAnsi="Arial"/>
          <w:sz w:val="18"/>
          <w:szCs w:val="18"/>
          <w:color w:val="auto"/>
        </w:rPr>
        <w:t>The former Chairman also informed prosecutors that in 2016, three subsidiaries of Credicorp (BCP Stand-alone, Mibanco and Grupo Pacifico) made donations totaling S/711,000.0 (approximately US$200,000.0) to the Peruanos Por el Kambio campaign. These contributions were made in compliance both with Peruvian electoral law and with Credicorp’s own political contributions guidelines, adopted in 2015. These guidelines provided details on the procedures for obtaining approval for contributions and outlined the specific required conditions for transparent contributions.</w:t>
      </w:r>
    </w:p>
    <w:p>
      <w:pPr>
        <w:spacing w:after="0" w:line="186" w:lineRule="exact"/>
        <w:rPr>
          <w:rFonts w:ascii="Arial" w:cs="Arial" w:eastAsia="Arial" w:hAnsi="Arial"/>
          <w:sz w:val="17"/>
          <w:szCs w:val="17"/>
          <w:b w:val="1"/>
          <w:bCs w:val="1"/>
          <w:color w:val="auto"/>
        </w:rPr>
      </w:pPr>
    </w:p>
    <w:p>
      <w:pPr>
        <w:ind w:left="634"/>
        <w:spacing w:after="0" w:line="233" w:lineRule="auto"/>
        <w:rPr>
          <w:rFonts w:ascii="Arial" w:cs="Arial" w:eastAsia="Arial" w:hAnsi="Arial"/>
          <w:sz w:val="17"/>
          <w:szCs w:val="17"/>
          <w:b w:val="1"/>
          <w:bCs w:val="1"/>
          <w:color w:val="auto"/>
        </w:rPr>
      </w:pPr>
      <w:r>
        <w:rPr>
          <w:rFonts w:ascii="Arial" w:cs="Arial" w:eastAsia="Arial" w:hAnsi="Arial"/>
          <w:sz w:val="18"/>
          <w:szCs w:val="18"/>
          <w:color w:val="auto"/>
        </w:rPr>
        <w:t>The Peruvian Superintendencia del Mercado de Valores (‘SMV’ by its acronym in Spanish) has initiated a sanctioning process against Credicorp, for failing to disclose to the market, in due course, the political campaign contributions in the years 2011 and 2016. The SMV also has initiated a sanctioning process against three subsidiaries of Credicorp (BCP Stand-alone, Mibanco and Grupo Pacifico), for failing to disclose to the market, in due course, the political campaign contributions made in connection with the 2016 presidential elections. The SMV notified Credicorp, BCP, Mibanco and Grupo Pacifico with first instance Resolutions on these proceedings. The mentioned Resolutions imposed pecuniary sanctions (fines) on Credicorp and the three subsidiaries as a consequence of these sanctioning processes. Credicorp, BCP, Mibanco and Grupo Pacifico appealed the Resolutions.</w:t>
      </w:r>
    </w:p>
    <w:p>
      <w:pPr>
        <w:spacing w:after="0" w:line="187" w:lineRule="exact"/>
        <w:rPr>
          <w:rFonts w:ascii="Arial" w:cs="Arial" w:eastAsia="Arial" w:hAnsi="Arial"/>
          <w:sz w:val="17"/>
          <w:szCs w:val="17"/>
          <w:b w:val="1"/>
          <w:bCs w:val="1"/>
          <w:color w:val="auto"/>
        </w:rPr>
      </w:pPr>
    </w:p>
    <w:p>
      <w:pPr>
        <w:jc w:val="both"/>
        <w:ind w:left="634"/>
        <w:spacing w:after="0" w:line="234" w:lineRule="auto"/>
        <w:rPr>
          <w:rFonts w:ascii="Arial" w:cs="Arial" w:eastAsia="Arial" w:hAnsi="Arial"/>
          <w:sz w:val="17"/>
          <w:szCs w:val="17"/>
          <w:b w:val="1"/>
          <w:bCs w:val="1"/>
          <w:color w:val="auto"/>
        </w:rPr>
      </w:pPr>
      <w:r>
        <w:rPr>
          <w:rFonts w:ascii="Arial" w:cs="Arial" w:eastAsia="Arial" w:hAnsi="Arial"/>
          <w:sz w:val="18"/>
          <w:szCs w:val="18"/>
          <w:color w:val="auto"/>
        </w:rPr>
        <w:t>On December 8, 2021, Credicorp informed that the Peruvian SMV was notified of the resolution issued by the Provisional Superior Chamber Specialized in Administrative Litigation of the Superior Court of Justice of Lima (the “Court”), pursuant to which the Court has admitted for consideration Credicorp’s contentious-administrative claim challenging the SMV’s resolution (by negative administrative silence), with reference to the appeal filed by Credicorp mentioned in the prior paragraph.</w:t>
      </w:r>
    </w:p>
    <w:p>
      <w:pPr>
        <w:spacing w:after="0" w:line="188" w:lineRule="exact"/>
        <w:rPr>
          <w:rFonts w:ascii="Arial" w:cs="Arial" w:eastAsia="Arial" w:hAnsi="Arial"/>
          <w:sz w:val="17"/>
          <w:szCs w:val="17"/>
          <w:b w:val="1"/>
          <w:bCs w:val="1"/>
          <w:color w:val="auto"/>
        </w:rPr>
      </w:pPr>
    </w:p>
    <w:p>
      <w:pPr>
        <w:ind w:left="634" w:right="20"/>
        <w:spacing w:after="0" w:line="232" w:lineRule="auto"/>
        <w:rPr>
          <w:rFonts w:ascii="Arial" w:cs="Arial" w:eastAsia="Arial" w:hAnsi="Arial"/>
          <w:sz w:val="17"/>
          <w:szCs w:val="17"/>
          <w:b w:val="1"/>
          <w:bCs w:val="1"/>
          <w:color w:val="auto"/>
        </w:rPr>
      </w:pPr>
      <w:r>
        <w:rPr>
          <w:rFonts w:ascii="Arial" w:cs="Arial" w:eastAsia="Arial" w:hAnsi="Arial"/>
          <w:sz w:val="18"/>
          <w:szCs w:val="18"/>
          <w:color w:val="auto"/>
        </w:rPr>
        <w:t>Under the Resolution, the SMV resolved to sanction Credicorp (i) with a fine of 300 Tax Units (Unidades Impositivas Tributarias or UITs by its acronym in Spanish) approximately US$270,000 for, allegedly, having infringed (categorized as “very serious”, “muy grave” in Spanish) subsection 1.6, numeral 1 of Annex 1 of the Sanctions Regulation, approved by CONASEV Resolution N°055-2001-EF/94.10, effective as from 2011; and (ii) with a fine of 210 UITs approximately US$207,375 for, allegedly, having violated (categorized as “very serious”, “muy grave” in Spanish) subsection 1.5, numeral 1 of Annex 1 of the Sanctions Regulation, approved by CONASEV Resolution N°055-2001-EF/94.10 and modified by Resolution N°006-2012-SMV/01, effective as from 2016. The charges made by the SMV against Credicorp were that the Company had affected the transparency of the stock market by not having disclosed relevant information to the market regarding Credicorp’s cash contributions to the political party Fuerza Popular during the 2011 Peruvian presidential campaign (first charge) and that the Company had affected the transparency of the stock market by not having disclosed relevant information to the market regarding Credicorp’s agreement to make contributions to the political party Peruanos por el Kambio during the 2016 Peruvian presidential campaign (second charge).</w:t>
      </w:r>
    </w:p>
    <w:p>
      <w:pPr>
        <w:spacing w:after="0" w:line="200" w:lineRule="exact"/>
        <w:rPr>
          <w:rFonts w:ascii="Arial" w:cs="Arial" w:eastAsia="Arial" w:hAnsi="Arial"/>
          <w:sz w:val="17"/>
          <w:szCs w:val="17"/>
          <w:b w:val="1"/>
          <w:bCs w:val="1"/>
          <w:color w:val="auto"/>
        </w:rPr>
      </w:pPr>
    </w:p>
    <w:p>
      <w:pPr>
        <w:spacing w:after="0" w:line="202" w:lineRule="exact"/>
        <w:rPr>
          <w:rFonts w:ascii="Arial" w:cs="Arial" w:eastAsia="Arial" w:hAnsi="Arial"/>
          <w:sz w:val="17"/>
          <w:szCs w:val="17"/>
          <w:b w:val="1"/>
          <w:bCs w:val="1"/>
          <w:color w:val="auto"/>
        </w:rPr>
      </w:pPr>
    </w:p>
    <w:p>
      <w:pPr>
        <w:ind w:left="5494" w:hanging="109"/>
        <w:spacing w:after="0"/>
        <w:tabs>
          <w:tab w:leader="none" w:pos="54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1348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34"/>
          </w:cols>
          <w:pgMar w:left="326" w:top="329" w:right="339" w:bottom="1440" w:gutter="0" w:footer="0" w:header="0"/>
        </w:sectPr>
      </w:pPr>
    </w:p>
    <w:bookmarkStart w:id="44" w:name="page45"/>
    <w:bookmarkEnd w:id="44"/>
    <w:p>
      <w:pPr>
        <w:ind w:left="634" w:right="340"/>
        <w:spacing w:after="0" w:line="234" w:lineRule="auto"/>
        <w:rPr>
          <w:sz w:val="20"/>
          <w:szCs w:val="20"/>
          <w:color w:val="auto"/>
        </w:rPr>
      </w:pPr>
      <w:r>
        <w:rPr>
          <w:rFonts w:ascii="Arial" w:cs="Arial" w:eastAsia="Arial" w:hAnsi="Arial"/>
          <w:sz w:val="18"/>
          <w:szCs w:val="18"/>
          <w:color w:val="auto"/>
        </w:rPr>
        <w:t>Because Credicorp was neither in agreement with the categorization of the facts nor with the sanctions imposed, Credicorp filed an appeal challenging the Resolution. Subsequently, after the expiration of the term to resolve in the appeal (second administrative instance), Credicorp asserted its right to negative administrative silence and to resort to the Judiciary. Notwithstanding, Credicorp proceeded to pay the fines imposed by the SMV, in compliance with Peruvian law.</w:t>
      </w:r>
    </w:p>
    <w:p>
      <w:pPr>
        <w:spacing w:after="0" w:line="189" w:lineRule="exact"/>
        <w:rPr>
          <w:sz w:val="20"/>
          <w:szCs w:val="20"/>
          <w:color w:val="auto"/>
        </w:rPr>
      </w:pPr>
    </w:p>
    <w:p>
      <w:pPr>
        <w:ind w:left="634"/>
        <w:spacing w:after="0" w:line="238" w:lineRule="auto"/>
        <w:rPr>
          <w:sz w:val="20"/>
          <w:szCs w:val="20"/>
          <w:color w:val="auto"/>
        </w:rPr>
      </w:pPr>
      <w:r>
        <w:rPr>
          <w:rFonts w:ascii="Arial" w:cs="Arial" w:eastAsia="Arial" w:hAnsi="Arial"/>
          <w:sz w:val="18"/>
          <w:szCs w:val="18"/>
          <w:color w:val="auto"/>
        </w:rPr>
        <w:t>Thus, since Credicorp’s contentious-administrative claim filed was admitted for consideration by the Court, the administrative procedure has terminated with respect to Credicorp and the matter is now subject to the decision of the Peruvian Judiciary.</w:t>
      </w:r>
    </w:p>
    <w:p>
      <w:pPr>
        <w:spacing w:after="0" w:line="187" w:lineRule="exact"/>
        <w:rPr>
          <w:sz w:val="20"/>
          <w:szCs w:val="20"/>
          <w:color w:val="auto"/>
        </w:rPr>
      </w:pPr>
    </w:p>
    <w:p>
      <w:pPr>
        <w:ind w:left="634" w:right="500"/>
        <w:spacing w:after="0" w:line="238" w:lineRule="auto"/>
        <w:rPr>
          <w:sz w:val="20"/>
          <w:szCs w:val="20"/>
          <w:color w:val="auto"/>
        </w:rPr>
      </w:pPr>
      <w:r>
        <w:rPr>
          <w:rFonts w:ascii="Arial" w:cs="Arial" w:eastAsia="Arial" w:hAnsi="Arial"/>
          <w:sz w:val="18"/>
          <w:szCs w:val="18"/>
          <w:color w:val="auto"/>
        </w:rPr>
        <w:t>As for BCP, Mibanco and Grupo Pacífico, as well as Credicorp, having admitted the aforementioned lawsuit for processing by the Court, the matter is now subject to the decision of the Peruvian Judiciary.</w:t>
      </w:r>
    </w:p>
    <w:p>
      <w:pPr>
        <w:spacing w:after="0" w:line="187" w:lineRule="exact"/>
        <w:rPr>
          <w:sz w:val="20"/>
          <w:szCs w:val="20"/>
          <w:color w:val="auto"/>
        </w:rPr>
      </w:pPr>
    </w:p>
    <w:p>
      <w:pPr>
        <w:ind w:left="634" w:right="40"/>
        <w:spacing w:after="0" w:line="236" w:lineRule="auto"/>
        <w:rPr>
          <w:sz w:val="20"/>
          <w:szCs w:val="20"/>
          <w:color w:val="auto"/>
        </w:rPr>
      </w:pPr>
      <w:r>
        <w:rPr>
          <w:rFonts w:ascii="Arial" w:cs="Arial" w:eastAsia="Arial" w:hAnsi="Arial"/>
          <w:sz w:val="18"/>
          <w:szCs w:val="18"/>
          <w:color w:val="auto"/>
        </w:rPr>
        <w:t>Credicorp believes that neither the contributions disclosed by our former Chairman and the current Vice Chairman in 2019 nor the related SMV sanctioning processes pose a significant risk of material liability to the Company. Furthermore, Credicorp does not believe that either will have material effect on the Company’s business, financial position or profitability.</w:t>
      </w:r>
    </w:p>
    <w:p>
      <w:pPr>
        <w:spacing w:after="0" w:line="186" w:lineRule="exact"/>
        <w:rPr>
          <w:sz w:val="20"/>
          <w:szCs w:val="20"/>
          <w:color w:val="auto"/>
        </w:rPr>
      </w:pPr>
    </w:p>
    <w:p>
      <w:pPr>
        <w:ind w:left="634" w:right="180"/>
        <w:spacing w:after="0" w:line="232" w:lineRule="auto"/>
        <w:rPr>
          <w:sz w:val="20"/>
          <w:szCs w:val="20"/>
          <w:color w:val="auto"/>
        </w:rPr>
      </w:pPr>
      <w:r>
        <w:rPr>
          <w:rFonts w:ascii="Arial" w:cs="Arial" w:eastAsia="Arial" w:hAnsi="Arial"/>
          <w:sz w:val="18"/>
          <w:szCs w:val="18"/>
          <w:color w:val="auto"/>
        </w:rPr>
        <w:t>On November 11, 2021, Credicorp disclosed that its incoming CEO, Mr. Gianfranco Ferrari de las Casas, informed the Company that he was notified of a Prosecutor’s Decision issued by the Corporate Supraprovincial Prosecutor’s Office Specialized in Officer Corruption Offenses Special Team - Fourth Court Division (“Fiscalía Supraprovincial Corporativa Especializada en Delitos de Corrupción de Funcionarios Equipo Especial - Cuarto Despacho”). Through such notice, Mr. Ferrari was informed that he has been included in the preparatory investigation carried out against Mr. Yehude Simon M. and an additional sixty-five (65) individuals on the grounds of, in his particular case, alleged primary complicity in the alleged crime against the public administration, aggravated collusion, incompatible negotiation or improper use of position and criminal organization detrimental to the Peruvian State, in connection with the financial advisory services provided by BCP Stand - alone to the Olmos Project.</w:t>
      </w:r>
    </w:p>
    <w:p>
      <w:pPr>
        <w:spacing w:after="0" w:line="192" w:lineRule="exact"/>
        <w:rPr>
          <w:sz w:val="20"/>
          <w:szCs w:val="20"/>
          <w:color w:val="auto"/>
        </w:rPr>
      </w:pPr>
    </w:p>
    <w:p>
      <w:pPr>
        <w:ind w:left="634" w:right="40"/>
        <w:spacing w:after="0" w:line="233" w:lineRule="auto"/>
        <w:rPr>
          <w:sz w:val="20"/>
          <w:szCs w:val="20"/>
          <w:color w:val="auto"/>
        </w:rPr>
      </w:pPr>
      <w:r>
        <w:rPr>
          <w:rFonts w:ascii="Arial" w:cs="Arial" w:eastAsia="Arial" w:hAnsi="Arial"/>
          <w:sz w:val="18"/>
          <w:szCs w:val="18"/>
          <w:color w:val="auto"/>
        </w:rPr>
        <w:t>Credicorp has reviewed the performance of the officers of Banco de Crédito del Perú in relation to the financial advisory services provided by the Bank in connection with the Olmos Project and has concluded that the facts under investigation do not give rise to any liability of Banco de Crédito del Perú or its officers. Credicorp bases this view on the qualified opinion of external consultants specialized in the matter. Therefore, Credicorp considers that the opening of the aforementioned preparatory investigation will not have any impact on the normal operation of the Company, nor will it affect the dedication and performance of its officers in undertaking their regular duties.</w:t>
      </w:r>
    </w:p>
    <w:p>
      <w:pPr>
        <w:spacing w:after="0" w:line="167" w:lineRule="exact"/>
        <w:rPr>
          <w:sz w:val="20"/>
          <w:szCs w:val="20"/>
          <w:color w:val="auto"/>
        </w:rPr>
      </w:pPr>
    </w:p>
    <w:p>
      <w:pPr>
        <w:ind w:left="634" w:hanging="634"/>
        <w:spacing w:after="0"/>
        <w:tabs>
          <w:tab w:leader="none" w:pos="63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REPORTING PERIOD</w:t>
      </w:r>
    </w:p>
    <w:p>
      <w:pPr>
        <w:spacing w:after="0" w:line="213" w:lineRule="exact"/>
        <w:rPr>
          <w:rFonts w:ascii="Arial" w:cs="Arial" w:eastAsia="Arial" w:hAnsi="Arial"/>
          <w:sz w:val="18"/>
          <w:szCs w:val="18"/>
          <w:b w:val="1"/>
          <w:bCs w:val="1"/>
          <w:color w:val="auto"/>
        </w:rPr>
      </w:pPr>
    </w:p>
    <w:p>
      <w:pPr>
        <w:ind w:left="634" w:right="780"/>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The Company have evaluated the period after the closing of the financial statements and have determined that there are no subsequent events or transactions that require recognition or disclosure in the financial statements as of December 31, 2022.</w:t>
      </w:r>
    </w:p>
    <w:p>
      <w:pPr>
        <w:spacing w:after="0" w:line="391" w:lineRule="exact"/>
        <w:rPr>
          <w:rFonts w:ascii="Arial" w:cs="Arial" w:eastAsia="Arial" w:hAnsi="Arial"/>
          <w:sz w:val="18"/>
          <w:szCs w:val="18"/>
          <w:b w:val="1"/>
          <w:bCs w:val="1"/>
          <w:color w:val="auto"/>
        </w:rPr>
      </w:pPr>
    </w:p>
    <w:p>
      <w:pPr>
        <w:ind w:left="5514" w:hanging="102"/>
        <w:spacing w:after="0"/>
        <w:tabs>
          <w:tab w:leader="none" w:pos="5514" w:val="left"/>
        </w:tabs>
        <w:numPr>
          <w:ilvl w:val="1"/>
          <w:numId w:val="49"/>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348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sectPr>
      <w:pgSz w:w="11900" w:h="16838" w:orient="portrait"/>
      <w:cols w:equalWidth="0" w:num="1">
        <w:col w:w="11214"/>
      </w:cols>
      <w:pgMar w:left="326" w:top="35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bullet"/>
      <w:start w:val="1"/>
    </w:lvl>
    <w:lvl w:ilvl="1">
      <w:lvlJc w:val="left"/>
      <w:lvlText w:val="-"/>
      <w:numFmt w:val="bullet"/>
      <w:start w:val="1"/>
    </w:lvl>
  </w:abstractNum>
  <w:abstractNum w:abstractNumId="3">
    <w:nsid w:val="189A769B"/>
    <w:multiLevelType w:val="hybridMultilevel"/>
    <w:lvl w:ilvl="0">
      <w:lvlJc w:val="left"/>
      <w:lvlText w:val="2"/>
      <w:numFmt w:val="bullet"/>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
    <w:nsid w:val="54E49EB4"/>
    <w:multiLevelType w:val="hybridMultilevel"/>
    <w:lvl w:ilvl="0">
      <w:lvlJc w:val="left"/>
      <w:lvlText w:val="3"/>
      <w:numFmt w:val="bullet"/>
      <w:start w:val="1"/>
    </w:lvl>
    <w:lvl w:ilvl="1">
      <w:lvlJc w:val="left"/>
      <w:lvlText w:val="%2)"/>
      <w:numFmt w:val="lowerLetter"/>
      <w:start w:val="1"/>
    </w:lvl>
  </w:abstractNum>
  <w:abstractNum w:abstractNumId="5">
    <w:nsid w:val="71F32454"/>
    <w:multiLevelType w:val="hybridMultilevel"/>
    <w:lvl w:ilvl="0">
      <w:lvlJc w:val="left"/>
      <w:lvlText w:val="(%1)"/>
      <w:numFmt w:val="lowerRoman"/>
      <w:start w:val="1"/>
    </w:lvl>
    <w:lvl w:ilvl="1">
      <w:lvlJc w:val="left"/>
      <w:lvlText w:val="-"/>
      <w:numFmt w:val="bullet"/>
      <w:start w:val="1"/>
    </w:lvl>
  </w:abstractNum>
  <w:abstractNum w:abstractNumId="6">
    <w:nsid w:val="2CA88611"/>
    <w:multiLevelType w:val="hybridMultilevel"/>
    <w:lvl w:ilvl="0">
      <w:lvlJc w:val="left"/>
      <w:lvlText w:val="(%1)"/>
      <w:numFmt w:val="lowerRoman"/>
      <w:start w:val="2"/>
    </w:lvl>
    <w:lvl w:ilvl="1">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9">
    <w:nsid w:val="3A95F874"/>
    <w:multiLevelType w:val="hybridMultilevel"/>
    <w:lvl w:ilvl="0">
      <w:lvlJc w:val="left"/>
      <w:lvlText w:val="%1)"/>
      <w:numFmt w:val="lowerLetter"/>
      <w:start w:val="4"/>
    </w:lvl>
    <w:lvl w:ilvl="1">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lowerLetter"/>
      <w:start w:val="4"/>
    </w:lvl>
  </w:abstractNum>
  <w:abstractNum w:abstractNumId="14">
    <w:nsid w:val="6CEAF087"/>
    <w:multiLevelType w:val="hybridMultilevel"/>
    <w:lvl w:ilvl="0">
      <w:lvlJc w:val="left"/>
      <w:lvlText w:val="%1)"/>
      <w:numFmt w:val="lowerLetter"/>
      <w:start w:val="5"/>
    </w:lvl>
    <w:lvl w:ilvl="1">
      <w:lvlJc w:val="left"/>
      <w:lvlText w:val="-"/>
      <w:numFmt w:val="bullet"/>
      <w:start w:val="1"/>
    </w:lvl>
  </w:abstractNum>
  <w:abstractNum w:abstractNumId="15">
    <w:nsid w:val="22221A70"/>
    <w:multiLevelType w:val="hybridMultilevel"/>
    <w:lvl w:ilvl="0">
      <w:lvlJc w:val="left"/>
      <w:lvlText w:val="%1)"/>
      <w:numFmt w:val="lowerLetter"/>
      <w:start w:val="8"/>
    </w:lvl>
    <w:lvl w:ilvl="1">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1)"/>
      <w:numFmt w:val="lowerRoman"/>
      <w:start w:val="1"/>
    </w:lvl>
  </w:abstractNum>
  <w:abstractNum w:abstractNumId="18">
    <w:nsid w:val="614FD4A1"/>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19">
    <w:nsid w:val="419AC241"/>
    <w:multiLevelType w:val="hybridMultilevel"/>
    <w:lvl w:ilvl="0">
      <w:lvlJc w:val="left"/>
      <w:lvlText w:val="(%1)"/>
      <w:numFmt w:val="lowerRoman"/>
      <w:start w:val="2"/>
    </w:lvl>
    <w:lvl w:ilvl="1">
      <w:lvlJc w:val="left"/>
      <w:lvlText w:val="%2"/>
      <w:numFmt w:val="lowerLetter"/>
      <w:start w:val="1"/>
    </w:lvl>
    <w:lvl w:ilvl="2">
      <w:lvlJc w:val="left"/>
      <w:lvlText w:val="-"/>
      <w:numFmt w:val="bullet"/>
      <w:start w:val="1"/>
    </w:lvl>
  </w:abstractNum>
  <w:abstractNum w:abstractNumId="20">
    <w:nsid w:val="5577F8E1"/>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21">
    <w:nsid w:val="440BADFC"/>
    <w:multiLevelType w:val="hybridMultilevel"/>
    <w:lvl w:ilvl="0">
      <w:lvlJc w:val="left"/>
      <w:lvlText w:val="%1)"/>
      <w:numFmt w:val="lowerLetter"/>
      <w:start w:val="9"/>
    </w:lvl>
    <w:lvl w:ilvl="1">
      <w:lvlJc w:val="left"/>
      <w:lvlText w:val="%2"/>
      <w:numFmt w:val="lowerRoman"/>
      <w:start w:val="1"/>
    </w:lvl>
    <w:lvl w:ilvl="2">
      <w:lvlJc w:val="left"/>
      <w:lvlText w:val="-"/>
      <w:numFmt w:val="bullet"/>
      <w:start w:val="1"/>
    </w:lvl>
  </w:abstractNum>
  <w:abstractNum w:abstractNumId="22">
    <w:nsid w:val="5072367"/>
    <w:multiLevelType w:val="hybridMultilevel"/>
    <w:lvl w:ilvl="0">
      <w:lvlJc w:val="left"/>
      <w:lvlText w:val="%1)"/>
      <w:numFmt w:val="lowerLetter"/>
      <w:start w:val="12"/>
    </w:lvl>
    <w:lvl w:ilvl="1">
      <w:lvlJc w:val="left"/>
      <w:lvlText w:val="-"/>
      <w:numFmt w:val="bullet"/>
      <w:start w:val="1"/>
    </w:lvl>
    <w:lvl w:ilvl="2">
      <w:lvlJc w:val="left"/>
      <w:lvlText w:val="-"/>
      <w:numFmt w:val="bullet"/>
      <w:start w:val="1"/>
    </w:lvl>
  </w:abstractNum>
  <w:abstractNum w:abstractNumId="23">
    <w:nsid w:val="3804823E"/>
    <w:multiLevelType w:val="hybridMultilevel"/>
    <w:lvl w:ilvl="0">
      <w:lvlJc w:val="left"/>
      <w:lvlText w:val="%1)"/>
      <w:numFmt w:val="lowerRoman"/>
      <w:start w:val="1"/>
    </w:lvl>
  </w:abstractNum>
  <w:abstractNum w:abstractNumId="24">
    <w:nsid w:val="77465F01"/>
    <w:multiLevelType w:val="hybridMultilevel"/>
    <w:lvl w:ilvl="0">
      <w:lvlJc w:val="left"/>
      <w:lvlText w:val="%1)"/>
      <w:numFmt w:val="lowerRoman"/>
      <w:start w:val="2"/>
    </w:lvl>
    <w:lvl w:ilvl="1">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lowerLetter"/>
      <w:start w:val="14"/>
    </w:lvl>
    <w:lvl w:ilvl="1">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4"/>
      <w:numFmt w:val="bullet"/>
      <w:start w:val="1"/>
    </w:lvl>
  </w:abstractNum>
  <w:abstractNum w:abstractNumId="30">
    <w:nsid w:val="2D517796"/>
    <w:multiLevelType w:val="hybridMultilevel"/>
    <w:lvl w:ilvl="0">
      <w:lvlJc w:val="left"/>
      <w:lvlText w:val="(%1)"/>
      <w:numFmt w:val="lowerRoman"/>
      <w:start w:val="1"/>
    </w:lvl>
    <w:lvl w:ilvl="1">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6"/>
      <w:numFmt w:val="bullet"/>
      <w:start w:val="1"/>
    </w:lvl>
    <w:lvl w:ilvl="1">
      <w:lvlJc w:val="left"/>
      <w:lvlText w:val="-"/>
      <w:numFmt w:val="bullet"/>
      <w:start w:val="1"/>
    </w:lvl>
  </w:abstractNum>
  <w:abstractNum w:abstractNumId="34">
    <w:nsid w:val="70A64E2A"/>
    <w:multiLevelType w:val="hybridMultilevel"/>
    <w:lvl w:ilvl="0">
      <w:lvlJc w:val="left"/>
      <w:lvlText w:val="(%1)"/>
      <w:numFmt w:val="lowerRoman"/>
      <w:start w:val="1"/>
    </w:lvl>
  </w:abstractNum>
  <w:abstractNum w:abstractNumId="35">
    <w:nsid w:val="6A2342EC"/>
    <w:multiLevelType w:val="hybridMultilevel"/>
    <w:lvl w:ilvl="0">
      <w:lvlJc w:val="left"/>
      <w:lvlText w:val="8"/>
      <w:numFmt w:val="bullet"/>
      <w:start w:val="1"/>
    </w:lvl>
    <w:lvl w:ilvl="1">
      <w:lvlJc w:val="left"/>
      <w:lvlText w:val="%2)"/>
      <w:numFmt w:val="lowerLetter"/>
      <w:start w:val="1"/>
    </w:lvl>
  </w:abstractNum>
  <w:abstractNum w:abstractNumId="36">
    <w:nsid w:val="2A487CB0"/>
    <w:multiLevelType w:val="hybridMultilevel"/>
    <w:lvl w:ilvl="0">
      <w:lvlJc w:val="left"/>
      <w:lvlText w:val="9"/>
      <w:numFmt w:val="bullet"/>
      <w:start w:val="1"/>
    </w:lvl>
    <w:lvl w:ilvl="1">
      <w:lvlJc w:val="left"/>
      <w:lvlText w:val="%2)"/>
      <w:numFmt w:val="lowerLetter"/>
      <w:start w:val="1"/>
    </w:lvl>
  </w:abstractNum>
  <w:abstractNum w:abstractNumId="37">
    <w:nsid w:val="1D4ED43B"/>
    <w:multiLevelType w:val="hybridMultilevel"/>
    <w:lvl w:ilvl="0">
      <w:lvlJc w:val="left"/>
      <w:lvlText w:val="%1"/>
      <w:numFmt w:val="decimal"/>
      <w:start w:val="10"/>
    </w:lvl>
    <w:lvl w:ilvl="1">
      <w:lvlJc w:val="left"/>
      <w:lvlText w:val="%2)"/>
      <w:numFmt w:val="lowerLetter"/>
      <w:start w:val="1"/>
    </w:lvl>
  </w:abstractNum>
  <w:abstractNum w:abstractNumId="38">
    <w:nsid w:val="725A06FB"/>
    <w:multiLevelType w:val="hybridMultilevel"/>
    <w:lvl w:ilvl="0">
      <w:lvlJc w:val="left"/>
      <w:lvlText w:val="%1"/>
      <w:numFmt w:val="decimal"/>
      <w:start w:val="291"/>
    </w:lvl>
  </w:abstractNum>
  <w:abstractNum w:abstractNumId="39">
    <w:nsid w:val="2CD89A32"/>
    <w:multiLevelType w:val="hybridMultilevel"/>
    <w:lvl w:ilvl="0">
      <w:lvlJc w:val="left"/>
      <w:lvlText w:val="%1"/>
      <w:numFmt w:val="lowerLetter"/>
      <w:start w:val="1"/>
    </w:lvl>
    <w:lvl w:ilvl="1">
      <w:lvlJc w:val="left"/>
      <w:lvlText w:val="(%2)"/>
      <w:numFmt w:val="lowerRoman"/>
      <w:start w:val="1"/>
    </w:lvl>
  </w:abstractNum>
  <w:abstractNum w:abstractNumId="40">
    <w:nsid w:val="57E4CCAF"/>
    <w:multiLevelType w:val="hybridMultilevel"/>
    <w:lvl w:ilvl="0">
      <w:lvlJc w:val="left"/>
      <w:lvlText w:val="%1)"/>
      <w:numFmt w:val="lowerLetter"/>
      <w:start w:val="2"/>
    </w:lvl>
    <w:lvl w:ilvl="1">
      <w:lvlJc w:val="left"/>
      <w:lvlText w:val="%2"/>
      <w:numFmt w:val="lowerRoman"/>
      <w:start w:val="1"/>
    </w:lvl>
  </w:abstractNum>
  <w:abstractNum w:abstractNumId="41">
    <w:nsid w:val="7A6D8D3C"/>
    <w:multiLevelType w:val="hybridMultilevel"/>
    <w:lvl w:ilvl="0">
      <w:lvlJc w:val="left"/>
      <w:lvlText w:val="%1"/>
      <w:numFmt w:val="decimal"/>
      <w:start w:val="11"/>
    </w:lvl>
  </w:abstractNum>
  <w:abstractNum w:abstractNumId="42">
    <w:nsid w:val="4B588F54"/>
    <w:multiLevelType w:val="hybridMultilevel"/>
    <w:lvl w:ilvl="0">
      <w:lvlJc w:val="left"/>
      <w:lvlText w:val="%1)"/>
      <w:numFmt w:val="lowerRoman"/>
      <w:start w:val="1"/>
    </w:lvl>
  </w:abstractNum>
  <w:abstractNum w:abstractNumId="43">
    <w:nsid w:val="542289EC"/>
    <w:multiLevelType w:val="hybridMultilevel"/>
    <w:lvl w:ilvl="0">
      <w:lvlJc w:val="left"/>
      <w:lvlText w:val="%1)"/>
      <w:numFmt w:val="lowerRoman"/>
      <w:start w:val="2"/>
    </w:lvl>
  </w:abstractNum>
  <w:abstractNum w:abstractNumId="44">
    <w:nsid w:val="6DE91B18"/>
    <w:multiLevelType w:val="hybridMultilevel"/>
    <w:lvl w:ilvl="0">
      <w:lvlJc w:val="left"/>
      <w:lvlText w:val="%1)"/>
      <w:numFmt w:val="lowerRoman"/>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lowerRoman"/>
      <w:start w:val="2"/>
    </w:lvl>
  </w:abstractNum>
  <w:abstractNum w:abstractNumId="47">
    <w:nsid w:val="32FFF902"/>
    <w:multiLevelType w:val="hybridMultilevel"/>
    <w:lvl w:ilvl="0">
      <w:lvlJc w:val="left"/>
      <w:lvlText w:val="%1"/>
      <w:numFmt w:val="decimal"/>
      <w:start w:val="12"/>
    </w:lvl>
    <w:lvl w:ilvl="1">
      <w:lvlJc w:val="left"/>
      <w:lvlText w:val="-"/>
      <w:numFmt w:val="bullet"/>
      <w:start w:val="1"/>
    </w:lvl>
  </w:abstractNum>
  <w:abstractNum w:abstractNumId="48">
    <w:nsid w:val="684A481A"/>
    <w:multiLevelType w:val="hybridMultilevel"/>
    <w:lvl w:ilvl="0">
      <w:lvlJc w:val="left"/>
      <w:lvlText w:val="%1"/>
      <w:numFmt w:val="decimal"/>
      <w:start w:val="1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2023-04-17T15:20:00Z</dcterms:created>
  <dcterms:modified xsi:type="dcterms:W3CDTF">2023-04-17T15:20:00Z</dcterms:modified>
</cp:coreProperties>
</file>