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For the month of February 2016</w:t>
      </w:r>
    </w:p>
    <w:p>
      <w:pPr>
        <w:spacing w:after="0" w:line="22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2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0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590550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46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723265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article 28 of the Capital Markets Law approved by Law N° 093-2002-EF and SMV Resolution for Material Events and Reserved Information and Other Communications N° 005-2014-SMV-01 (the “Resolution”), Credicorp Ltd. complies with notifying you of the following Material</w:t>
      </w:r>
    </w:p>
    <w:p>
      <w:pPr>
        <w:ind w:right="20"/>
        <w:spacing w:after="0" w:line="221" w:lineRule="auto"/>
        <w:rPr>
          <w:sz w:val="20"/>
          <w:szCs w:val="20"/>
          <w:color w:val="auto"/>
        </w:rPr>
      </w:pPr>
      <w:r>
        <w:rPr>
          <w:rFonts w:ascii="Times New Roman" w:cs="Times New Roman" w:eastAsia="Times New Roman" w:hAnsi="Times New Roman"/>
          <w:sz w:val="18"/>
          <w:szCs w:val="18"/>
          <w:color w:val="auto"/>
        </w:rPr>
        <w:t>Event. Credicorp’s Board of Directors, in its session held on February 24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2016, agreed unanimously on the following matters that will submit for consideration and approval at the Company’s Annual General Meeting of Shareholders, which will be held on March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2016, at 3:00pm:</w:t>
      </w:r>
    </w:p>
    <w:p>
      <w:pPr>
        <w:spacing w:after="0" w:line="79" w:lineRule="exact"/>
        <w:rPr>
          <w:sz w:val="20"/>
          <w:szCs w:val="20"/>
          <w:color w:val="auto"/>
        </w:rPr>
      </w:pPr>
    </w:p>
    <w:p>
      <w:pPr>
        <w:jc w:val="both"/>
        <w:ind w:left="340" w:hanging="332"/>
        <w:spacing w:after="0" w:line="184" w:lineRule="auto"/>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Approved the Annual Report of the Company for the financial year ended December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2015 that the Chairman will present at the Annual General Meeting of Shareholders on March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2016; and the Annual Information Document (DIA – Documento de Información Anual) of Credicorp Ltd. and its subsidiaries for the year 2015.</w:t>
      </w:r>
    </w:p>
    <w:p>
      <w:pPr>
        <w:spacing w:after="0" w:line="204" w:lineRule="exact"/>
        <w:rPr>
          <w:rFonts w:ascii="Times New Roman" w:cs="Times New Roman" w:eastAsia="Times New Roman" w:hAnsi="Times New Roman"/>
          <w:sz w:val="36"/>
          <w:szCs w:val="36"/>
          <w:color w:val="auto"/>
          <w:vertAlign w:val="superscript"/>
        </w:rPr>
      </w:pPr>
    </w:p>
    <w:p>
      <w:pPr>
        <w:jc w:val="both"/>
        <w:ind w:left="340" w:hanging="332"/>
        <w:spacing w:after="0" w:line="215" w:lineRule="auto"/>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Approved the audited consolidated financial statements of the Company and its subsidiaries, for the financial year ended December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2015, including the report of the independent external auditors Gaveglio, Aparicio y Asociados Sociedad de Responsabilidad Limitada, members of PricewaterhouseCoopers in Perú, to be submitted for evaluation and approval of the Annual General Meeting of Shareholders on March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2016.</w:t>
      </w:r>
    </w:p>
    <w:p>
      <w:pPr>
        <w:spacing w:after="0" w:line="76" w:lineRule="exact"/>
        <w:rPr>
          <w:rFonts w:ascii="Times New Roman" w:cs="Times New Roman" w:eastAsia="Times New Roman" w:hAnsi="Times New Roman"/>
          <w:sz w:val="36"/>
          <w:szCs w:val="36"/>
          <w:color w:val="auto"/>
          <w:vertAlign w:val="superscript"/>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recommend the appointment of Gaveglio, Aparicio y Asociados Sociedad de Responsabilidad Limitada, members of PricewaterhouseCoopers in Perú, as the independent external auditors of the Company for the financial year 2016, and the authorization to approve the auditor’s fees, in accordance with the proposal and recommendation of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Board of Directors also agreed unanimously the following:</w:t>
      </w:r>
    </w:p>
    <w:p>
      <w:pPr>
        <w:spacing w:after="0" w:line="225" w:lineRule="exact"/>
        <w:rPr>
          <w:sz w:val="20"/>
          <w:szCs w:val="20"/>
          <w:color w:val="auto"/>
        </w:rPr>
      </w:pPr>
    </w:p>
    <w:p>
      <w:pPr>
        <w:jc w:val="both"/>
        <w:ind w:left="340" w:hanging="332"/>
        <w:spacing w:after="0" w:line="233"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its shareholders a cash dividend of S/ 773,085,558.55 for a total of 94,382,317 outstanding shares, which is equivalent to S/ 8.1910 per share. The dividend will be paid in US Dollars using the weighted exchange rate of S/ / US$ 3.5367 registered by the Superintendency of Banks, Insurance and Pension Funds for the transactions at the close of business on February 24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2016. The US Dollar dividend amount will be rounded up to four decimals. As a result, the cash dividend per share to be paid amounts to US$ 2.3160. The Board of Directors approved the distribution of dividend according to the Bye-Laws of the Company and considering a total net income attained in the financial year 2015 of S/ 3,092,303,116.51.</w:t>
      </w:r>
    </w:p>
    <w:p>
      <w:pPr>
        <w:spacing w:after="0" w:line="198"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(i) S/ 1,250,000,000.00 to restricted especial reserves, and (ii) S/ 1,066,370,347.56 to especial reserves. As a result, restricted especial reserves will amount to S/ 10,570,962,766.47, which cannot be used without the authorization of the Superintendency of Banks, Insurance and Pension Funds.</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S/ 2,847,210.40 to retained earnings.</w:t>
      </w:r>
    </w:p>
    <w:p>
      <w:pPr>
        <w:spacing w:after="0" w:line="20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Board also agreed that the dividends will be paid on May 13</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2016 to shareholders of record as of April 18</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Finally, in accordance with the Resolution we enclose the Annual Report of Credicorp and its audited consolidated financial statements of the Company and its subsidiaries for the financial year ended December 31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2015, including the report of the independent external auditors.</w:t>
      </w:r>
    </w:p>
    <w:p>
      <w:pPr>
        <w:spacing w:after="0" w:line="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February 24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2016</w:t>
      </w:r>
    </w:p>
    <w:p>
      <w:pPr>
        <w:spacing w:after="0" w:line="1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2019-12-06T08:53:33Z</dcterms:created>
  <dcterms:modified xsi:type="dcterms:W3CDTF">2019-12-06T08:53:33Z</dcterms:modified>
</cp:coreProperties>
</file>