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ind w:left="340" w:right="260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w:t>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13)*</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u w:val="single" w:color="auto"/>
          <w:color w:val="auto"/>
        </w:rPr>
        <w:t>CREDICORP LTD.</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Common Shares, par value $5.00 per share</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G2519Y108</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N/A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520" w:hanging="215"/>
        <w:spacing w:after="0"/>
        <w:tabs>
          <w:tab w:leader="none" w:pos="1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37" w:lineRule="exact"/>
        <w:rPr>
          <w:sz w:val="24"/>
          <w:szCs w:val="24"/>
          <w:color w:val="auto"/>
        </w:rPr>
      </w:pPr>
    </w:p>
    <w:p>
      <w:pPr>
        <w:ind w:right="120" w:firstLine="648"/>
        <w:spacing w:after="0" w:line="253" w:lineRule="auto"/>
        <w:rPr>
          <w:sz w:val="20"/>
          <w:szCs w:val="20"/>
          <w:color w:val="auto"/>
        </w:rPr>
      </w:pPr>
      <w:r>
        <w:rPr>
          <w:rFonts w:ascii="Arial" w:cs="Arial" w:eastAsia="Arial" w:hAnsi="Arial"/>
          <w:sz w:val="14"/>
          <w:szCs w:val="14"/>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firstLine="648"/>
        <w:spacing w:after="0" w:line="253"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46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39" w:right="319" w:bottom="1440" w:gutter="0" w:footer="0" w:header="0"/>
        </w:sectPr>
      </w:pPr>
    </w:p>
    <w:bookmarkStart w:id="1" w:name="page2"/>
    <w:bookmarkEnd w:id="1"/>
    <w:p>
      <w:pPr>
        <w:spacing w:after="0"/>
        <w:tabs>
          <w:tab w:leader="none" w:pos="4920" w:val="left"/>
          <w:tab w:leader="none" w:pos="976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2 of 45 Pages</w:t>
      </w:r>
    </w:p>
    <w:p>
      <w:pPr>
        <w:spacing w:after="0" w:line="200" w:lineRule="exact"/>
        <w:rPr>
          <w:sz w:val="20"/>
          <w:szCs w:val="20"/>
          <w:color w:val="auto"/>
        </w:rPr>
      </w:pPr>
    </w:p>
    <w:p>
      <w:pPr>
        <w:spacing w:after="0" w:line="239" w:lineRule="exact"/>
        <w:rPr>
          <w:sz w:val="20"/>
          <w:szCs w:val="20"/>
          <w:color w:val="auto"/>
        </w:rPr>
      </w:pPr>
    </w:p>
    <w:p>
      <w:pPr>
        <w:jc w:val="both"/>
        <w:ind w:left="840" w:right="7580" w:hanging="818"/>
        <w:spacing w:after="0" w:line="572"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NAMES OF REPORTING PERSONS Ana Silvia Guzman Portilla de Romero</w:t>
      </w:r>
    </w:p>
    <w:p>
      <w:pPr>
        <w:ind w:left="840" w:hanging="81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3"/>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2800" w:right="6220" w:hanging="820"/>
        <w:spacing w:after="0" w:line="383" w:lineRule="auto"/>
        <w:tabs>
          <w:tab w:leader="none" w:pos="2800" w:val="left"/>
        </w:tabs>
        <w:numPr>
          <w:ilvl w:val="2"/>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ind w:left="840" w:hanging="818"/>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ind w:right="60"/>
        <w:spacing w:after="0" w:line="308" w:lineRule="auto"/>
        <w:rPr>
          <w:rFonts w:ascii="Arial" w:cs="Arial" w:eastAsia="Arial" w:hAnsi="Arial"/>
          <w:sz w:val="18"/>
          <w:szCs w:val="18"/>
          <w:color w:val="auto"/>
        </w:rPr>
      </w:pPr>
      <w:r>
        <w:rPr>
          <w:rFonts w:ascii="Arial" w:cs="Arial" w:eastAsia="Arial" w:hAnsi="Arial"/>
          <w:sz w:val="17"/>
          <w:szCs w:val="17"/>
          <w:color w:val="auto"/>
        </w:rPr>
        <w:t>* Reporting person Ana Silvia Guzman Portilla de Romero sold all of her Common Shares of issuer Credicorp Ltd. on the stock market. As of the date of this report, reporting person Ana Silvia Guzman Portilla de Romero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 w:name="page3"/>
    <w:bookmarkEnd w:id="2"/>
    <w:p>
      <w:pPr>
        <w:spacing w:after="0"/>
        <w:tabs>
          <w:tab w:leader="none" w:pos="4920" w:val="left"/>
          <w:tab w:leader="none" w:pos="976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3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NAMES OF REPORTING PERSONS Arlow Holding Corporation*</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6"/>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118,597</w:t>
      </w:r>
    </w:p>
    <w:p>
      <w:pPr>
        <w:ind w:left="2800" w:right="6220" w:hanging="820"/>
        <w:spacing w:after="0" w:line="383" w:lineRule="auto"/>
        <w:tabs>
          <w:tab w:leader="none" w:pos="2800" w:val="left"/>
        </w:tabs>
        <w:numPr>
          <w:ilvl w:val="2"/>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118,597</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118,597</w:t>
      </w:r>
    </w:p>
    <w:p>
      <w:pPr>
        <w:ind w:left="840" w:hanging="818"/>
        <w:spacing w:after="0"/>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0.1%</w:t>
      </w:r>
    </w:p>
    <w:p>
      <w:pPr>
        <w:spacing w:after="0" w:line="1"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rPr>
          <w:rFonts w:ascii="Arial" w:cs="Arial" w:eastAsia="Arial" w:hAnsi="Arial"/>
          <w:sz w:val="18"/>
          <w:szCs w:val="18"/>
          <w:color w:val="auto"/>
        </w:rPr>
      </w:pPr>
      <w:r>
        <w:rPr>
          <w:rFonts w:ascii="Arial" w:cs="Arial" w:eastAsia="Arial" w:hAnsi="Arial"/>
          <w:sz w:val="18"/>
          <w:szCs w:val="18"/>
          <w:color w:val="auto"/>
        </w:rPr>
        <w:t>* Arlow Holding Corporation is controlled by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tabs>
          <w:tab w:leader="none" w:pos="4920" w:val="left"/>
          <w:tab w:leader="none" w:pos="976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4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08"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NAMES OF REPORTING PERSONS Belle Company Inc.</w:t>
      </w:r>
    </w:p>
    <w:p>
      <w:pPr>
        <w:spacing w:after="0" w:line="1" w:lineRule="exact"/>
        <w:rPr>
          <w:rFonts w:ascii="Arial" w:cs="Arial" w:eastAsia="Arial" w:hAnsi="Arial"/>
          <w:sz w:val="18"/>
          <w:szCs w:val="18"/>
          <w:color w:val="auto"/>
        </w:rPr>
      </w:pPr>
    </w:p>
    <w:p>
      <w:pPr>
        <w:ind w:left="840" w:hanging="818"/>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9"/>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2800" w:right="6220" w:hanging="820"/>
        <w:spacing w:after="0" w:line="383" w:lineRule="auto"/>
        <w:tabs>
          <w:tab w:leader="none" w:pos="280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ind w:left="840" w:hanging="818"/>
        <w:spacing w:after="0"/>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500"/>
        <w:spacing w:after="0" w:line="277" w:lineRule="auto"/>
        <w:rPr>
          <w:rFonts w:ascii="Arial" w:cs="Arial" w:eastAsia="Arial" w:hAnsi="Arial"/>
          <w:sz w:val="18"/>
          <w:szCs w:val="18"/>
          <w:color w:val="auto"/>
        </w:rPr>
      </w:pPr>
      <w:r>
        <w:rPr>
          <w:rFonts w:ascii="Arial" w:cs="Arial" w:eastAsia="Arial" w:hAnsi="Arial"/>
          <w:sz w:val="18"/>
          <w:szCs w:val="18"/>
          <w:color w:val="auto"/>
        </w:rPr>
        <w:t>* Reporting person Belle Company Inc. transferred all of its Common Shares of issuer Credicorp Ltd. to Zuleta Inversionista SA.. As of the date of this report, reporting person Belle Company Inc.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tabs>
          <w:tab w:leader="none" w:pos="4920" w:val="left"/>
          <w:tab w:leader="none" w:pos="976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5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NAMES OF REPORTING PERSONS Birmingham Merchant S.A.*</w:t>
      </w:r>
    </w:p>
    <w:p>
      <w:pPr>
        <w:spacing w:after="0" w:line="1" w:lineRule="exact"/>
        <w:rPr>
          <w:rFonts w:ascii="Arial" w:cs="Arial" w:eastAsia="Arial" w:hAnsi="Arial"/>
          <w:sz w:val="17"/>
          <w:szCs w:val="17"/>
          <w:b w:val="1"/>
          <w:bCs w:val="1"/>
          <w:color w:val="auto"/>
        </w:rPr>
      </w:pPr>
    </w:p>
    <w:p>
      <w:pPr>
        <w:ind w:left="840" w:hanging="818"/>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2,693,868</w:t>
      </w:r>
    </w:p>
    <w:p>
      <w:pPr>
        <w:ind w:left="2800" w:right="6220" w:hanging="820"/>
        <w:spacing w:after="0" w:line="383" w:lineRule="auto"/>
        <w:tabs>
          <w:tab w:leader="none" w:pos="280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2,693,868</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2,693,868</w:t>
      </w:r>
    </w:p>
    <w:p>
      <w:pPr>
        <w:ind w:left="840" w:hanging="818"/>
        <w:spacing w:after="0"/>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120"/>
        <w:spacing w:after="0" w:line="277" w:lineRule="auto"/>
        <w:rPr>
          <w:rFonts w:ascii="Arial" w:cs="Arial" w:eastAsia="Arial" w:hAnsi="Arial"/>
          <w:sz w:val="18"/>
          <w:szCs w:val="18"/>
          <w:color w:val="auto"/>
        </w:rPr>
      </w:pPr>
      <w:r>
        <w:rPr>
          <w:rFonts w:ascii="Arial" w:cs="Arial" w:eastAsia="Arial" w:hAnsi="Arial"/>
          <w:sz w:val="18"/>
          <w:szCs w:val="18"/>
          <w:color w:val="auto"/>
        </w:rPr>
        <w:t>* Birmingham Merchant S.A. is owned and controlled by various members of the Romero family, which includes Dionisio Romero Seminario, Luis Romero Belismelis, Rosalina María Helguero Romero and 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tabs>
          <w:tab w:leader="none" w:pos="4920" w:val="left"/>
          <w:tab w:leader="none" w:pos="976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6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08"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NAMES OF REPORTING PERSONS Cernical Group S.A.*</w:t>
      </w:r>
    </w:p>
    <w:p>
      <w:pPr>
        <w:spacing w:after="0" w:line="1" w:lineRule="exact"/>
        <w:rPr>
          <w:rFonts w:ascii="Arial" w:cs="Arial" w:eastAsia="Arial" w:hAnsi="Arial"/>
          <w:sz w:val="18"/>
          <w:szCs w:val="18"/>
          <w:color w:val="auto"/>
        </w:rPr>
      </w:pPr>
    </w:p>
    <w:p>
      <w:pPr>
        <w:ind w:left="840" w:hanging="818"/>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285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3395" cy="628586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505,845</w:t>
      </w:r>
    </w:p>
    <w:p>
      <w:pPr>
        <w:ind w:left="2800" w:right="6220" w:hanging="820"/>
        <w:spacing w:after="0" w:line="383" w:lineRule="auto"/>
        <w:tabs>
          <w:tab w:leader="none" w:pos="2800" w:val="left"/>
        </w:tabs>
        <w:numPr>
          <w:ilvl w:val="2"/>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505,845</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383"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505,845</w:t>
      </w:r>
    </w:p>
    <w:p>
      <w:pPr>
        <w:spacing w:after="0" w:line="1" w:lineRule="exact"/>
        <w:rPr>
          <w:rFonts w:ascii="Arial" w:cs="Arial" w:eastAsia="Arial" w:hAnsi="Arial"/>
          <w:sz w:val="18"/>
          <w:szCs w:val="18"/>
          <w:color w:val="auto"/>
        </w:rPr>
      </w:pPr>
    </w:p>
    <w:p>
      <w:pPr>
        <w:ind w:left="840" w:hanging="818"/>
        <w:spacing w:after="0"/>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1"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340"/>
        <w:spacing w:after="0" w:line="277" w:lineRule="auto"/>
        <w:rPr>
          <w:rFonts w:ascii="Arial" w:cs="Arial" w:eastAsia="Arial" w:hAnsi="Arial"/>
          <w:sz w:val="18"/>
          <w:szCs w:val="18"/>
          <w:color w:val="auto"/>
        </w:rPr>
      </w:pPr>
      <w:r>
        <w:rPr>
          <w:rFonts w:ascii="Arial" w:cs="Arial" w:eastAsia="Arial" w:hAnsi="Arial"/>
          <w:sz w:val="18"/>
          <w:szCs w:val="18"/>
          <w:color w:val="auto"/>
        </w:rPr>
        <w:t>* Cernical Group S.A. is directly controlled by Alicorp S.A. and indirectly controlled by various members of the Romero family, which includes Dionisio Romero Seminario, Luis Romero Belismelis, Rosalina María Helguero Romero and 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tabs>
          <w:tab w:leader="none" w:pos="4920" w:val="left"/>
          <w:tab w:leader="none" w:pos="976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7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NAMES OF REPORTING PERSONS Dionisio Romero Paoletti</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18"/>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8,643,385</w:t>
      </w:r>
    </w:p>
    <w:p>
      <w:pPr>
        <w:ind w:left="2800" w:right="6220" w:hanging="820"/>
        <w:spacing w:after="0" w:line="383" w:lineRule="auto"/>
        <w:tabs>
          <w:tab w:leader="none" w:pos="280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8,643,385</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8,643,385</w:t>
      </w:r>
    </w:p>
    <w:p>
      <w:pPr>
        <w:ind w:left="840" w:hanging="818"/>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9.2%</w:t>
      </w:r>
    </w:p>
    <w:p>
      <w:pPr>
        <w:spacing w:after="0" w:line="1" w:lineRule="exact"/>
        <w:rPr>
          <w:rFonts w:ascii="Arial" w:cs="Arial" w:eastAsia="Arial" w:hAnsi="Arial"/>
          <w:sz w:val="18"/>
          <w:szCs w:val="18"/>
          <w:color w:val="auto"/>
        </w:rPr>
      </w:pPr>
    </w:p>
    <w:p>
      <w:pPr>
        <w:ind w:left="840" w:right="5980" w:hanging="818"/>
        <w:spacing w:after="0" w:line="527"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 w:name="page8"/>
    <w:bookmarkEnd w:id="7"/>
    <w:p>
      <w:pPr>
        <w:spacing w:after="0"/>
        <w:tabs>
          <w:tab w:leader="none" w:pos="4920" w:val="left"/>
          <w:tab w:leader="none" w:pos="976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8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NAMES OF REPORTING PERSONS Dionisio Romero Seminario</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21"/>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12,531,278</w:t>
      </w:r>
    </w:p>
    <w:p>
      <w:pPr>
        <w:ind w:left="2800" w:right="6220" w:hanging="820"/>
        <w:spacing w:after="0" w:line="383" w:lineRule="auto"/>
        <w:tabs>
          <w:tab w:leader="none" w:pos="280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9,482,097</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12,531,278</w:t>
      </w:r>
    </w:p>
    <w:p>
      <w:pPr>
        <w:ind w:left="840" w:hanging="818"/>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13.3%</w:t>
      </w:r>
    </w:p>
    <w:p>
      <w:pPr>
        <w:spacing w:after="0" w:line="1" w:lineRule="exact"/>
        <w:rPr>
          <w:rFonts w:ascii="Arial" w:cs="Arial" w:eastAsia="Arial" w:hAnsi="Arial"/>
          <w:sz w:val="18"/>
          <w:szCs w:val="18"/>
          <w:color w:val="auto"/>
        </w:rPr>
      </w:pPr>
    </w:p>
    <w:p>
      <w:pPr>
        <w:ind w:left="840" w:right="5980" w:hanging="818"/>
        <w:spacing w:after="0" w:line="52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 w:name="page9"/>
    <w:bookmarkEnd w:id="8"/>
    <w:p>
      <w:pPr>
        <w:spacing w:after="0"/>
        <w:tabs>
          <w:tab w:leader="none" w:pos="4920" w:val="left"/>
          <w:tab w:leader="none" w:pos="976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9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08"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NAMES OF REPORTING PERSONS Doce de Octubre S.A.*</w:t>
      </w:r>
    </w:p>
    <w:p>
      <w:pPr>
        <w:spacing w:after="0" w:line="1" w:lineRule="exact"/>
        <w:rPr>
          <w:rFonts w:ascii="Arial" w:cs="Arial" w:eastAsia="Arial" w:hAnsi="Arial"/>
          <w:sz w:val="18"/>
          <w:szCs w:val="18"/>
          <w:color w:val="auto"/>
        </w:rPr>
      </w:pPr>
    </w:p>
    <w:p>
      <w:pPr>
        <w:ind w:left="840" w:hanging="818"/>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2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2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24"/>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838,712</w:t>
      </w:r>
    </w:p>
    <w:p>
      <w:pPr>
        <w:ind w:left="2800" w:right="6220" w:hanging="820"/>
        <w:spacing w:after="0" w:line="383" w:lineRule="auto"/>
        <w:tabs>
          <w:tab w:leader="none" w:pos="2800" w:val="left"/>
        </w:tabs>
        <w:numPr>
          <w:ilvl w:val="2"/>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838,712</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838,712</w:t>
      </w:r>
    </w:p>
    <w:p>
      <w:pPr>
        <w:ind w:left="840" w:hanging="818"/>
        <w:spacing w:after="0"/>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0.9%</w:t>
      </w:r>
    </w:p>
    <w:p>
      <w:pPr>
        <w:spacing w:after="0" w:line="1"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rPr>
          <w:rFonts w:ascii="Arial" w:cs="Arial" w:eastAsia="Arial" w:hAnsi="Arial"/>
          <w:sz w:val="18"/>
          <w:szCs w:val="18"/>
          <w:color w:val="auto"/>
        </w:rPr>
      </w:pPr>
      <w:r>
        <w:rPr>
          <w:rFonts w:ascii="Arial" w:cs="Arial" w:eastAsia="Arial" w:hAnsi="Arial"/>
          <w:sz w:val="18"/>
          <w:szCs w:val="18"/>
          <w:color w:val="auto"/>
        </w:rPr>
        <w:t>* Doce de Octubre S.A. is owned and controlled by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10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NAMES OF REPORTING PERSONS Eduardo Onrubia Holder</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2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600</w:t>
      </w:r>
    </w:p>
    <w:p>
      <w:pPr>
        <w:ind w:left="2800" w:right="6220" w:hanging="820"/>
        <w:spacing w:after="0" w:line="383" w:lineRule="auto"/>
        <w:tabs>
          <w:tab w:leader="none" w:pos="280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600</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600</w:t>
      </w:r>
    </w:p>
    <w:p>
      <w:pPr>
        <w:ind w:left="840" w:hanging="818"/>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1" w:lineRule="exact"/>
        <w:rPr>
          <w:rFonts w:ascii="Arial" w:cs="Arial" w:eastAsia="Arial" w:hAnsi="Arial"/>
          <w:sz w:val="18"/>
          <w:szCs w:val="18"/>
          <w:color w:val="auto"/>
        </w:rPr>
      </w:pPr>
    </w:p>
    <w:p>
      <w:pPr>
        <w:ind w:left="840" w:right="5980" w:hanging="818"/>
        <w:spacing w:after="0" w:line="527"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 w:name="page11"/>
    <w:bookmarkEnd w:id="10"/>
    <w:p>
      <w:pPr>
        <w:spacing w:after="0"/>
        <w:tabs>
          <w:tab w:leader="none" w:pos="4920" w:val="left"/>
          <w:tab w:leader="none" w:pos="966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11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NAMES OF REPORTING PERSONS Fernando Onrubia Holder</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3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3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30"/>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915</w:t>
      </w:r>
    </w:p>
    <w:p>
      <w:pPr>
        <w:ind w:left="2800" w:right="6220" w:hanging="820"/>
        <w:spacing w:after="0" w:line="383" w:lineRule="auto"/>
        <w:tabs>
          <w:tab w:leader="none" w:pos="2800"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915</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915</w:t>
      </w:r>
    </w:p>
    <w:p>
      <w:pPr>
        <w:ind w:left="840" w:hanging="818"/>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1" w:lineRule="exact"/>
        <w:rPr>
          <w:rFonts w:ascii="Arial" w:cs="Arial" w:eastAsia="Arial" w:hAnsi="Arial"/>
          <w:sz w:val="18"/>
          <w:szCs w:val="18"/>
          <w:color w:val="auto"/>
        </w:rPr>
      </w:pPr>
    </w:p>
    <w:p>
      <w:pPr>
        <w:ind w:left="840" w:right="5980" w:hanging="818"/>
        <w:spacing w:after="0" w:line="527"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 w:name="page12"/>
    <w:bookmarkEnd w:id="11"/>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12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NAMES OF REPORTING PERSONS Fernando Romero Belismelis</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3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3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33"/>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2800" w:right="6220" w:hanging="820"/>
        <w:spacing w:after="0" w:line="383" w:lineRule="auto"/>
        <w:tabs>
          <w:tab w:leader="none" w:pos="2800" w:val="left"/>
        </w:tabs>
        <w:numPr>
          <w:ilvl w:val="2"/>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ind w:left="840" w:hanging="818"/>
        <w:spacing w:after="0"/>
        <w:tabs>
          <w:tab w:leader="none" w:pos="84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ind w:right="280"/>
        <w:spacing w:after="0" w:line="277" w:lineRule="auto"/>
        <w:rPr>
          <w:rFonts w:ascii="Arial" w:cs="Arial" w:eastAsia="Arial" w:hAnsi="Arial"/>
          <w:sz w:val="18"/>
          <w:szCs w:val="18"/>
          <w:color w:val="auto"/>
        </w:rPr>
      </w:pPr>
      <w:r>
        <w:rPr>
          <w:rFonts w:ascii="Arial" w:cs="Arial" w:eastAsia="Arial" w:hAnsi="Arial"/>
          <w:sz w:val="18"/>
          <w:szCs w:val="18"/>
          <w:color w:val="auto"/>
        </w:rPr>
        <w:t>* Reporting person Fernando Romero Belismelis sold all of his Common Shares of issuer Credicorp Ltd. on the stock market. As of the date of this report, reporting person Fernando Romero Belismelis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13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NAMES OF REPORTING PERSONS José Antonio Onrubia Romero</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3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3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Spain</w:t>
      </w:r>
    </w:p>
    <w:p>
      <w:pPr>
        <w:ind w:left="2800" w:hanging="820"/>
        <w:spacing w:after="0"/>
        <w:tabs>
          <w:tab w:leader="none" w:pos="2800" w:val="left"/>
        </w:tabs>
        <w:numPr>
          <w:ilvl w:val="2"/>
          <w:numId w:val="36"/>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2800" w:right="6220" w:hanging="820"/>
        <w:spacing w:after="0" w:line="383" w:lineRule="auto"/>
        <w:tabs>
          <w:tab w:leader="none" w:pos="2800" w:val="left"/>
        </w:tabs>
        <w:numPr>
          <w:ilvl w:val="2"/>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ind w:left="840" w:hanging="818"/>
        <w:spacing w:after="0"/>
        <w:tabs>
          <w:tab w:leader="none" w:pos="84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Reporting person José Antonio Onrubia Romero sold all of his Common Shares of issuer Credicorp Ltd. on the stock market. As of the date of this report, reporting person José Antonio Onrubia Romero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14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08" w:lineRule="auto"/>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NAMES OF REPORTING PERSONS La Roncadora S.A.</w:t>
      </w:r>
    </w:p>
    <w:p>
      <w:pPr>
        <w:spacing w:after="0" w:line="1" w:lineRule="exact"/>
        <w:rPr>
          <w:rFonts w:ascii="Arial" w:cs="Arial" w:eastAsia="Arial" w:hAnsi="Arial"/>
          <w:sz w:val="18"/>
          <w:szCs w:val="18"/>
          <w:color w:val="auto"/>
        </w:rPr>
      </w:pPr>
    </w:p>
    <w:p>
      <w:pPr>
        <w:ind w:left="840" w:hanging="818"/>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3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3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39"/>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1,064,356</w:t>
      </w:r>
    </w:p>
    <w:p>
      <w:pPr>
        <w:ind w:left="2800" w:right="6220" w:hanging="820"/>
        <w:spacing w:after="0" w:line="383" w:lineRule="auto"/>
        <w:tabs>
          <w:tab w:leader="none" w:pos="2800"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1,064,356</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1,064,356</w:t>
      </w:r>
    </w:p>
    <w:p>
      <w:pPr>
        <w:ind w:left="840" w:hanging="818"/>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1.1%</w:t>
      </w:r>
    </w:p>
    <w:p>
      <w:pPr>
        <w:spacing w:after="0" w:line="1" w:lineRule="exact"/>
        <w:rPr>
          <w:rFonts w:ascii="Arial" w:cs="Arial" w:eastAsia="Arial" w:hAnsi="Arial"/>
          <w:sz w:val="18"/>
          <w:szCs w:val="18"/>
          <w:color w:val="auto"/>
        </w:rPr>
      </w:pPr>
    </w:p>
    <w:p>
      <w:pPr>
        <w:ind w:left="840" w:right="5980" w:hanging="818"/>
        <w:spacing w:after="0" w:line="527"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 w:name="page15"/>
    <w:bookmarkEnd w:id="14"/>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15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NAMES OF REPORTING PERSONS Luis Romero Belismelis</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4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4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42"/>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9,455,055</w:t>
      </w:r>
    </w:p>
    <w:p>
      <w:pPr>
        <w:ind w:left="2800" w:right="6220" w:hanging="820"/>
        <w:spacing w:after="0" w:line="383" w:lineRule="auto"/>
        <w:tabs>
          <w:tab w:leader="none" w:pos="2800"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1,885</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9,455,055</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9,456,940</w:t>
      </w:r>
    </w:p>
    <w:p>
      <w:pPr>
        <w:ind w:left="840" w:hanging="818"/>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10.0%</w:t>
      </w:r>
    </w:p>
    <w:p>
      <w:pPr>
        <w:spacing w:after="0" w:line="1" w:lineRule="exact"/>
        <w:rPr>
          <w:rFonts w:ascii="Arial" w:cs="Arial" w:eastAsia="Arial" w:hAnsi="Arial"/>
          <w:sz w:val="18"/>
          <w:szCs w:val="18"/>
          <w:color w:val="auto"/>
        </w:rPr>
      </w:pPr>
    </w:p>
    <w:p>
      <w:pPr>
        <w:ind w:left="840" w:right="5980" w:hanging="818"/>
        <w:spacing w:after="0" w:line="527"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5" w:name="page16"/>
    <w:bookmarkEnd w:id="15"/>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16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NAMES OF REPORTING PERSONS Manuel Antonio Romero Belismelis</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4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4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45"/>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11,873</w:t>
      </w:r>
    </w:p>
    <w:p>
      <w:pPr>
        <w:ind w:left="2800" w:right="6220" w:hanging="820"/>
        <w:spacing w:after="0" w:line="383" w:lineRule="auto"/>
        <w:tabs>
          <w:tab w:leader="none" w:pos="2800"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11,873</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11,873</w:t>
      </w:r>
    </w:p>
    <w:p>
      <w:pPr>
        <w:ind w:left="840" w:hanging="818"/>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1" w:lineRule="exact"/>
        <w:rPr>
          <w:rFonts w:ascii="Arial" w:cs="Arial" w:eastAsia="Arial" w:hAnsi="Arial"/>
          <w:sz w:val="18"/>
          <w:szCs w:val="18"/>
          <w:color w:val="auto"/>
        </w:rPr>
      </w:pPr>
    </w:p>
    <w:p>
      <w:pPr>
        <w:ind w:left="840" w:right="5980" w:hanging="818"/>
        <w:spacing w:after="0" w:line="527"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6" w:name="page17"/>
    <w:bookmarkEnd w:id="16"/>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17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NAMES OF REPORTING PERSONS Maria del Carmen Onrubia de Beeck</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4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4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48"/>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2800" w:right="6220" w:hanging="820"/>
        <w:spacing w:after="0" w:line="383" w:lineRule="auto"/>
        <w:tabs>
          <w:tab w:leader="none" w:pos="2800" w:val="left"/>
        </w:tabs>
        <w:numPr>
          <w:ilvl w:val="2"/>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ind w:left="840" w:hanging="818"/>
        <w:spacing w:after="0"/>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ind w:right="240"/>
        <w:spacing w:after="0" w:line="308" w:lineRule="auto"/>
        <w:rPr>
          <w:rFonts w:ascii="Arial" w:cs="Arial" w:eastAsia="Arial" w:hAnsi="Arial"/>
          <w:sz w:val="18"/>
          <w:szCs w:val="18"/>
          <w:color w:val="auto"/>
        </w:rPr>
      </w:pPr>
      <w:r>
        <w:rPr>
          <w:rFonts w:ascii="Arial" w:cs="Arial" w:eastAsia="Arial" w:hAnsi="Arial"/>
          <w:sz w:val="17"/>
          <w:szCs w:val="17"/>
          <w:color w:val="auto"/>
        </w:rPr>
        <w:t>* Reporting person Maria del Carmen Onrubia de Beeck sold all of her Common Shares of issuer Credicorp Ltd. on the stock market. As of the date of this report, reporting person Maria del Carmen Onrubia de Beeck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18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NAMES OF REPORTING PERSONS Maria Inmaculada Onrubia Holder</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5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5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51"/>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1"/>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667</w:t>
      </w:r>
    </w:p>
    <w:p>
      <w:pPr>
        <w:ind w:left="2800" w:right="6220" w:hanging="820"/>
        <w:spacing w:after="0" w:line="383" w:lineRule="auto"/>
        <w:tabs>
          <w:tab w:leader="none" w:pos="2800" w:val="left"/>
        </w:tabs>
        <w:numPr>
          <w:ilvl w:val="1"/>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667</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1"/>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667</w:t>
      </w:r>
    </w:p>
    <w:p>
      <w:pPr>
        <w:ind w:left="840" w:hanging="818"/>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1" w:lineRule="exact"/>
        <w:rPr>
          <w:rFonts w:ascii="Arial" w:cs="Arial" w:eastAsia="Arial" w:hAnsi="Arial"/>
          <w:sz w:val="18"/>
          <w:szCs w:val="18"/>
          <w:color w:val="auto"/>
        </w:rPr>
      </w:pPr>
    </w:p>
    <w:p>
      <w:pPr>
        <w:ind w:left="840" w:right="5980" w:hanging="818"/>
        <w:spacing w:after="0" w:line="527" w:lineRule="auto"/>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8" w:name="page19"/>
    <w:bookmarkEnd w:id="18"/>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19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NAMES OF REPORTING PERSONS Maria Lourdes Onrubia Holder</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5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5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54"/>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9,167</w:t>
      </w:r>
    </w:p>
    <w:p>
      <w:pPr>
        <w:ind w:left="2800" w:right="6220" w:hanging="820"/>
        <w:spacing w:after="0" w:line="383" w:lineRule="auto"/>
        <w:tabs>
          <w:tab w:leader="none" w:pos="2800"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9,167</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9,167</w:t>
      </w:r>
    </w:p>
    <w:p>
      <w:pPr>
        <w:ind w:left="840" w:hanging="818"/>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1" w:lineRule="exact"/>
        <w:rPr>
          <w:rFonts w:ascii="Arial" w:cs="Arial" w:eastAsia="Arial" w:hAnsi="Arial"/>
          <w:sz w:val="18"/>
          <w:szCs w:val="18"/>
          <w:color w:val="auto"/>
        </w:rPr>
      </w:pPr>
    </w:p>
    <w:p>
      <w:pPr>
        <w:ind w:left="840" w:right="5980" w:hanging="818"/>
        <w:spacing w:after="0" w:line="527" w:lineRule="auto"/>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75"/>
        </w:trPr>
        <w:tc>
          <w:tcPr>
            <w:tcW w:w="2540" w:type="dxa"/>
            <w:vAlign w:val="bottom"/>
            <w:gridSpan w:val="4"/>
          </w:tcPr>
          <w:p>
            <w:pPr>
              <w:spacing w:after="0"/>
              <w:rPr>
                <w:sz w:val="20"/>
                <w:szCs w:val="20"/>
                <w:color w:val="auto"/>
              </w:rPr>
            </w:pPr>
            <w:r>
              <w:rPr>
                <w:rFonts w:ascii="Arial" w:cs="Arial" w:eastAsia="Arial" w:hAnsi="Arial"/>
                <w:sz w:val="22"/>
                <w:szCs w:val="22"/>
                <w:color w:val="auto"/>
              </w:rPr>
              <w:t>CUSIP No. G2519Y108</w:t>
            </w:r>
          </w:p>
        </w:tc>
        <w:tc>
          <w:tcPr>
            <w:tcW w:w="6580" w:type="dxa"/>
            <w:vAlign w:val="bottom"/>
          </w:tcPr>
          <w:p>
            <w:pPr>
              <w:ind w:left="2400"/>
              <w:spacing w:after="0"/>
              <w:rPr>
                <w:sz w:val="20"/>
                <w:szCs w:val="20"/>
                <w:color w:val="auto"/>
              </w:rPr>
            </w:pPr>
            <w:r>
              <w:rPr>
                <w:rFonts w:ascii="Arial" w:cs="Arial" w:eastAsia="Arial" w:hAnsi="Arial"/>
                <w:sz w:val="22"/>
                <w:szCs w:val="22"/>
                <w:color w:val="auto"/>
              </w:rPr>
              <w:t>SCHEDULE 13G</w:t>
            </w:r>
          </w:p>
        </w:tc>
        <w:tc>
          <w:tcPr>
            <w:tcW w:w="2300" w:type="dxa"/>
            <w:vAlign w:val="bottom"/>
            <w:gridSpan w:val="2"/>
          </w:tcPr>
          <w:p>
            <w:pPr>
              <w:ind w:left="540"/>
              <w:spacing w:after="0"/>
              <w:rPr>
                <w:sz w:val="20"/>
                <w:szCs w:val="20"/>
                <w:color w:val="auto"/>
              </w:rPr>
            </w:pPr>
            <w:r>
              <w:rPr>
                <w:rFonts w:ascii="Arial" w:cs="Arial" w:eastAsia="Arial" w:hAnsi="Arial"/>
                <w:sz w:val="22"/>
                <w:szCs w:val="22"/>
                <w:color w:val="auto"/>
                <w:w w:val="84"/>
              </w:rPr>
              <w:t>Page 20 of 45 Pages</w:t>
            </w:r>
          </w:p>
        </w:tc>
        <w:tc>
          <w:tcPr>
            <w:tcW w:w="0" w:type="dxa"/>
            <w:vAlign w:val="bottom"/>
          </w:tcPr>
          <w:p>
            <w:pPr>
              <w:spacing w:after="0"/>
              <w:rPr>
                <w:sz w:val="1"/>
                <w:szCs w:val="1"/>
                <w:color w:val="auto"/>
              </w:rPr>
            </w:pPr>
          </w:p>
        </w:tc>
      </w:tr>
      <w:tr>
        <w:trPr>
          <w:trHeight w:val="422"/>
        </w:trPr>
        <w:tc>
          <w:tcPr>
            <w:tcW w:w="20" w:type="dxa"/>
            <w:vAlign w:val="bottom"/>
            <w:vMerge w:val="restart"/>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7740" w:type="dxa"/>
            <w:vAlign w:val="bottom"/>
            <w:tcBorders>
              <w:bottom w:val="single" w:sz="8" w:color="808080"/>
            </w:tcBorders>
            <w:gridSpan w:val="3"/>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360" w:type="dxa"/>
            <w:vAlign w:val="bottom"/>
            <w:tcBorders>
              <w:left w:val="single" w:sz="8" w:color="808080"/>
              <w:right w:val="single" w:sz="8" w:color="808080"/>
            </w:tcBorders>
          </w:tcPr>
          <w:p>
            <w:pPr>
              <w:spacing w:after="0"/>
              <w:rPr>
                <w:sz w:val="20"/>
                <w:szCs w:val="20"/>
                <w:color w:val="auto"/>
              </w:rPr>
            </w:pPr>
            <w:r>
              <w:rPr>
                <w:rFonts w:ascii="Arial" w:cs="Arial" w:eastAsia="Arial" w:hAnsi="Arial"/>
                <w:sz w:val="18"/>
                <w:szCs w:val="18"/>
                <w:color w:val="auto"/>
              </w:rPr>
              <w:t>(1)</w:t>
            </w:r>
          </w:p>
        </w:tc>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NAMES OF REPORTING PERSONS</w:t>
            </w:r>
          </w:p>
        </w:tc>
        <w:tc>
          <w:tcPr>
            <w:tcW w:w="1960" w:type="dxa"/>
            <w:vAlign w:val="bottom"/>
            <w:tcBorders>
              <w:right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Borders>
              <w:left w:val="single" w:sz="8" w:color="808080"/>
              <w:right w:val="single" w:sz="8" w:color="808080"/>
            </w:tcBorders>
          </w:tcPr>
          <w:p>
            <w:pPr>
              <w:spacing w:after="0"/>
              <w:rPr>
                <w:sz w:val="24"/>
                <w:szCs w:val="24"/>
                <w:color w:val="auto"/>
              </w:rPr>
            </w:pPr>
          </w:p>
        </w:tc>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Rosalina María Helguero Romero</w:t>
            </w:r>
          </w:p>
        </w:tc>
        <w:tc>
          <w:tcPr>
            <w:tcW w:w="196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left w:val="single" w:sz="8" w:color="808080"/>
              <w:bottom w:val="single" w:sz="8" w:color="808080"/>
              <w:right w:val="single" w:sz="8" w:color="808080"/>
            </w:tcBorders>
          </w:tcPr>
          <w:p>
            <w:pPr>
              <w:spacing w:after="0"/>
              <w:rPr>
                <w:sz w:val="18"/>
                <w:szCs w:val="18"/>
                <w:color w:val="auto"/>
              </w:rPr>
            </w:pPr>
          </w:p>
        </w:tc>
        <w:tc>
          <w:tcPr>
            <w:tcW w:w="7740" w:type="dxa"/>
            <w:vAlign w:val="bottom"/>
            <w:tcBorders>
              <w:bottom w:val="single" w:sz="8" w:color="808080"/>
            </w:tcBorders>
            <w:gridSpan w:val="3"/>
          </w:tcPr>
          <w:p>
            <w:pPr>
              <w:spacing w:after="0"/>
              <w:rPr>
                <w:sz w:val="18"/>
                <w:szCs w:val="18"/>
                <w:color w:val="auto"/>
              </w:rPr>
            </w:pPr>
          </w:p>
        </w:tc>
        <w:tc>
          <w:tcPr>
            <w:tcW w:w="1960" w:type="dxa"/>
            <w:vAlign w:val="bottom"/>
            <w:tcBorders>
              <w:bottom w:val="single" w:sz="8" w:color="808080"/>
              <w:right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360" w:type="dxa"/>
            <w:vAlign w:val="bottom"/>
            <w:tcBorders>
              <w:left w:val="single" w:sz="8" w:color="808080"/>
              <w:right w:val="single" w:sz="8" w:color="808080"/>
            </w:tcBorders>
          </w:tcPr>
          <w:p>
            <w:pPr>
              <w:spacing w:after="0" w:line="163" w:lineRule="exact"/>
              <w:rPr>
                <w:sz w:val="20"/>
                <w:szCs w:val="20"/>
                <w:color w:val="auto"/>
              </w:rPr>
            </w:pPr>
            <w:r>
              <w:rPr>
                <w:rFonts w:ascii="Arial" w:cs="Arial" w:eastAsia="Arial" w:hAnsi="Arial"/>
                <w:sz w:val="18"/>
                <w:szCs w:val="18"/>
                <w:color w:val="auto"/>
              </w:rPr>
              <w:t>(2)</w:t>
            </w:r>
          </w:p>
        </w:tc>
        <w:tc>
          <w:tcPr>
            <w:tcW w:w="7740" w:type="dxa"/>
            <w:vAlign w:val="bottom"/>
            <w:gridSpan w:val="3"/>
          </w:tcPr>
          <w:p>
            <w:pPr>
              <w:spacing w:after="0" w:line="163"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960" w:type="dxa"/>
            <w:vAlign w:val="bottom"/>
            <w:tcBorders>
              <w:right w:val="single" w:sz="8" w:color="808080"/>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left w:val="single" w:sz="8" w:color="808080"/>
              <w:right w:val="single" w:sz="8" w:color="808080"/>
            </w:tcBorders>
          </w:tcPr>
          <w:p>
            <w:pPr>
              <w:spacing w:after="0"/>
              <w:rPr>
                <w:sz w:val="18"/>
                <w:szCs w:val="18"/>
                <w:color w:val="auto"/>
              </w:rPr>
            </w:pPr>
          </w:p>
        </w:tc>
        <w:tc>
          <w:tcPr>
            <w:tcW w:w="1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580" w:type="dxa"/>
            <w:vAlign w:val="bottom"/>
          </w:tcPr>
          <w:p>
            <w:pPr>
              <w:spacing w:after="0"/>
              <w:rPr>
                <w:sz w:val="18"/>
                <w:szCs w:val="18"/>
                <w:color w:val="auto"/>
              </w:rPr>
            </w:pPr>
          </w:p>
        </w:tc>
        <w:tc>
          <w:tcPr>
            <w:tcW w:w="1960" w:type="dxa"/>
            <w:vAlign w:val="bottom"/>
            <w:tcBorders>
              <w:right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60" w:type="dxa"/>
            <w:vAlign w:val="bottom"/>
            <w:tcBorders>
              <w:left w:val="single" w:sz="8" w:color="808080"/>
              <w:bottom w:val="single" w:sz="8" w:color="808080"/>
              <w:right w:val="single" w:sz="8" w:color="808080"/>
            </w:tcBorders>
          </w:tcPr>
          <w:p>
            <w:pPr>
              <w:spacing w:after="0"/>
              <w:rPr>
                <w:sz w:val="22"/>
                <w:szCs w:val="22"/>
                <w:color w:val="auto"/>
              </w:rPr>
            </w:pPr>
          </w:p>
        </w:tc>
        <w:tc>
          <w:tcPr>
            <w:tcW w:w="1160" w:type="dxa"/>
            <w:vAlign w:val="bottom"/>
            <w:tcBorders>
              <w:bottom w:val="single" w:sz="8" w:color="808080"/>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580" w:type="dxa"/>
            <w:vAlign w:val="bottom"/>
            <w:tcBorders>
              <w:bottom w:val="single" w:sz="8" w:color="808080"/>
            </w:tcBorders>
          </w:tcPr>
          <w:p>
            <w:pPr>
              <w:spacing w:after="0"/>
              <w:rPr>
                <w:sz w:val="22"/>
                <w:szCs w:val="22"/>
                <w:color w:val="auto"/>
              </w:rPr>
            </w:pPr>
          </w:p>
        </w:tc>
        <w:tc>
          <w:tcPr>
            <w:tcW w:w="1960" w:type="dxa"/>
            <w:vAlign w:val="bottom"/>
            <w:tcBorders>
              <w:bottom w:val="single" w:sz="8" w:color="808080"/>
              <w:right w:val="single" w:sz="8" w:color="808080"/>
            </w:tcBorders>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Borders>
              <w:left w:val="single" w:sz="8" w:color="808080"/>
              <w:right w:val="single" w:sz="8" w:color="808080"/>
            </w:tcBorders>
          </w:tcPr>
          <w:p>
            <w:pPr>
              <w:spacing w:after="0"/>
              <w:rPr>
                <w:sz w:val="20"/>
                <w:szCs w:val="20"/>
                <w:color w:val="auto"/>
              </w:rPr>
            </w:pPr>
            <w:r>
              <w:rPr>
                <w:rFonts w:ascii="Arial" w:cs="Arial" w:eastAsia="Arial" w:hAnsi="Arial"/>
                <w:sz w:val="18"/>
                <w:szCs w:val="18"/>
                <w:color w:val="auto"/>
              </w:rPr>
              <w:t>(3)</w:t>
            </w:r>
          </w:p>
        </w:tc>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SEC USE ONLY</w:t>
            </w:r>
          </w:p>
        </w:tc>
        <w:tc>
          <w:tcPr>
            <w:tcW w:w="1960" w:type="dxa"/>
            <w:vAlign w:val="bottom"/>
            <w:tcBorders>
              <w:right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360" w:type="dxa"/>
            <w:vAlign w:val="bottom"/>
            <w:tcBorders>
              <w:left w:val="single" w:sz="8" w:color="808080"/>
              <w:bottom w:val="single" w:sz="8" w:color="808080"/>
              <w:right w:val="single" w:sz="8" w:color="808080"/>
            </w:tcBorders>
          </w:tcPr>
          <w:p>
            <w:pPr>
              <w:spacing w:after="0"/>
              <w:rPr>
                <w:sz w:val="17"/>
                <w:szCs w:val="17"/>
                <w:color w:val="auto"/>
              </w:rPr>
            </w:pPr>
          </w:p>
        </w:tc>
        <w:tc>
          <w:tcPr>
            <w:tcW w:w="7740" w:type="dxa"/>
            <w:vAlign w:val="bottom"/>
            <w:tcBorders>
              <w:bottom w:val="single" w:sz="8" w:color="808080"/>
            </w:tcBorders>
            <w:gridSpan w:val="3"/>
          </w:tcPr>
          <w:p>
            <w:pPr>
              <w:spacing w:after="0"/>
              <w:rPr>
                <w:sz w:val="17"/>
                <w:szCs w:val="17"/>
                <w:color w:val="auto"/>
              </w:rPr>
            </w:pPr>
          </w:p>
        </w:tc>
        <w:tc>
          <w:tcPr>
            <w:tcW w:w="1960" w:type="dxa"/>
            <w:vAlign w:val="bottom"/>
            <w:tcBorders>
              <w:bottom w:val="single" w:sz="8" w:color="808080"/>
              <w:right w:val="single" w:sz="8" w:color="808080"/>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360" w:type="dxa"/>
            <w:vAlign w:val="bottom"/>
            <w:tcBorders>
              <w:left w:val="single" w:sz="8" w:color="808080"/>
              <w:right w:val="single" w:sz="8" w:color="808080"/>
            </w:tcBorders>
          </w:tcPr>
          <w:p>
            <w:pPr>
              <w:spacing w:after="0"/>
              <w:rPr>
                <w:sz w:val="20"/>
                <w:szCs w:val="20"/>
                <w:color w:val="auto"/>
              </w:rPr>
            </w:pPr>
            <w:r>
              <w:rPr>
                <w:rFonts w:ascii="Arial" w:cs="Arial" w:eastAsia="Arial" w:hAnsi="Arial"/>
                <w:sz w:val="18"/>
                <w:szCs w:val="18"/>
                <w:color w:val="auto"/>
              </w:rPr>
              <w:t>(4)</w:t>
            </w:r>
          </w:p>
        </w:tc>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1960" w:type="dxa"/>
            <w:vAlign w:val="bottom"/>
            <w:tcBorders>
              <w:right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Borders>
              <w:left w:val="single" w:sz="8" w:color="808080"/>
              <w:bottom w:val="single" w:sz="8" w:color="808080"/>
              <w:right w:val="single" w:sz="8" w:color="808080"/>
            </w:tcBorders>
          </w:tcPr>
          <w:p>
            <w:pPr>
              <w:spacing w:after="0"/>
              <w:rPr>
                <w:sz w:val="24"/>
                <w:szCs w:val="24"/>
                <w:color w:val="auto"/>
              </w:rPr>
            </w:pPr>
          </w:p>
        </w:tc>
        <w:tc>
          <w:tcPr>
            <w:tcW w:w="11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Peru</w:t>
            </w:r>
          </w:p>
        </w:tc>
        <w:tc>
          <w:tcPr>
            <w:tcW w:w="65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Borders>
              <w:left w:val="single" w:sz="8" w:color="808080"/>
            </w:tcBorders>
          </w:tcPr>
          <w:p>
            <w:pPr>
              <w:spacing w:after="0"/>
              <w:rPr>
                <w:sz w:val="19"/>
                <w:szCs w:val="19"/>
                <w:color w:val="auto"/>
              </w:rPr>
            </w:pPr>
          </w:p>
        </w:tc>
        <w:tc>
          <w:tcPr>
            <w:tcW w:w="180" w:type="dxa"/>
            <w:vAlign w:val="bottom"/>
            <w:tcBorders>
              <w:right w:val="single" w:sz="8" w:color="808080"/>
            </w:tcBorders>
          </w:tcPr>
          <w:p>
            <w:pPr>
              <w:spacing w:after="0"/>
              <w:rPr>
                <w:sz w:val="19"/>
                <w:szCs w:val="19"/>
                <w:color w:val="auto"/>
              </w:rPr>
            </w:pPr>
          </w:p>
        </w:tc>
        <w:tc>
          <w:tcPr>
            <w:tcW w:w="980" w:type="dxa"/>
            <w:vAlign w:val="bottom"/>
            <w:tcBorders>
              <w:right w:val="single" w:sz="8" w:color="808080"/>
            </w:tcBorders>
          </w:tcPr>
          <w:p>
            <w:pPr>
              <w:jc w:val="right"/>
              <w:ind w:right="670"/>
              <w:spacing w:after="0"/>
              <w:rPr>
                <w:sz w:val="20"/>
                <w:szCs w:val="20"/>
                <w:color w:val="auto"/>
              </w:rPr>
            </w:pPr>
            <w:r>
              <w:rPr>
                <w:rFonts w:ascii="Arial" w:cs="Arial" w:eastAsia="Arial" w:hAnsi="Arial"/>
                <w:sz w:val="18"/>
                <w:szCs w:val="18"/>
                <w:color w:val="auto"/>
                <w:w w:val="90"/>
              </w:rPr>
              <w:t>(5)</w:t>
            </w:r>
          </w:p>
        </w:tc>
        <w:tc>
          <w:tcPr>
            <w:tcW w:w="658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1960" w:type="dxa"/>
            <w:vAlign w:val="bottom"/>
            <w:tcBorders>
              <w:right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Borders>
              <w:left w:val="single" w:sz="8" w:color="808080"/>
            </w:tcBorders>
            <w:vMerge w:val="restart"/>
          </w:tcPr>
          <w:p>
            <w:pPr>
              <w:spacing w:after="0"/>
              <w:rPr>
                <w:sz w:val="20"/>
                <w:szCs w:val="20"/>
                <w:color w:val="auto"/>
              </w:rPr>
            </w:pPr>
            <w:r>
              <w:rPr>
                <w:rFonts w:ascii="Arial" w:cs="Arial" w:eastAsia="Arial" w:hAnsi="Arial"/>
                <w:sz w:val="18"/>
                <w:szCs w:val="18"/>
                <w:b w:val="1"/>
                <w:bCs w:val="1"/>
                <w:color w:val="auto"/>
              </w:rPr>
              <w:t>NUMBER OF</w:t>
            </w:r>
          </w:p>
        </w:tc>
        <w:tc>
          <w:tcPr>
            <w:tcW w:w="180" w:type="dxa"/>
            <w:vAlign w:val="bottom"/>
            <w:tcBorders>
              <w:right w:val="single" w:sz="8" w:color="808080"/>
            </w:tcBorders>
          </w:tcPr>
          <w:p>
            <w:pPr>
              <w:spacing w:after="0"/>
              <w:rPr>
                <w:sz w:val="24"/>
                <w:szCs w:val="24"/>
                <w:color w:val="auto"/>
              </w:rPr>
            </w:pPr>
          </w:p>
        </w:tc>
        <w:tc>
          <w:tcPr>
            <w:tcW w:w="980" w:type="dxa"/>
            <w:vAlign w:val="bottom"/>
            <w:tcBorders>
              <w:right w:val="single" w:sz="8" w:color="808080"/>
            </w:tcBorders>
          </w:tcPr>
          <w:p>
            <w:pPr>
              <w:spacing w:after="0"/>
              <w:rPr>
                <w:sz w:val="24"/>
                <w:szCs w:val="24"/>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tcBorders>
              <w:left w:val="single" w:sz="8" w:color="808080"/>
            </w:tcBorders>
            <w:vMerge w:val="continue"/>
          </w:tcPr>
          <w:p>
            <w:pPr>
              <w:spacing w:after="0"/>
              <w:rPr>
                <w:sz w:val="17"/>
                <w:szCs w:val="17"/>
                <w:color w:val="auto"/>
              </w:rPr>
            </w:pPr>
          </w:p>
        </w:tc>
        <w:tc>
          <w:tcPr>
            <w:tcW w:w="180" w:type="dxa"/>
            <w:vAlign w:val="bottom"/>
            <w:tcBorders>
              <w:right w:val="single" w:sz="8" w:color="808080"/>
            </w:tcBorders>
          </w:tcPr>
          <w:p>
            <w:pPr>
              <w:spacing w:after="0"/>
              <w:rPr>
                <w:sz w:val="17"/>
                <w:szCs w:val="17"/>
                <w:color w:val="auto"/>
              </w:rPr>
            </w:pPr>
          </w:p>
        </w:tc>
        <w:tc>
          <w:tcPr>
            <w:tcW w:w="980" w:type="dxa"/>
            <w:vAlign w:val="bottom"/>
            <w:tcBorders>
              <w:right w:val="single" w:sz="8" w:color="808080"/>
            </w:tcBorders>
          </w:tcPr>
          <w:p>
            <w:pPr>
              <w:spacing w:after="0"/>
              <w:rPr>
                <w:sz w:val="17"/>
                <w:szCs w:val="17"/>
                <w:color w:val="auto"/>
              </w:rPr>
            </w:pPr>
          </w:p>
        </w:tc>
        <w:tc>
          <w:tcPr>
            <w:tcW w:w="6580" w:type="dxa"/>
            <w:vAlign w:val="bottom"/>
          </w:tcPr>
          <w:p>
            <w:pPr>
              <w:spacing w:after="0"/>
              <w:rPr>
                <w:sz w:val="17"/>
                <w:szCs w:val="17"/>
                <w:color w:val="auto"/>
              </w:rPr>
            </w:pPr>
          </w:p>
        </w:tc>
        <w:tc>
          <w:tcPr>
            <w:tcW w:w="1960" w:type="dxa"/>
            <w:vAlign w:val="bottom"/>
            <w:tcBorders>
              <w:right w:val="single" w:sz="8" w:color="808080"/>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left w:val="single" w:sz="8" w:color="808080"/>
            </w:tcBorders>
          </w:tcPr>
          <w:p>
            <w:pPr>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right w:val="single" w:sz="8" w:color="808080"/>
            </w:tcBorders>
          </w:tcPr>
          <w:p>
            <w:pPr>
              <w:spacing w:after="0"/>
              <w:rPr>
                <w:sz w:val="18"/>
                <w:szCs w:val="18"/>
                <w:color w:val="auto"/>
              </w:rPr>
            </w:pPr>
          </w:p>
        </w:tc>
        <w:tc>
          <w:tcPr>
            <w:tcW w:w="980" w:type="dxa"/>
            <w:vAlign w:val="bottom"/>
            <w:tcBorders>
              <w:right w:val="single" w:sz="8" w:color="808080"/>
            </w:tcBorders>
          </w:tcPr>
          <w:p>
            <w:pPr>
              <w:spacing w:after="0"/>
              <w:rPr>
                <w:sz w:val="18"/>
                <w:szCs w:val="18"/>
                <w:color w:val="auto"/>
              </w:rPr>
            </w:pPr>
          </w:p>
        </w:tc>
        <w:tc>
          <w:tcPr>
            <w:tcW w:w="6580" w:type="dxa"/>
            <w:vAlign w:val="bottom"/>
          </w:tcPr>
          <w:p>
            <w:pPr>
              <w:spacing w:after="0"/>
              <w:rPr>
                <w:sz w:val="18"/>
                <w:szCs w:val="18"/>
                <w:color w:val="auto"/>
              </w:rPr>
            </w:pPr>
          </w:p>
        </w:tc>
        <w:tc>
          <w:tcPr>
            <w:tcW w:w="1960" w:type="dxa"/>
            <w:vAlign w:val="bottom"/>
            <w:tcBorders>
              <w:right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Borders>
              <w:left w:val="single" w:sz="8" w:color="808080"/>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BENEFICIALLY</w:t>
            </w:r>
          </w:p>
        </w:tc>
        <w:tc>
          <w:tcPr>
            <w:tcW w:w="980" w:type="dxa"/>
            <w:vAlign w:val="bottom"/>
            <w:tcBorders>
              <w:right w:val="single" w:sz="8" w:color="808080"/>
            </w:tcBorders>
          </w:tcPr>
          <w:p>
            <w:pPr>
              <w:spacing w:after="0"/>
              <w:rPr>
                <w:sz w:val="18"/>
                <w:szCs w:val="18"/>
                <w:color w:val="auto"/>
              </w:rPr>
            </w:pPr>
          </w:p>
        </w:tc>
        <w:tc>
          <w:tcPr>
            <w:tcW w:w="6580" w:type="dxa"/>
            <w:vAlign w:val="bottom"/>
          </w:tcPr>
          <w:p>
            <w:pPr>
              <w:spacing w:after="0"/>
              <w:rPr>
                <w:sz w:val="18"/>
                <w:szCs w:val="18"/>
                <w:color w:val="auto"/>
              </w:rPr>
            </w:pPr>
          </w:p>
        </w:tc>
        <w:tc>
          <w:tcPr>
            <w:tcW w:w="1960" w:type="dxa"/>
            <w:vAlign w:val="bottom"/>
            <w:tcBorders>
              <w:right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left w:val="single" w:sz="8" w:color="808080"/>
            </w:tcBorders>
          </w:tcPr>
          <w:p>
            <w:pPr>
              <w:spacing w:after="0"/>
              <w:rPr>
                <w:sz w:val="20"/>
                <w:szCs w:val="20"/>
                <w:color w:val="auto"/>
              </w:rPr>
            </w:pPr>
            <w:r>
              <w:rPr>
                <w:rFonts w:ascii="Arial" w:cs="Arial" w:eastAsia="Arial" w:hAnsi="Arial"/>
                <w:sz w:val="18"/>
                <w:szCs w:val="18"/>
                <w:b w:val="1"/>
                <w:bCs w:val="1"/>
                <w:color w:val="auto"/>
              </w:rPr>
              <w:t>OWNED BY</w:t>
            </w:r>
          </w:p>
        </w:tc>
        <w:tc>
          <w:tcPr>
            <w:tcW w:w="180" w:type="dxa"/>
            <w:vAlign w:val="bottom"/>
            <w:tcBorders>
              <w:right w:val="single" w:sz="8" w:color="808080"/>
            </w:tcBorders>
          </w:tcPr>
          <w:p>
            <w:pPr>
              <w:spacing w:after="0"/>
              <w:rPr>
                <w:sz w:val="18"/>
                <w:szCs w:val="18"/>
                <w:color w:val="auto"/>
              </w:rPr>
            </w:pPr>
          </w:p>
        </w:tc>
        <w:tc>
          <w:tcPr>
            <w:tcW w:w="980" w:type="dxa"/>
            <w:vAlign w:val="bottom"/>
            <w:tcBorders>
              <w:right w:val="single" w:sz="8" w:color="808080"/>
            </w:tcBorders>
          </w:tcPr>
          <w:p>
            <w:pPr>
              <w:spacing w:after="0"/>
              <w:rPr>
                <w:sz w:val="18"/>
                <w:szCs w:val="18"/>
                <w:color w:val="auto"/>
              </w:rPr>
            </w:pPr>
          </w:p>
        </w:tc>
        <w:tc>
          <w:tcPr>
            <w:tcW w:w="6580" w:type="dxa"/>
            <w:vAlign w:val="bottom"/>
          </w:tcPr>
          <w:p>
            <w:pPr>
              <w:spacing w:after="0"/>
              <w:rPr>
                <w:sz w:val="18"/>
                <w:szCs w:val="18"/>
                <w:color w:val="auto"/>
              </w:rPr>
            </w:pPr>
          </w:p>
        </w:tc>
        <w:tc>
          <w:tcPr>
            <w:tcW w:w="1960" w:type="dxa"/>
            <w:vAlign w:val="bottom"/>
            <w:tcBorders>
              <w:right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left w:val="single" w:sz="8" w:color="808080"/>
            </w:tcBorders>
          </w:tcPr>
          <w:p>
            <w:pPr>
              <w:spacing w:after="0"/>
              <w:rPr>
                <w:sz w:val="20"/>
                <w:szCs w:val="20"/>
                <w:color w:val="auto"/>
              </w:rPr>
            </w:pPr>
            <w:r>
              <w:rPr>
                <w:rFonts w:ascii="Arial" w:cs="Arial" w:eastAsia="Arial" w:hAnsi="Arial"/>
                <w:sz w:val="18"/>
                <w:szCs w:val="18"/>
                <w:b w:val="1"/>
                <w:bCs w:val="1"/>
                <w:color w:val="auto"/>
              </w:rPr>
              <w:t>EACH</w:t>
            </w:r>
          </w:p>
        </w:tc>
        <w:tc>
          <w:tcPr>
            <w:tcW w:w="180" w:type="dxa"/>
            <w:vAlign w:val="bottom"/>
            <w:tcBorders>
              <w:right w:val="single" w:sz="8" w:color="808080"/>
            </w:tcBorders>
          </w:tcPr>
          <w:p>
            <w:pPr>
              <w:spacing w:after="0"/>
              <w:rPr>
                <w:sz w:val="18"/>
                <w:szCs w:val="18"/>
                <w:color w:val="auto"/>
              </w:rPr>
            </w:pPr>
          </w:p>
        </w:tc>
        <w:tc>
          <w:tcPr>
            <w:tcW w:w="980" w:type="dxa"/>
            <w:vAlign w:val="bottom"/>
            <w:tcBorders>
              <w:right w:val="single" w:sz="8" w:color="808080"/>
            </w:tcBorders>
          </w:tcPr>
          <w:p>
            <w:pPr>
              <w:spacing w:after="0"/>
              <w:rPr>
                <w:sz w:val="18"/>
                <w:szCs w:val="18"/>
                <w:color w:val="auto"/>
              </w:rPr>
            </w:pPr>
          </w:p>
        </w:tc>
        <w:tc>
          <w:tcPr>
            <w:tcW w:w="6580" w:type="dxa"/>
            <w:vAlign w:val="bottom"/>
          </w:tcPr>
          <w:p>
            <w:pPr>
              <w:spacing w:after="0"/>
              <w:rPr>
                <w:sz w:val="18"/>
                <w:szCs w:val="18"/>
                <w:color w:val="auto"/>
              </w:rPr>
            </w:pPr>
          </w:p>
        </w:tc>
        <w:tc>
          <w:tcPr>
            <w:tcW w:w="1960" w:type="dxa"/>
            <w:vAlign w:val="bottom"/>
            <w:tcBorders>
              <w:right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left w:val="single" w:sz="8" w:color="808080"/>
            </w:tcBorders>
          </w:tcPr>
          <w:p>
            <w:pPr>
              <w:spacing w:after="0"/>
              <w:rPr>
                <w:sz w:val="20"/>
                <w:szCs w:val="20"/>
                <w:color w:val="auto"/>
              </w:rPr>
            </w:pPr>
            <w:r>
              <w:rPr>
                <w:rFonts w:ascii="Arial" w:cs="Arial" w:eastAsia="Arial" w:hAnsi="Arial"/>
                <w:sz w:val="18"/>
                <w:szCs w:val="18"/>
                <w:b w:val="1"/>
                <w:bCs w:val="1"/>
                <w:color w:val="auto"/>
              </w:rPr>
              <w:t>REPORTING</w:t>
            </w:r>
          </w:p>
        </w:tc>
        <w:tc>
          <w:tcPr>
            <w:tcW w:w="180" w:type="dxa"/>
            <w:vAlign w:val="bottom"/>
            <w:tcBorders>
              <w:right w:val="single" w:sz="8" w:color="808080"/>
            </w:tcBorders>
          </w:tcPr>
          <w:p>
            <w:pPr>
              <w:spacing w:after="0"/>
              <w:rPr>
                <w:sz w:val="18"/>
                <w:szCs w:val="18"/>
                <w:color w:val="auto"/>
              </w:rPr>
            </w:pPr>
          </w:p>
        </w:tc>
        <w:tc>
          <w:tcPr>
            <w:tcW w:w="980" w:type="dxa"/>
            <w:vAlign w:val="bottom"/>
            <w:tcBorders>
              <w:right w:val="single" w:sz="8" w:color="808080"/>
            </w:tcBorders>
          </w:tcPr>
          <w:p>
            <w:pPr>
              <w:spacing w:after="0"/>
              <w:rPr>
                <w:sz w:val="18"/>
                <w:szCs w:val="18"/>
                <w:color w:val="auto"/>
              </w:rPr>
            </w:pPr>
          </w:p>
        </w:tc>
        <w:tc>
          <w:tcPr>
            <w:tcW w:w="6580" w:type="dxa"/>
            <w:vAlign w:val="bottom"/>
          </w:tcPr>
          <w:p>
            <w:pPr>
              <w:spacing w:after="0"/>
              <w:rPr>
                <w:sz w:val="18"/>
                <w:szCs w:val="18"/>
                <w:color w:val="auto"/>
              </w:rPr>
            </w:pPr>
          </w:p>
        </w:tc>
        <w:tc>
          <w:tcPr>
            <w:tcW w:w="1960" w:type="dxa"/>
            <w:vAlign w:val="bottom"/>
            <w:tcBorders>
              <w:right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left w:val="single" w:sz="8" w:color="808080"/>
            </w:tcBorders>
          </w:tcPr>
          <w:p>
            <w:pPr>
              <w:spacing w:after="0"/>
              <w:rPr>
                <w:sz w:val="20"/>
                <w:szCs w:val="20"/>
                <w:color w:val="auto"/>
              </w:rPr>
            </w:pPr>
            <w:r>
              <w:rPr>
                <w:rFonts w:ascii="Arial" w:cs="Arial" w:eastAsia="Arial" w:hAnsi="Arial"/>
                <w:sz w:val="18"/>
                <w:szCs w:val="18"/>
                <w:b w:val="1"/>
                <w:bCs w:val="1"/>
                <w:color w:val="auto"/>
              </w:rPr>
              <w:t>PERSON</w:t>
            </w:r>
          </w:p>
        </w:tc>
        <w:tc>
          <w:tcPr>
            <w:tcW w:w="180" w:type="dxa"/>
            <w:vAlign w:val="bottom"/>
            <w:tcBorders>
              <w:right w:val="single" w:sz="8" w:color="808080"/>
            </w:tcBorders>
          </w:tcPr>
          <w:p>
            <w:pPr>
              <w:spacing w:after="0"/>
              <w:rPr>
                <w:sz w:val="18"/>
                <w:szCs w:val="18"/>
                <w:color w:val="auto"/>
              </w:rPr>
            </w:pPr>
          </w:p>
        </w:tc>
        <w:tc>
          <w:tcPr>
            <w:tcW w:w="980" w:type="dxa"/>
            <w:vAlign w:val="bottom"/>
            <w:tcBorders>
              <w:right w:val="single" w:sz="8" w:color="808080"/>
            </w:tcBorders>
          </w:tcPr>
          <w:p>
            <w:pPr>
              <w:spacing w:after="0"/>
              <w:rPr>
                <w:sz w:val="18"/>
                <w:szCs w:val="18"/>
                <w:color w:val="auto"/>
              </w:rPr>
            </w:pPr>
          </w:p>
        </w:tc>
        <w:tc>
          <w:tcPr>
            <w:tcW w:w="6580" w:type="dxa"/>
            <w:vAlign w:val="bottom"/>
          </w:tcPr>
          <w:p>
            <w:pPr>
              <w:spacing w:after="0"/>
              <w:rPr>
                <w:sz w:val="18"/>
                <w:szCs w:val="18"/>
                <w:color w:val="auto"/>
              </w:rPr>
            </w:pPr>
          </w:p>
        </w:tc>
        <w:tc>
          <w:tcPr>
            <w:tcW w:w="1960" w:type="dxa"/>
            <w:vAlign w:val="bottom"/>
            <w:tcBorders>
              <w:right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Borders>
              <w:left w:val="single" w:sz="8" w:color="808080"/>
            </w:tcBorders>
          </w:tcPr>
          <w:p>
            <w:pPr>
              <w:spacing w:after="0"/>
              <w:rPr>
                <w:sz w:val="20"/>
                <w:szCs w:val="20"/>
                <w:color w:val="auto"/>
              </w:rPr>
            </w:pPr>
            <w:r>
              <w:rPr>
                <w:rFonts w:ascii="Arial" w:cs="Arial" w:eastAsia="Arial" w:hAnsi="Arial"/>
                <w:sz w:val="18"/>
                <w:szCs w:val="18"/>
                <w:b w:val="1"/>
                <w:bCs w:val="1"/>
                <w:color w:val="auto"/>
              </w:rPr>
              <w:t>WITH</w:t>
            </w:r>
          </w:p>
        </w:tc>
        <w:tc>
          <w:tcPr>
            <w:tcW w:w="180" w:type="dxa"/>
            <w:vAlign w:val="bottom"/>
            <w:tcBorders>
              <w:right w:val="single" w:sz="8" w:color="808080"/>
            </w:tcBorders>
          </w:tcPr>
          <w:p>
            <w:pPr>
              <w:spacing w:after="0"/>
              <w:rPr>
                <w:sz w:val="20"/>
                <w:szCs w:val="20"/>
                <w:color w:val="auto"/>
              </w:rPr>
            </w:pPr>
          </w:p>
        </w:tc>
        <w:tc>
          <w:tcPr>
            <w:tcW w:w="980" w:type="dxa"/>
            <w:vAlign w:val="bottom"/>
            <w:tcBorders>
              <w:right w:val="single" w:sz="8" w:color="808080"/>
            </w:tcBorders>
          </w:tcPr>
          <w:p>
            <w:pPr>
              <w:spacing w:after="0"/>
              <w:rPr>
                <w:sz w:val="20"/>
                <w:szCs w:val="20"/>
                <w:color w:val="auto"/>
              </w:rPr>
            </w:pPr>
          </w:p>
        </w:tc>
        <w:tc>
          <w:tcPr>
            <w:tcW w:w="6580" w:type="dxa"/>
            <w:vAlign w:val="bottom"/>
          </w:tcPr>
          <w:p>
            <w:pPr>
              <w:spacing w:after="0"/>
              <w:rPr>
                <w:sz w:val="20"/>
                <w:szCs w:val="20"/>
                <w:color w:val="auto"/>
              </w:rPr>
            </w:pPr>
          </w:p>
        </w:tc>
        <w:tc>
          <w:tcPr>
            <w:tcW w:w="1960" w:type="dxa"/>
            <w:vAlign w:val="bottom"/>
            <w:tcBorders>
              <w:right w:val="single" w:sz="8" w:color="808080"/>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left w:val="single" w:sz="8" w:color="808080"/>
            </w:tcBorders>
          </w:tcPr>
          <w:p>
            <w:pPr>
              <w:spacing w:after="0"/>
              <w:rPr>
                <w:sz w:val="18"/>
                <w:szCs w:val="18"/>
                <w:color w:val="auto"/>
              </w:rPr>
            </w:pPr>
          </w:p>
        </w:tc>
        <w:tc>
          <w:tcPr>
            <w:tcW w:w="180" w:type="dxa"/>
            <w:vAlign w:val="bottom"/>
            <w:tcBorders>
              <w:right w:val="single" w:sz="8" w:color="808080"/>
            </w:tcBorders>
            <w:vMerge w:val="restart"/>
          </w:tcPr>
          <w:p>
            <w:pPr>
              <w:spacing w:after="0"/>
              <w:rPr>
                <w:sz w:val="18"/>
                <w:szCs w:val="18"/>
                <w:color w:val="auto"/>
              </w:rPr>
            </w:pPr>
          </w:p>
        </w:tc>
        <w:tc>
          <w:tcPr>
            <w:tcW w:w="980" w:type="dxa"/>
            <w:vAlign w:val="bottom"/>
            <w:tcBorders>
              <w:bottom w:val="single" w:sz="8" w:color="808080"/>
              <w:right w:val="single" w:sz="8" w:color="808080"/>
            </w:tcBorders>
          </w:tcPr>
          <w:p>
            <w:pPr>
              <w:spacing w:after="0"/>
              <w:rPr>
                <w:sz w:val="18"/>
                <w:szCs w:val="18"/>
                <w:color w:val="auto"/>
              </w:rPr>
            </w:pPr>
          </w:p>
        </w:tc>
        <w:tc>
          <w:tcPr>
            <w:tcW w:w="658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right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Borders>
              <w:left w:val="single" w:sz="8" w:color="808080"/>
            </w:tcBorders>
          </w:tcPr>
          <w:p>
            <w:pPr>
              <w:spacing w:after="0"/>
              <w:rPr>
                <w:sz w:val="19"/>
                <w:szCs w:val="19"/>
                <w:color w:val="auto"/>
              </w:rPr>
            </w:pPr>
          </w:p>
        </w:tc>
        <w:tc>
          <w:tcPr>
            <w:tcW w:w="180" w:type="dxa"/>
            <w:vAlign w:val="bottom"/>
            <w:tcBorders>
              <w:right w:val="single" w:sz="8" w:color="808080"/>
            </w:tcBorders>
            <w:vMerge w:val="continue"/>
          </w:tcPr>
          <w:p>
            <w:pPr>
              <w:spacing w:after="0"/>
              <w:rPr>
                <w:sz w:val="19"/>
                <w:szCs w:val="19"/>
                <w:color w:val="auto"/>
              </w:rPr>
            </w:pPr>
          </w:p>
        </w:tc>
        <w:tc>
          <w:tcPr>
            <w:tcW w:w="980" w:type="dxa"/>
            <w:vAlign w:val="bottom"/>
            <w:tcBorders>
              <w:right w:val="single" w:sz="8" w:color="808080"/>
            </w:tcBorders>
          </w:tcPr>
          <w:p>
            <w:pPr>
              <w:jc w:val="right"/>
              <w:ind w:right="670"/>
              <w:spacing w:after="0"/>
              <w:rPr>
                <w:sz w:val="20"/>
                <w:szCs w:val="20"/>
                <w:color w:val="auto"/>
              </w:rPr>
            </w:pPr>
            <w:r>
              <w:rPr>
                <w:rFonts w:ascii="Arial" w:cs="Arial" w:eastAsia="Arial" w:hAnsi="Arial"/>
                <w:sz w:val="18"/>
                <w:szCs w:val="18"/>
                <w:color w:val="auto"/>
                <w:w w:val="90"/>
              </w:rPr>
              <w:t>(6)</w:t>
            </w:r>
          </w:p>
        </w:tc>
        <w:tc>
          <w:tcPr>
            <w:tcW w:w="658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1960" w:type="dxa"/>
            <w:vAlign w:val="bottom"/>
            <w:tcBorders>
              <w:right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Borders>
              <w:left w:val="single" w:sz="8" w:color="808080"/>
            </w:tcBorders>
          </w:tcPr>
          <w:p>
            <w:pPr>
              <w:spacing w:after="0"/>
              <w:rPr>
                <w:sz w:val="24"/>
                <w:szCs w:val="24"/>
                <w:color w:val="auto"/>
              </w:rPr>
            </w:pPr>
          </w:p>
        </w:tc>
        <w:tc>
          <w:tcPr>
            <w:tcW w:w="180" w:type="dxa"/>
            <w:vAlign w:val="bottom"/>
            <w:tcBorders>
              <w:right w:val="single" w:sz="8" w:color="808080"/>
            </w:tcBorders>
          </w:tcPr>
          <w:p>
            <w:pPr>
              <w:spacing w:after="0"/>
              <w:rPr>
                <w:sz w:val="24"/>
                <w:szCs w:val="24"/>
                <w:color w:val="auto"/>
              </w:rPr>
            </w:pPr>
          </w:p>
        </w:tc>
        <w:tc>
          <w:tcPr>
            <w:tcW w:w="980" w:type="dxa"/>
            <w:vAlign w:val="bottom"/>
            <w:tcBorders>
              <w:bottom w:val="single" w:sz="8" w:color="808080"/>
              <w:right w:val="single" w:sz="8" w:color="808080"/>
            </w:tcBorders>
          </w:tcPr>
          <w:p>
            <w:pPr>
              <w:spacing w:after="0"/>
              <w:rPr>
                <w:sz w:val="24"/>
                <w:szCs w:val="24"/>
                <w:color w:val="auto"/>
              </w:rPr>
            </w:pPr>
          </w:p>
        </w:tc>
        <w:tc>
          <w:tcPr>
            <w:tcW w:w="658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9,519,032</w:t>
            </w:r>
          </w:p>
        </w:tc>
        <w:tc>
          <w:tcPr>
            <w:tcW w:w="1960" w:type="dxa"/>
            <w:vAlign w:val="bottom"/>
            <w:tcBorders>
              <w:bottom w:val="single" w:sz="8" w:color="808080"/>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Borders>
              <w:left w:val="single" w:sz="8" w:color="808080"/>
            </w:tcBorders>
          </w:tcPr>
          <w:p>
            <w:pPr>
              <w:spacing w:after="0"/>
              <w:rPr>
                <w:sz w:val="19"/>
                <w:szCs w:val="19"/>
                <w:color w:val="auto"/>
              </w:rPr>
            </w:pPr>
          </w:p>
        </w:tc>
        <w:tc>
          <w:tcPr>
            <w:tcW w:w="180" w:type="dxa"/>
            <w:vAlign w:val="bottom"/>
            <w:tcBorders>
              <w:right w:val="single" w:sz="8" w:color="808080"/>
            </w:tcBorders>
          </w:tcPr>
          <w:p>
            <w:pPr>
              <w:spacing w:after="0"/>
              <w:rPr>
                <w:sz w:val="19"/>
                <w:szCs w:val="19"/>
                <w:color w:val="auto"/>
              </w:rPr>
            </w:pPr>
          </w:p>
        </w:tc>
        <w:tc>
          <w:tcPr>
            <w:tcW w:w="980" w:type="dxa"/>
            <w:vAlign w:val="bottom"/>
            <w:tcBorders>
              <w:right w:val="single" w:sz="8" w:color="808080"/>
            </w:tcBorders>
          </w:tcPr>
          <w:p>
            <w:pPr>
              <w:jc w:val="right"/>
              <w:ind w:right="670"/>
              <w:spacing w:after="0"/>
              <w:rPr>
                <w:sz w:val="20"/>
                <w:szCs w:val="20"/>
                <w:color w:val="auto"/>
              </w:rPr>
            </w:pPr>
            <w:r>
              <w:rPr>
                <w:rFonts w:ascii="Arial" w:cs="Arial" w:eastAsia="Arial" w:hAnsi="Arial"/>
                <w:sz w:val="18"/>
                <w:szCs w:val="18"/>
                <w:color w:val="auto"/>
                <w:w w:val="90"/>
              </w:rPr>
              <w:t>(7)</w:t>
            </w:r>
          </w:p>
        </w:tc>
        <w:tc>
          <w:tcPr>
            <w:tcW w:w="6580" w:type="dxa"/>
            <w:vAlign w:val="bottom"/>
          </w:tcPr>
          <w:p>
            <w:pPr>
              <w:spacing w:after="0"/>
              <w:rPr>
                <w:sz w:val="20"/>
                <w:szCs w:val="20"/>
                <w:color w:val="auto"/>
              </w:rPr>
            </w:pPr>
            <w:r>
              <w:rPr>
                <w:rFonts w:ascii="Arial" w:cs="Arial" w:eastAsia="Arial" w:hAnsi="Arial"/>
                <w:sz w:val="18"/>
                <w:szCs w:val="18"/>
                <w:b w:val="1"/>
                <w:bCs w:val="1"/>
                <w:color w:val="auto"/>
              </w:rPr>
              <w:t>SOLE DISPOSITIVE POWER</w:t>
            </w:r>
          </w:p>
        </w:tc>
        <w:tc>
          <w:tcPr>
            <w:tcW w:w="1960" w:type="dxa"/>
            <w:vAlign w:val="bottom"/>
            <w:tcBorders>
              <w:right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Borders>
              <w:left w:val="single" w:sz="8" w:color="808080"/>
            </w:tcBorders>
          </w:tcPr>
          <w:p>
            <w:pPr>
              <w:spacing w:after="0"/>
              <w:rPr>
                <w:sz w:val="24"/>
                <w:szCs w:val="24"/>
                <w:color w:val="auto"/>
              </w:rPr>
            </w:pPr>
          </w:p>
        </w:tc>
        <w:tc>
          <w:tcPr>
            <w:tcW w:w="180" w:type="dxa"/>
            <w:vAlign w:val="bottom"/>
            <w:tcBorders>
              <w:right w:val="single" w:sz="8" w:color="808080"/>
            </w:tcBorders>
          </w:tcPr>
          <w:p>
            <w:pPr>
              <w:spacing w:after="0"/>
              <w:rPr>
                <w:sz w:val="24"/>
                <w:szCs w:val="24"/>
                <w:color w:val="auto"/>
              </w:rPr>
            </w:pPr>
          </w:p>
        </w:tc>
        <w:tc>
          <w:tcPr>
            <w:tcW w:w="980" w:type="dxa"/>
            <w:vAlign w:val="bottom"/>
            <w:tcBorders>
              <w:bottom w:val="single" w:sz="8" w:color="808080"/>
              <w:right w:val="single" w:sz="8" w:color="808080"/>
            </w:tcBorders>
          </w:tcPr>
          <w:p>
            <w:pPr>
              <w:spacing w:after="0"/>
              <w:rPr>
                <w:sz w:val="24"/>
                <w:szCs w:val="24"/>
                <w:color w:val="auto"/>
              </w:rPr>
            </w:pPr>
          </w:p>
        </w:tc>
        <w:tc>
          <w:tcPr>
            <w:tcW w:w="658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0</w:t>
            </w:r>
          </w:p>
        </w:tc>
        <w:tc>
          <w:tcPr>
            <w:tcW w:w="1960" w:type="dxa"/>
            <w:vAlign w:val="bottom"/>
            <w:tcBorders>
              <w:bottom w:val="single" w:sz="8" w:color="808080"/>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Borders>
              <w:left w:val="single" w:sz="8" w:color="808080"/>
            </w:tcBorders>
          </w:tcPr>
          <w:p>
            <w:pPr>
              <w:spacing w:after="0"/>
              <w:rPr>
                <w:sz w:val="19"/>
                <w:szCs w:val="19"/>
                <w:color w:val="auto"/>
              </w:rPr>
            </w:pPr>
          </w:p>
        </w:tc>
        <w:tc>
          <w:tcPr>
            <w:tcW w:w="180" w:type="dxa"/>
            <w:vAlign w:val="bottom"/>
            <w:tcBorders>
              <w:right w:val="single" w:sz="8" w:color="808080"/>
            </w:tcBorders>
          </w:tcPr>
          <w:p>
            <w:pPr>
              <w:spacing w:after="0"/>
              <w:rPr>
                <w:sz w:val="19"/>
                <w:szCs w:val="19"/>
                <w:color w:val="auto"/>
              </w:rPr>
            </w:pPr>
          </w:p>
        </w:tc>
        <w:tc>
          <w:tcPr>
            <w:tcW w:w="980" w:type="dxa"/>
            <w:vAlign w:val="bottom"/>
            <w:tcBorders>
              <w:right w:val="single" w:sz="8" w:color="808080"/>
            </w:tcBorders>
          </w:tcPr>
          <w:p>
            <w:pPr>
              <w:jc w:val="right"/>
              <w:ind w:right="670"/>
              <w:spacing w:after="0"/>
              <w:rPr>
                <w:sz w:val="20"/>
                <w:szCs w:val="20"/>
                <w:color w:val="auto"/>
              </w:rPr>
            </w:pPr>
            <w:r>
              <w:rPr>
                <w:rFonts w:ascii="Arial" w:cs="Arial" w:eastAsia="Arial" w:hAnsi="Arial"/>
                <w:sz w:val="18"/>
                <w:szCs w:val="18"/>
                <w:color w:val="auto"/>
                <w:w w:val="90"/>
              </w:rPr>
              <w:t>(8)</w:t>
            </w:r>
          </w:p>
        </w:tc>
        <w:tc>
          <w:tcPr>
            <w:tcW w:w="658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1960" w:type="dxa"/>
            <w:vAlign w:val="bottom"/>
            <w:tcBorders>
              <w:right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Borders>
              <w:left w:val="single" w:sz="8" w:color="808080"/>
              <w:bottom w:val="single" w:sz="8" w:color="808080"/>
            </w:tcBorders>
          </w:tcPr>
          <w:p>
            <w:pPr>
              <w:spacing w:after="0"/>
              <w:rPr>
                <w:sz w:val="24"/>
                <w:szCs w:val="24"/>
                <w:color w:val="auto"/>
              </w:rPr>
            </w:pPr>
          </w:p>
        </w:tc>
        <w:tc>
          <w:tcPr>
            <w:tcW w:w="180" w:type="dxa"/>
            <w:vAlign w:val="bottom"/>
            <w:tcBorders>
              <w:bottom w:val="single" w:sz="8" w:color="808080"/>
              <w:right w:val="single" w:sz="8" w:color="808080"/>
            </w:tcBorders>
          </w:tcPr>
          <w:p>
            <w:pPr>
              <w:spacing w:after="0"/>
              <w:rPr>
                <w:sz w:val="24"/>
                <w:szCs w:val="24"/>
                <w:color w:val="auto"/>
              </w:rPr>
            </w:pPr>
          </w:p>
        </w:tc>
        <w:tc>
          <w:tcPr>
            <w:tcW w:w="980" w:type="dxa"/>
            <w:vAlign w:val="bottom"/>
            <w:tcBorders>
              <w:bottom w:val="single" w:sz="8" w:color="808080"/>
              <w:right w:val="single" w:sz="8" w:color="808080"/>
            </w:tcBorders>
          </w:tcPr>
          <w:p>
            <w:pPr>
              <w:spacing w:after="0"/>
              <w:rPr>
                <w:sz w:val="24"/>
                <w:szCs w:val="24"/>
                <w:color w:val="auto"/>
              </w:rPr>
            </w:pPr>
          </w:p>
        </w:tc>
        <w:tc>
          <w:tcPr>
            <w:tcW w:w="658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9,519,032</w:t>
            </w:r>
          </w:p>
        </w:tc>
        <w:tc>
          <w:tcPr>
            <w:tcW w:w="1960" w:type="dxa"/>
            <w:vAlign w:val="bottom"/>
            <w:tcBorders>
              <w:bottom w:val="single" w:sz="8" w:color="808080"/>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Borders>
              <w:left w:val="single" w:sz="8" w:color="808080"/>
              <w:right w:val="single" w:sz="8" w:color="808080"/>
            </w:tcBorders>
          </w:tcPr>
          <w:p>
            <w:pPr>
              <w:spacing w:after="0"/>
              <w:rPr>
                <w:sz w:val="20"/>
                <w:szCs w:val="20"/>
                <w:color w:val="auto"/>
              </w:rPr>
            </w:pPr>
            <w:r>
              <w:rPr>
                <w:rFonts w:ascii="Arial" w:cs="Arial" w:eastAsia="Arial" w:hAnsi="Arial"/>
                <w:sz w:val="18"/>
                <w:szCs w:val="18"/>
                <w:color w:val="auto"/>
              </w:rPr>
              <w:t>(9)</w:t>
            </w:r>
          </w:p>
        </w:tc>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960" w:type="dxa"/>
            <w:vAlign w:val="bottom"/>
            <w:tcBorders>
              <w:right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Borders>
              <w:left w:val="single" w:sz="8" w:color="808080"/>
              <w:right w:val="single" w:sz="8" w:color="808080"/>
            </w:tcBorders>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9,519,032</w:t>
            </w:r>
          </w:p>
        </w:tc>
        <w:tc>
          <w:tcPr>
            <w:tcW w:w="6580" w:type="dxa"/>
            <w:vAlign w:val="bottom"/>
          </w:tcPr>
          <w:p>
            <w:pPr>
              <w:spacing w:after="0"/>
              <w:rPr>
                <w:sz w:val="24"/>
                <w:szCs w:val="24"/>
                <w:color w:val="auto"/>
              </w:rPr>
            </w:pPr>
          </w:p>
        </w:tc>
        <w:tc>
          <w:tcPr>
            <w:tcW w:w="196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left w:val="single" w:sz="8" w:color="808080"/>
              <w:bottom w:val="single" w:sz="8" w:color="808080"/>
              <w:right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8540" w:type="dxa"/>
            <w:vAlign w:val="bottom"/>
            <w:tcBorders>
              <w:bottom w:val="single" w:sz="8" w:color="808080"/>
              <w:right w:val="single" w:sz="8" w:color="808080"/>
            </w:tcBorders>
            <w:gridSpan w:val="2"/>
          </w:tcPr>
          <w:p>
            <w:pPr>
              <w:spacing w:after="0"/>
              <w:rPr>
                <w:sz w:val="18"/>
                <w:szCs w:val="18"/>
                <w:color w:val="auto"/>
              </w:rPr>
            </w:pPr>
          </w:p>
        </w:tc>
        <w:tc>
          <w:tcPr>
            <w:tcW w:w="3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360" w:type="dxa"/>
            <w:vAlign w:val="bottom"/>
            <w:tcBorders>
              <w:left w:val="single" w:sz="8" w:color="808080"/>
              <w:right w:val="single" w:sz="8" w:color="808080"/>
            </w:tcBorders>
          </w:tcPr>
          <w:p>
            <w:pPr>
              <w:spacing w:after="0"/>
              <w:rPr>
                <w:sz w:val="20"/>
                <w:szCs w:val="20"/>
                <w:color w:val="auto"/>
              </w:rPr>
            </w:pPr>
            <w:r>
              <w:rPr>
                <w:rFonts w:ascii="Arial" w:cs="Arial" w:eastAsia="Arial" w:hAnsi="Arial"/>
                <w:sz w:val="18"/>
                <w:szCs w:val="18"/>
                <w:color w:val="auto"/>
              </w:rPr>
              <w:t>(10)</w:t>
            </w:r>
          </w:p>
        </w:tc>
        <w:tc>
          <w:tcPr>
            <w:tcW w:w="9700" w:type="dxa"/>
            <w:vAlign w:val="bottom"/>
            <w:tcBorders>
              <w:right w:val="single" w:sz="8" w:color="808080"/>
            </w:tcBorders>
            <w:gridSpan w:val="4"/>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Borders>
              <w:left w:val="single" w:sz="8" w:color="808080"/>
              <w:bottom w:val="single" w:sz="8" w:color="808080"/>
              <w:right w:val="single" w:sz="8" w:color="808080"/>
            </w:tcBorders>
          </w:tcPr>
          <w:p>
            <w:pPr>
              <w:spacing w:after="0"/>
              <w:rPr>
                <w:sz w:val="24"/>
                <w:szCs w:val="24"/>
                <w:color w:val="auto"/>
              </w:rPr>
            </w:pPr>
          </w:p>
        </w:tc>
        <w:tc>
          <w:tcPr>
            <w:tcW w:w="1160" w:type="dxa"/>
            <w:vAlign w:val="bottom"/>
            <w:tcBorders>
              <w:bottom w:val="single" w:sz="8" w:color="808080"/>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5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Borders>
              <w:left w:val="single" w:sz="8" w:color="808080"/>
              <w:right w:val="single" w:sz="8" w:color="808080"/>
            </w:tcBorders>
          </w:tcPr>
          <w:p>
            <w:pPr>
              <w:spacing w:after="0"/>
              <w:rPr>
                <w:sz w:val="20"/>
                <w:szCs w:val="20"/>
                <w:color w:val="auto"/>
              </w:rPr>
            </w:pPr>
            <w:r>
              <w:rPr>
                <w:rFonts w:ascii="Arial" w:cs="Arial" w:eastAsia="Arial" w:hAnsi="Arial"/>
                <w:sz w:val="18"/>
                <w:szCs w:val="18"/>
                <w:color w:val="auto"/>
              </w:rPr>
              <w:t>(11)</w:t>
            </w:r>
          </w:p>
        </w:tc>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960" w:type="dxa"/>
            <w:vAlign w:val="bottom"/>
            <w:tcBorders>
              <w:right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Borders>
              <w:left w:val="single" w:sz="8" w:color="808080"/>
              <w:bottom w:val="single" w:sz="8" w:color="808080"/>
              <w:right w:val="single" w:sz="8" w:color="808080"/>
            </w:tcBorders>
          </w:tcPr>
          <w:p>
            <w:pPr>
              <w:spacing w:after="0"/>
              <w:rPr>
                <w:sz w:val="24"/>
                <w:szCs w:val="24"/>
                <w:color w:val="auto"/>
              </w:rPr>
            </w:pPr>
          </w:p>
        </w:tc>
        <w:tc>
          <w:tcPr>
            <w:tcW w:w="11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10.1%</w:t>
            </w:r>
          </w:p>
        </w:tc>
        <w:tc>
          <w:tcPr>
            <w:tcW w:w="65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Borders>
              <w:left w:val="single" w:sz="8" w:color="808080"/>
              <w:right w:val="single" w:sz="8" w:color="808080"/>
            </w:tcBorders>
          </w:tcPr>
          <w:p>
            <w:pPr>
              <w:spacing w:after="0"/>
              <w:rPr>
                <w:sz w:val="20"/>
                <w:szCs w:val="20"/>
                <w:color w:val="auto"/>
              </w:rPr>
            </w:pPr>
            <w:r>
              <w:rPr>
                <w:rFonts w:ascii="Arial" w:cs="Arial" w:eastAsia="Arial" w:hAnsi="Arial"/>
                <w:sz w:val="18"/>
                <w:szCs w:val="18"/>
                <w:color w:val="auto"/>
              </w:rPr>
              <w:t>(12)</w:t>
            </w:r>
          </w:p>
        </w:tc>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1960" w:type="dxa"/>
            <w:vAlign w:val="bottom"/>
            <w:tcBorders>
              <w:right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Borders>
              <w:left w:val="single" w:sz="8" w:color="808080"/>
              <w:bottom w:val="single" w:sz="8" w:color="808080"/>
              <w:right w:val="single" w:sz="8" w:color="808080"/>
            </w:tcBorders>
          </w:tcPr>
          <w:p>
            <w:pPr>
              <w:spacing w:after="0"/>
              <w:rPr>
                <w:sz w:val="24"/>
                <w:szCs w:val="24"/>
                <w:color w:val="auto"/>
              </w:rPr>
            </w:pPr>
          </w:p>
        </w:tc>
        <w:tc>
          <w:tcPr>
            <w:tcW w:w="11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20" w:name="page21"/>
    <w:bookmarkEnd w:id="20"/>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21 of 45 Pages</w:t>
      </w:r>
    </w:p>
    <w:p>
      <w:pPr>
        <w:spacing w:after="0" w:line="200" w:lineRule="exact"/>
        <w:rPr>
          <w:sz w:val="20"/>
          <w:szCs w:val="20"/>
          <w:color w:val="auto"/>
        </w:rPr>
      </w:pPr>
    </w:p>
    <w:p>
      <w:pPr>
        <w:spacing w:after="0" w:line="266" w:lineRule="exact"/>
        <w:rPr>
          <w:sz w:val="20"/>
          <w:szCs w:val="20"/>
          <w:color w:val="auto"/>
        </w:rPr>
      </w:pPr>
    </w:p>
    <w:p>
      <w:pPr>
        <w:ind w:left="840" w:right="7640" w:hanging="818"/>
        <w:spacing w:after="0" w:line="538" w:lineRule="auto"/>
        <w:tabs>
          <w:tab w:leader="none" w:pos="84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NAMES OF REPORTING PERSONS Sparkling Business, Inc.</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5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5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5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2800" w:right="6220" w:hanging="820"/>
        <w:spacing w:after="0" w:line="383" w:lineRule="auto"/>
        <w:tabs>
          <w:tab w:leader="none" w:pos="2800" w:val="left"/>
        </w:tabs>
        <w:numPr>
          <w:ilvl w:val="2"/>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ind w:left="840" w:hanging="818"/>
        <w:spacing w:after="0"/>
        <w:tabs>
          <w:tab w:leader="none" w:pos="840"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680"/>
        <w:spacing w:after="0" w:line="277" w:lineRule="auto"/>
        <w:rPr>
          <w:rFonts w:ascii="Arial" w:cs="Arial" w:eastAsia="Arial" w:hAnsi="Arial"/>
          <w:sz w:val="18"/>
          <w:szCs w:val="18"/>
          <w:color w:val="auto"/>
        </w:rPr>
      </w:pPr>
      <w:r>
        <w:rPr>
          <w:rFonts w:ascii="Arial" w:cs="Arial" w:eastAsia="Arial" w:hAnsi="Arial"/>
          <w:sz w:val="18"/>
          <w:szCs w:val="18"/>
          <w:color w:val="auto"/>
        </w:rPr>
        <w:t>* Reporting person Sparkling Business, Inc. sold all of its Common Shares of issuer Credicorp Ltd. on the stock market. As of the date of this report, reporting person Sparkling Business, Inc.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22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NAMES OF REPORTING PERSONS Tech American Enterprises Inc.*</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6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6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60"/>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693,073</w:t>
      </w:r>
    </w:p>
    <w:p>
      <w:pPr>
        <w:ind w:left="2800" w:right="6220" w:hanging="820"/>
        <w:spacing w:after="0" w:line="383" w:lineRule="auto"/>
        <w:tabs>
          <w:tab w:leader="none" w:pos="2800" w:val="left"/>
        </w:tabs>
        <w:numPr>
          <w:ilvl w:val="2"/>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693,073</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693,073</w:t>
      </w:r>
    </w:p>
    <w:p>
      <w:pPr>
        <w:ind w:left="840" w:hanging="818"/>
        <w:spacing w:after="0"/>
        <w:tabs>
          <w:tab w:leader="none" w:pos="84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0.7%</w:t>
      </w:r>
    </w:p>
    <w:p>
      <w:pPr>
        <w:spacing w:after="0" w:line="1"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rPr>
          <w:rFonts w:ascii="Arial" w:cs="Arial" w:eastAsia="Arial" w:hAnsi="Arial"/>
          <w:sz w:val="18"/>
          <w:szCs w:val="18"/>
          <w:color w:val="auto"/>
        </w:rPr>
      </w:pPr>
      <w:r>
        <w:rPr>
          <w:rFonts w:ascii="Arial" w:cs="Arial" w:eastAsia="Arial" w:hAnsi="Arial"/>
          <w:sz w:val="18"/>
          <w:szCs w:val="18"/>
          <w:color w:val="auto"/>
        </w:rPr>
        <w:t>* Tech American Enterprises Inc. is controlled by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23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NAMES OF REPORTING PERSONS Teresa Holder de Onrubia</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6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6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800" w:hanging="820"/>
        <w:spacing w:after="0"/>
        <w:tabs>
          <w:tab w:leader="none" w:pos="2800" w:val="left"/>
        </w:tabs>
        <w:numPr>
          <w:ilvl w:val="2"/>
          <w:numId w:val="63"/>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272,401</w:t>
      </w:r>
    </w:p>
    <w:p>
      <w:pPr>
        <w:ind w:left="2800" w:right="6220" w:hanging="820"/>
        <w:spacing w:after="0" w:line="383" w:lineRule="auto"/>
        <w:tabs>
          <w:tab w:leader="none" w:pos="2800"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272,401</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272,401</w:t>
      </w:r>
    </w:p>
    <w:p>
      <w:pPr>
        <w:ind w:left="840" w:hanging="818"/>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right="5280" w:hanging="818"/>
        <w:spacing w:after="0" w:line="374"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0.3%</w:t>
      </w:r>
    </w:p>
    <w:p>
      <w:pPr>
        <w:spacing w:after="0" w:line="1" w:lineRule="exact"/>
        <w:rPr>
          <w:rFonts w:ascii="Arial" w:cs="Arial" w:eastAsia="Arial" w:hAnsi="Arial"/>
          <w:sz w:val="18"/>
          <w:szCs w:val="18"/>
          <w:color w:val="auto"/>
        </w:rPr>
      </w:pPr>
    </w:p>
    <w:p>
      <w:pPr>
        <w:ind w:left="840" w:right="5980" w:hanging="818"/>
        <w:spacing w:after="0" w:line="527"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3" w:name="page24"/>
    <w:bookmarkEnd w:id="23"/>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24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NAMES OF REPORTING PERSONS Urigeler Internacional S.A.*</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6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6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66"/>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5,285,672</w:t>
      </w:r>
    </w:p>
    <w:p>
      <w:pPr>
        <w:ind w:left="2800" w:right="6220" w:hanging="820"/>
        <w:spacing w:after="0" w:line="383" w:lineRule="auto"/>
        <w:tabs>
          <w:tab w:leader="none" w:pos="2800" w:val="left"/>
        </w:tabs>
        <w:numPr>
          <w:ilvl w:val="2"/>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5,285,672</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5,285,672</w:t>
      </w:r>
    </w:p>
    <w:p>
      <w:pPr>
        <w:ind w:left="840" w:hanging="818"/>
        <w:spacing w:after="0"/>
        <w:tabs>
          <w:tab w:leader="none" w:pos="84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5.6%</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Urigeler Internacional S.A. is owned and controlled by various members of the Romero family, which includes Dionisio Romero Seminario, Luis Romero Belismelis, Rosalina María Helguero Romero and 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25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08" w:lineRule="auto"/>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NAMES OF REPORTING PERSONS Van Intercorp Inc.*</w:t>
      </w:r>
    </w:p>
    <w:p>
      <w:pPr>
        <w:spacing w:after="0" w:line="1" w:lineRule="exact"/>
        <w:rPr>
          <w:rFonts w:ascii="Arial" w:cs="Arial" w:eastAsia="Arial" w:hAnsi="Arial"/>
          <w:sz w:val="18"/>
          <w:szCs w:val="18"/>
          <w:color w:val="auto"/>
        </w:rPr>
      </w:pPr>
    </w:p>
    <w:p>
      <w:pPr>
        <w:ind w:left="840" w:hanging="818"/>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6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6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69"/>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158,000</w:t>
      </w:r>
    </w:p>
    <w:p>
      <w:pPr>
        <w:ind w:left="2800" w:right="6220" w:hanging="820"/>
        <w:spacing w:after="0" w:line="383" w:lineRule="auto"/>
        <w:tabs>
          <w:tab w:leader="none" w:pos="2800" w:val="left"/>
        </w:tabs>
        <w:numPr>
          <w:ilvl w:val="2"/>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158,000</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158,000</w:t>
      </w:r>
    </w:p>
    <w:p>
      <w:pPr>
        <w:ind w:left="840" w:hanging="818"/>
        <w:spacing w:after="0"/>
        <w:tabs>
          <w:tab w:leader="none" w:pos="840"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0.2%</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380"/>
        <w:spacing w:after="0" w:line="308" w:lineRule="auto"/>
        <w:rPr>
          <w:rFonts w:ascii="Arial" w:cs="Arial" w:eastAsia="Arial" w:hAnsi="Arial"/>
          <w:sz w:val="18"/>
          <w:szCs w:val="18"/>
          <w:color w:val="auto"/>
        </w:rPr>
      </w:pPr>
      <w:r>
        <w:rPr>
          <w:rFonts w:ascii="Arial" w:cs="Arial" w:eastAsia="Arial" w:hAnsi="Arial"/>
          <w:sz w:val="17"/>
          <w:szCs w:val="17"/>
          <w:color w:val="auto"/>
        </w:rPr>
        <w:t>* Van Intercorp is directly owned and controlled by Inversiones Piuranas and indirectly owned and controlled by various members of the Romero family, which includes Dionisio Romero Seminario, Luis Romero Belismelis, Rosalina María Helguero Romero and 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26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NAMES OF REPORTING PERSONS Vineyard Investment Inc.</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7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7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72"/>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2800" w:right="6220" w:hanging="820"/>
        <w:spacing w:after="0" w:line="383" w:lineRule="auto"/>
        <w:tabs>
          <w:tab w:leader="none" w:pos="2800" w:val="left"/>
        </w:tabs>
        <w:numPr>
          <w:ilvl w:val="2"/>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ind w:left="840" w:hanging="818"/>
        <w:spacing w:after="0"/>
        <w:tabs>
          <w:tab w:leader="none" w:pos="84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340"/>
        <w:spacing w:after="0" w:line="277" w:lineRule="auto"/>
        <w:rPr>
          <w:rFonts w:ascii="Arial" w:cs="Arial" w:eastAsia="Arial" w:hAnsi="Arial"/>
          <w:sz w:val="18"/>
          <w:szCs w:val="18"/>
          <w:color w:val="auto"/>
        </w:rPr>
      </w:pPr>
      <w:r>
        <w:rPr>
          <w:rFonts w:ascii="Arial" w:cs="Arial" w:eastAsia="Arial" w:hAnsi="Arial"/>
          <w:sz w:val="18"/>
          <w:szCs w:val="18"/>
          <w:color w:val="auto"/>
        </w:rPr>
        <w:t>* Reporting person Vineyard Investment Inc. transferred all of its Common Shares of issuer Credicorp Ltd. to Doce de Octubre S.A. As of the date of this report, reporting person Vineyard Investment Inc.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27 of 45 Pages</w:t>
      </w:r>
    </w:p>
    <w:p>
      <w:pPr>
        <w:spacing w:after="0" w:line="200" w:lineRule="exact"/>
        <w:rPr>
          <w:sz w:val="20"/>
          <w:szCs w:val="20"/>
          <w:color w:val="auto"/>
        </w:rPr>
      </w:pPr>
    </w:p>
    <w:p>
      <w:pPr>
        <w:spacing w:after="0" w:line="239" w:lineRule="exact"/>
        <w:rPr>
          <w:sz w:val="20"/>
          <w:szCs w:val="20"/>
          <w:color w:val="auto"/>
        </w:rPr>
      </w:pPr>
    </w:p>
    <w:p>
      <w:pPr>
        <w:ind w:left="840" w:right="7640" w:hanging="818"/>
        <w:spacing w:after="0" w:line="538" w:lineRule="auto"/>
        <w:tabs>
          <w:tab w:leader="none" w:pos="84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NAMES OF REPORTING PERSONS Zuleta Inversionista S.A.*</w:t>
      </w:r>
    </w:p>
    <w:p>
      <w:pPr>
        <w:spacing w:after="0" w:line="1" w:lineRule="exact"/>
        <w:rPr>
          <w:rFonts w:ascii="Arial" w:cs="Arial" w:eastAsia="Arial" w:hAnsi="Arial"/>
          <w:sz w:val="17"/>
          <w:szCs w:val="17"/>
          <w:color w:val="auto"/>
        </w:rPr>
      </w:pPr>
    </w:p>
    <w:p>
      <w:pPr>
        <w:ind w:left="840" w:hanging="818"/>
        <w:spacing w:after="0"/>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7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80" w:hanging="248"/>
        <w:spacing w:after="0" w:line="207" w:lineRule="exact"/>
        <w:tabs>
          <w:tab w:leader="none" w:pos="1080" w:val="left"/>
        </w:tabs>
        <w:numPr>
          <w:ilvl w:val="1"/>
          <w:numId w:val="7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840" w:hanging="818"/>
        <w:spacing w:after="0"/>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18" w:lineRule="exact"/>
        <w:rPr>
          <w:rFonts w:ascii="Arial" w:cs="Arial" w:eastAsia="Arial" w:hAnsi="Arial"/>
          <w:sz w:val="18"/>
          <w:szCs w:val="18"/>
          <w:color w:val="auto"/>
        </w:rPr>
      </w:pPr>
    </w:p>
    <w:p>
      <w:pPr>
        <w:ind w:left="840" w:right="6660" w:hanging="818"/>
        <w:spacing w:after="0" w:line="386" w:lineRule="auto"/>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800" w:hanging="820"/>
        <w:spacing w:after="0"/>
        <w:tabs>
          <w:tab w:leader="none" w:pos="2800" w:val="left"/>
        </w:tabs>
        <w:numPr>
          <w:ilvl w:val="2"/>
          <w:numId w:val="75"/>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843395" cy="6423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43395" cy="6423025"/>
                    </a:xfrm>
                    <a:prstGeom prst="rect">
                      <a:avLst/>
                    </a:prstGeom>
                    <a:noFill/>
                  </pic:spPr>
                </pic:pic>
              </a:graphicData>
            </a:graphic>
          </wp:anchor>
        </w:drawing>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w:t>
      </w:r>
    </w:p>
    <w:p>
      <w:pPr>
        <w:spacing w:after="0" w:line="220" w:lineRule="exact"/>
        <w:rPr>
          <w:sz w:val="20"/>
          <w:szCs w:val="20"/>
          <w:color w:val="auto"/>
        </w:rPr>
      </w:pPr>
    </w:p>
    <w:p>
      <w:pPr>
        <w:ind w:left="2800" w:right="6380" w:hanging="820"/>
        <w:spacing w:after="0" w:line="386" w:lineRule="auto"/>
        <w:tabs>
          <w:tab w:leader="none" w:pos="2800" w:val="left"/>
        </w:tabs>
        <w:numPr>
          <w:ilvl w:val="2"/>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875,647</w:t>
      </w:r>
    </w:p>
    <w:p>
      <w:pPr>
        <w:ind w:left="2800" w:right="6220" w:hanging="820"/>
        <w:spacing w:after="0" w:line="383" w:lineRule="auto"/>
        <w:tabs>
          <w:tab w:leader="none" w:pos="2800" w:val="left"/>
        </w:tabs>
        <w:numPr>
          <w:ilvl w:val="2"/>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875,647</w:t>
      </w:r>
    </w:p>
    <w:p>
      <w:pPr>
        <w:spacing w:after="0" w:line="1" w:lineRule="exact"/>
        <w:rPr>
          <w:rFonts w:ascii="Arial" w:cs="Arial" w:eastAsia="Arial" w:hAnsi="Arial"/>
          <w:sz w:val="18"/>
          <w:szCs w:val="18"/>
          <w:color w:val="auto"/>
        </w:rPr>
      </w:pPr>
    </w:p>
    <w:p>
      <w:pPr>
        <w:ind w:left="2800" w:right="5940" w:hanging="820"/>
        <w:spacing w:after="0" w:line="383" w:lineRule="auto"/>
        <w:tabs>
          <w:tab w:leader="none" w:pos="2800" w:val="left"/>
        </w:tabs>
        <w:numPr>
          <w:ilvl w:val="2"/>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rFonts w:ascii="Arial" w:cs="Arial" w:eastAsia="Arial" w:hAnsi="Arial"/>
          <w:sz w:val="18"/>
          <w:szCs w:val="18"/>
          <w:color w:val="auto"/>
        </w:rPr>
      </w:pPr>
    </w:p>
    <w:p>
      <w:pPr>
        <w:ind w:left="840" w:right="3660" w:hanging="818"/>
        <w:spacing w:after="0" w:line="506" w:lineRule="auto"/>
        <w:tabs>
          <w:tab w:leader="none" w:pos="840" w:val="left"/>
        </w:tabs>
        <w:numPr>
          <w:ilvl w:val="1"/>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875,647</w:t>
      </w:r>
    </w:p>
    <w:p>
      <w:pPr>
        <w:ind w:left="840" w:hanging="818"/>
        <w:spacing w:after="0"/>
        <w:tabs>
          <w:tab w:leader="none" w:pos="840" w:val="left"/>
        </w:tabs>
        <w:numPr>
          <w:ilvl w:val="1"/>
          <w:numId w:val="7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8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840" w:hanging="818"/>
        <w:spacing w:after="0"/>
        <w:tabs>
          <w:tab w:leader="none" w:pos="840" w:val="left"/>
        </w:tabs>
        <w:numPr>
          <w:ilvl w:val="1"/>
          <w:numId w:val="77"/>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0.9%</w:t>
      </w:r>
    </w:p>
    <w:p>
      <w:pPr>
        <w:spacing w:after="0" w:line="23" w:lineRule="exact"/>
        <w:rPr>
          <w:rFonts w:ascii="Arial" w:cs="Arial" w:eastAsia="Arial" w:hAnsi="Arial"/>
          <w:sz w:val="18"/>
          <w:szCs w:val="18"/>
          <w:color w:val="auto"/>
        </w:rPr>
      </w:pPr>
    </w:p>
    <w:p>
      <w:pPr>
        <w:ind w:left="840" w:right="5980" w:hanging="818"/>
        <w:spacing w:after="0" w:line="508" w:lineRule="auto"/>
        <w:tabs>
          <w:tab w:leader="none" w:pos="840" w:val="left"/>
        </w:tabs>
        <w:numPr>
          <w:ilvl w:val="1"/>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rPr>
          <w:rFonts w:ascii="Arial" w:cs="Arial" w:eastAsia="Arial" w:hAnsi="Arial"/>
          <w:sz w:val="18"/>
          <w:szCs w:val="18"/>
          <w:color w:val="auto"/>
        </w:rPr>
      </w:pPr>
      <w:r>
        <w:rPr>
          <w:rFonts w:ascii="Arial" w:cs="Arial" w:eastAsia="Arial" w:hAnsi="Arial"/>
          <w:sz w:val="18"/>
          <w:szCs w:val="18"/>
          <w:color w:val="auto"/>
        </w:rPr>
        <w:t>* Zuleta Inversionista S.A. is owned and controlled by Rosalina María Helguero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28 of 45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for 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Banco de Crédito del Perú</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Centenario N° 156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B attached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Centenario N° 156</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29 of 45 Pages</w:t>
      </w: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19</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Shares, par value $5.00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G2519Y108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30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24</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27</w:t>
      </w:r>
    </w:p>
    <w:p>
      <w:pPr>
        <w:spacing w:after="0" w:line="211" w:lineRule="exact"/>
        <w:rPr>
          <w:sz w:val="20"/>
          <w:szCs w:val="20"/>
          <w:color w:val="auto"/>
        </w:rPr>
      </w:pPr>
    </w:p>
    <w:p>
      <w:pPr>
        <w:ind w:left="900" w:hanging="244"/>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Number of shares as to which the person has:</w:t>
      </w:r>
    </w:p>
    <w:p>
      <w:pPr>
        <w:spacing w:after="0" w:line="248" w:lineRule="exact"/>
        <w:rPr>
          <w:rFonts w:ascii="Arial" w:cs="Arial" w:eastAsia="Arial" w:hAnsi="Arial"/>
          <w:sz w:val="16"/>
          <w:szCs w:val="16"/>
          <w:color w:val="auto"/>
        </w:rPr>
      </w:pPr>
    </w:p>
    <w:p>
      <w:pPr>
        <w:ind w:left="1200" w:hanging="220"/>
        <w:spacing w:after="0"/>
        <w:tabs>
          <w:tab w:leader="none" w:pos="12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Sole power to vote or to direct the vote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0" w:name="page31"/>
    <w:bookmarkEnd w:id="30"/>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31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13</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27</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 Shared power to vote or to direct the vote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27</w:t>
      </w:r>
    </w:p>
    <w:p>
      <w:pPr>
        <w:spacing w:after="0" w:line="211" w:lineRule="exact"/>
        <w:rPr>
          <w:sz w:val="20"/>
          <w:szCs w:val="20"/>
          <w:color w:val="auto"/>
        </w:rPr>
      </w:pPr>
    </w:p>
    <w:p>
      <w:pPr>
        <w:ind w:left="1300" w:hanging="320"/>
        <w:spacing w:after="0"/>
        <w:tabs>
          <w:tab w:leader="none" w:pos="1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w:t>
      </w:r>
    </w:p>
    <w:p>
      <w:pPr>
        <w:spacing w:after="0" w:line="248" w:lineRule="exact"/>
        <w:rPr>
          <w:rFonts w:ascii="Arial" w:cs="Arial" w:eastAsia="Arial" w:hAnsi="Arial"/>
          <w:sz w:val="16"/>
          <w:szCs w:val="16"/>
          <w:color w:val="auto"/>
        </w:rPr>
      </w:pPr>
    </w:p>
    <w:p>
      <w:pPr>
        <w:jc w:val="both"/>
        <w:ind w:left="1300" w:right="8600"/>
        <w:spacing w:after="0" w:line="381" w:lineRule="auto"/>
        <w:rPr>
          <w:rFonts w:ascii="Arial" w:cs="Arial" w:eastAsia="Arial" w:hAnsi="Arial"/>
          <w:sz w:val="16"/>
          <w:szCs w:val="16"/>
          <w:color w:val="auto"/>
        </w:rPr>
      </w:pPr>
      <w:r>
        <w:rPr>
          <w:rFonts w:ascii="Arial" w:cs="Arial" w:eastAsia="Arial" w:hAnsi="Arial"/>
          <w:sz w:val="15"/>
          <w:szCs w:val="15"/>
          <w:color w:val="auto"/>
        </w:rPr>
        <w:t>See Item 7 on Page 2 See Item 7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1" w:name="page32"/>
    <w:bookmarkEnd w:id="31"/>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32 of 45 Pages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4</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27</w:t>
      </w:r>
    </w:p>
    <w:p>
      <w:pPr>
        <w:spacing w:after="0" w:line="211" w:lineRule="exact"/>
        <w:rPr>
          <w:sz w:val="20"/>
          <w:szCs w:val="20"/>
          <w:color w:val="auto"/>
        </w:rPr>
      </w:pPr>
    </w:p>
    <w:p>
      <w:pPr>
        <w:ind w:left="1280" w:hanging="300"/>
        <w:spacing w:after="0"/>
        <w:tabs>
          <w:tab w:leader="none" w:pos="12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pacing w:after="0" w:line="248" w:lineRule="exact"/>
        <w:rPr>
          <w:rFonts w:ascii="Arial" w:cs="Arial" w:eastAsia="Arial" w:hAnsi="Arial"/>
          <w:sz w:val="16"/>
          <w:szCs w:val="16"/>
          <w:color w:val="auto"/>
        </w:rPr>
      </w:pPr>
    </w:p>
    <w:p>
      <w:pPr>
        <w:ind w:left="1300" w:right="8500"/>
        <w:spacing w:after="0" w:line="304" w:lineRule="auto"/>
        <w:rPr>
          <w:rFonts w:ascii="Arial" w:cs="Arial" w:eastAsia="Arial" w:hAnsi="Arial"/>
          <w:sz w:val="16"/>
          <w:szCs w:val="16"/>
          <w:color w:val="auto"/>
        </w:rPr>
      </w:pPr>
      <w:r>
        <w:rPr>
          <w:rFonts w:ascii="Arial" w:cs="Arial" w:eastAsia="Arial" w:hAnsi="Arial"/>
          <w:sz w:val="15"/>
          <w:szCs w:val="15"/>
          <w:color w:val="auto"/>
        </w:rPr>
        <w:t>See Item 8 on Page 2 See Item 8 on Page 3 See Item 8 on Page 4 See Item 8 on Page 5 See Item 8 on Page 6 See Item 8 on Page 7 See Item 8 on Page 8 See Item 8 on Page 9 See Item 8 on Page 10 See Item 8 on Page 11 See Item 8 on Page 12 See Item 8 on Page 13 See Item 8 on Page 14 See Item 8 on Page 15 See Item 8 on Page 16 See Item 8 on Page 17 See Item 8 on Page 18 See Item 8 on Page 19 See Item 8 on Page 20 See Item 8 on Page 21 See Item 8 on Page 22 See Item 8 on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2" w:name="page33"/>
    <w:bookmarkEnd w:id="32"/>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33 of 45 Pages</w:t>
      </w: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24</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480" w:hanging="971"/>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C attached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34 of 45 Pages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51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July 19, 2013</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Dionisio Romero Seminario</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Dionisio Romero Seminario</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35 of 45 Pages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Statement</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Names of Persons Filing</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Identification and Classification of Members of Group</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Powers of Attorney with English Translations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36 of 45 Pages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w:t>
      </w:r>
    </w:p>
    <w:p>
      <w:pPr>
        <w:spacing w:after="0" w:line="211" w:lineRule="exact"/>
        <w:rPr>
          <w:sz w:val="20"/>
          <w:szCs w:val="20"/>
          <w:color w:val="auto"/>
        </w:rPr>
      </w:pPr>
    </w:p>
    <w:p>
      <w:pPr>
        <w:ind w:firstLine="519"/>
        <w:spacing w:after="0" w:line="277" w:lineRule="auto"/>
        <w:rPr>
          <w:sz w:val="20"/>
          <w:szCs w:val="20"/>
          <w:color w:val="auto"/>
        </w:rPr>
      </w:pPr>
      <w:r>
        <w:rPr>
          <w:rFonts w:ascii="Arial" w:cs="Arial" w:eastAsia="Arial" w:hAnsi="Arial"/>
          <w:sz w:val="18"/>
          <w:szCs w:val="18"/>
          <w:color w:val="auto"/>
        </w:rPr>
        <w:t>The undersigned persons (the "Reporting Persons") hereby agree that a joint statement on this Schedule 13G, and any amendments thereto, be filed on their behalf by Dionisio Romero Seminario.</w:t>
      </w:r>
    </w:p>
    <w:p>
      <w:pPr>
        <w:spacing w:after="0" w:line="170" w:lineRule="exact"/>
        <w:rPr>
          <w:sz w:val="20"/>
          <w:szCs w:val="20"/>
          <w:color w:val="auto"/>
        </w:rPr>
      </w:pPr>
    </w:p>
    <w:p>
      <w:pPr>
        <w:ind w:firstLine="519"/>
        <w:spacing w:after="0" w:line="308" w:lineRule="auto"/>
        <w:rPr>
          <w:sz w:val="20"/>
          <w:szCs w:val="20"/>
          <w:color w:val="auto"/>
        </w:rPr>
      </w:pPr>
      <w:r>
        <w:rPr>
          <w:rFonts w:ascii="Arial" w:cs="Arial" w:eastAsia="Arial" w:hAnsi="Arial"/>
          <w:sz w:val="17"/>
          <w:szCs w:val="17"/>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2013</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Silvia Guzman Portilla de Romero</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Arlow Holding Corporation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Belle Company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Birmingham Merchant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Cernical Group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Paoletti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Doce de Octubre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Eduardo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Antonio Onrubia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 del Carmen Onrubia de Beeck</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 Inmaculada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 Lourdes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Rosalina María Helguero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Sparkling Business,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Tech American Enterprises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Urigeler Internacional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Van Intercorp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Vineyard Investment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Zuleta Inversionista S.A.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Dionisio Romero Seminario</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37 of 45 Pages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Names of Persons Filing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Silvia Guzman Portilla de Romero</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Arlow Holding Corporation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Belle Company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Birmingham Merchant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Cernical Group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Doce de Octubre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Eduardo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Antonio Onrubia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 del Carmen Onrubia de Beeck</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 Inmaculada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 Lourdes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Rosalina María Helguero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Sparkling Business,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Tech American Enterprises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Urigeler Internacional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Van Intercorp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Vineyard Investment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Zuleta Inversionista S.A.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Centenario N° 156</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75"/>
        </w:trPr>
        <w:tc>
          <w:tcPr>
            <w:tcW w:w="3700" w:type="dxa"/>
            <w:vAlign w:val="bottom"/>
            <w:gridSpan w:val="2"/>
          </w:tcPr>
          <w:p>
            <w:pPr>
              <w:spacing w:after="0"/>
              <w:rPr>
                <w:sz w:val="20"/>
                <w:szCs w:val="20"/>
                <w:color w:val="auto"/>
              </w:rPr>
            </w:pPr>
            <w:r>
              <w:rPr>
                <w:rFonts w:ascii="Arial" w:cs="Arial" w:eastAsia="Arial" w:hAnsi="Arial"/>
                <w:sz w:val="22"/>
                <w:szCs w:val="22"/>
                <w:color w:val="auto"/>
              </w:rPr>
              <w:t>CUSIP No. G2519Y108</w:t>
            </w:r>
          </w:p>
        </w:tc>
        <w:tc>
          <w:tcPr>
            <w:tcW w:w="4980" w:type="dxa"/>
            <w:vAlign w:val="bottom"/>
          </w:tcPr>
          <w:p>
            <w:pPr>
              <w:jc w:val="center"/>
              <w:ind w:right="844"/>
              <w:spacing w:after="0"/>
              <w:rPr>
                <w:sz w:val="20"/>
                <w:szCs w:val="20"/>
                <w:color w:val="auto"/>
              </w:rPr>
            </w:pPr>
            <w:r>
              <w:rPr>
                <w:rFonts w:ascii="Arial" w:cs="Arial" w:eastAsia="Arial" w:hAnsi="Arial"/>
                <w:sz w:val="22"/>
                <w:szCs w:val="22"/>
                <w:color w:val="auto"/>
                <w:w w:val="93"/>
              </w:rPr>
              <w:t>SCHEDULE 13G</w:t>
            </w:r>
          </w:p>
        </w:tc>
        <w:tc>
          <w:tcPr>
            <w:tcW w:w="2740" w:type="dxa"/>
            <w:vAlign w:val="bottom"/>
            <w:gridSpan w:val="2"/>
          </w:tcPr>
          <w:p>
            <w:pPr>
              <w:ind w:left="980"/>
              <w:spacing w:after="0"/>
              <w:rPr>
                <w:sz w:val="20"/>
                <w:szCs w:val="20"/>
                <w:color w:val="auto"/>
              </w:rPr>
            </w:pPr>
            <w:r>
              <w:rPr>
                <w:rFonts w:ascii="Arial" w:cs="Arial" w:eastAsia="Arial" w:hAnsi="Arial"/>
                <w:sz w:val="22"/>
                <w:szCs w:val="22"/>
                <w:color w:val="auto"/>
                <w:w w:val="84"/>
              </w:rPr>
              <w:t>Page 38 of 45 Pages</w:t>
            </w:r>
          </w:p>
        </w:tc>
        <w:tc>
          <w:tcPr>
            <w:tcW w:w="0" w:type="dxa"/>
            <w:vAlign w:val="bottom"/>
          </w:tcPr>
          <w:p>
            <w:pPr>
              <w:spacing w:after="0"/>
              <w:rPr>
                <w:sz w:val="1"/>
                <w:szCs w:val="1"/>
                <w:color w:val="auto"/>
              </w:rPr>
            </w:pPr>
          </w:p>
        </w:tc>
      </w:tr>
      <w:tr>
        <w:trPr>
          <w:trHeight w:val="62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980" w:type="dxa"/>
            <w:vAlign w:val="bottom"/>
          </w:tcPr>
          <w:p>
            <w:pPr>
              <w:jc w:val="center"/>
              <w:ind w:right="864"/>
              <w:spacing w:after="0"/>
              <w:rPr>
                <w:sz w:val="20"/>
                <w:szCs w:val="20"/>
                <w:color w:val="auto"/>
              </w:rPr>
            </w:pPr>
            <w:r>
              <w:rPr>
                <w:rFonts w:ascii="Arial" w:cs="Arial" w:eastAsia="Arial" w:hAnsi="Arial"/>
                <w:sz w:val="18"/>
                <w:szCs w:val="18"/>
                <w:color w:val="auto"/>
                <w:w w:val="91"/>
              </w:rPr>
              <w:t>Exhibit C to Schedule 13G</w:t>
            </w: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Members of Group:</w:t>
            </w:r>
          </w:p>
        </w:tc>
        <w:tc>
          <w:tcPr>
            <w:tcW w:w="4980" w:type="dxa"/>
            <w:vAlign w:val="bottom"/>
          </w:tcPr>
          <w:p>
            <w:pPr>
              <w:jc w:val="center"/>
              <w:ind w:right="864"/>
              <w:spacing w:after="0"/>
              <w:rPr>
                <w:sz w:val="20"/>
                <w:szCs w:val="20"/>
                <w:color w:val="auto"/>
              </w:rPr>
            </w:pPr>
            <w:r>
              <w:rPr>
                <w:rFonts w:ascii="Arial" w:cs="Arial" w:eastAsia="Arial" w:hAnsi="Arial"/>
                <w:sz w:val="18"/>
                <w:szCs w:val="18"/>
                <w:color w:val="auto"/>
                <w:w w:val="93"/>
              </w:rPr>
              <w:t>Identification and Classification of Members of Group</w:t>
            </w:r>
          </w:p>
        </w:tc>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vMerge w:val="continue"/>
          </w:tcPr>
          <w:p>
            <w:pPr>
              <w:spacing w:after="0"/>
              <w:rPr>
                <w:sz w:val="18"/>
                <w:szCs w:val="18"/>
                <w:color w:val="auto"/>
              </w:rPr>
            </w:pP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60" w:type="dxa"/>
            <w:vAlign w:val="bottom"/>
            <w:gridSpan w:val="2"/>
          </w:tcPr>
          <w:p>
            <w:pPr>
              <w:ind w:left="640"/>
              <w:spacing w:after="0"/>
              <w:rPr>
                <w:sz w:val="20"/>
                <w:szCs w:val="20"/>
                <w:color w:val="auto"/>
              </w:rPr>
            </w:pPr>
            <w:r>
              <w:rPr>
                <w:rFonts w:ascii="Arial" w:cs="Arial" w:eastAsia="Arial" w:hAnsi="Arial"/>
                <w:sz w:val="18"/>
                <w:szCs w:val="18"/>
                <w:color w:val="auto"/>
              </w:rPr>
              <w:t>Ana Silvia Guzman Portilla de Romero (IN)</w:t>
            </w: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Arlow Holding Corporation (CO)</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Belle Company Inc. (CO)</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Birmingham Merchant S.A. (CO)</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Cernical Group S.A. (CO)</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Dionisio Romero Paoletti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Dionisio Romero Seminario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Doce de Octubre S.A. (CO)</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Eduardo Onrubia Holder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Fernando Onrubia Holder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Fernando Romero Belismelis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José Antonio Onrubia Romero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La Roncadora S.A. (CO)</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Luis Romero Belismelis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w w:val="95"/>
              </w:rPr>
              <w:t>Manuel Antonio Romero Belismelis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w w:val="92"/>
              </w:rPr>
              <w:t>Maria del Carmen Onrubia de Beeck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w w:val="98"/>
              </w:rPr>
              <w:t>Maria Inmaculada Onrubia Holder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Maria Lourdes Onrubia Holder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w w:val="99"/>
              </w:rPr>
              <w:t>Rosalina María Helguero Romero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Sparkling Business, Inc. (CO)</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Tech American Enterprises Inc. (CO)</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Teresa Holder de Onrubia (IN)</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Urigeler Internacional S.A. (CO)</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Van Intercorp Inc. (CO)</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Vineyard Investment Inc. (CO)</w:t>
            </w: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640"/>
              <w:spacing w:after="0"/>
              <w:rPr>
                <w:sz w:val="20"/>
                <w:szCs w:val="20"/>
                <w:color w:val="auto"/>
              </w:rPr>
            </w:pPr>
            <w:r>
              <w:rPr>
                <w:rFonts w:ascii="Arial" w:cs="Arial" w:eastAsia="Arial" w:hAnsi="Arial"/>
                <w:sz w:val="18"/>
                <w:szCs w:val="18"/>
                <w:color w:val="auto"/>
              </w:rPr>
              <w:t>Zuleta Inversionista S.A. (CO)</w:t>
            </w:r>
          </w:p>
        </w:tc>
        <w:tc>
          <w:tcPr>
            <w:tcW w:w="4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660" w:type="dxa"/>
            <w:vAlign w:val="bottom"/>
            <w:gridSpan w:val="2"/>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Aggregate Amount of Common Shares Beneficially Owned by Group:</w:t>
            </w:r>
          </w:p>
        </w:tc>
        <w:tc>
          <w:tcPr>
            <w:tcW w:w="2160" w:type="dxa"/>
            <w:vAlign w:val="bottom"/>
            <w:shd w:val="clear" w:color="auto" w:fill="CCFFCC"/>
          </w:tcPr>
          <w:p>
            <w:pPr>
              <w:jc w:val="right"/>
              <w:ind w:right="84"/>
              <w:spacing w:after="0"/>
              <w:rPr>
                <w:sz w:val="20"/>
                <w:szCs w:val="20"/>
                <w:color w:val="auto"/>
              </w:rPr>
            </w:pPr>
            <w:r>
              <w:rPr>
                <w:rFonts w:ascii="Arial" w:cs="Arial" w:eastAsia="Arial" w:hAnsi="Arial"/>
                <w:sz w:val="18"/>
                <w:szCs w:val="18"/>
                <w:b w:val="1"/>
                <w:bCs w:val="1"/>
                <w:color w:val="auto"/>
              </w:rPr>
              <w:t>12,531,278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Percent of Class:</w:t>
            </w:r>
          </w:p>
        </w:tc>
        <w:tc>
          <w:tcPr>
            <w:tcW w:w="4980" w:type="dxa"/>
            <w:vAlign w:val="bottom"/>
            <w:shd w:val="clear" w:color="auto" w:fill="CCFFCC"/>
          </w:tcPr>
          <w:p>
            <w:pPr>
              <w:spacing w:after="0"/>
              <w:rPr>
                <w:sz w:val="18"/>
                <w:szCs w:val="18"/>
                <w:color w:val="auto"/>
              </w:rPr>
            </w:pPr>
          </w:p>
        </w:tc>
        <w:tc>
          <w:tcPr>
            <w:tcW w:w="2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38" w:name="page39"/>
    <w:bookmarkEnd w:id="38"/>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39 of 45 Pages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Powers of Attorney with English Translations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41" w:lineRule="exact"/>
        <w:rPr>
          <w:sz w:val="20"/>
          <w:szCs w:val="20"/>
          <w:color w:val="auto"/>
        </w:rPr>
      </w:pPr>
    </w:p>
    <w:p>
      <w:pPr>
        <w:ind w:left="660" w:right="620" w:hanging="659"/>
        <w:spacing w:after="0" w:line="258" w:lineRule="auto"/>
        <w:tabs>
          <w:tab w:leader="none" w:pos="64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Reciprocal General Power of Attorney granted between Messrs. Jose Antonio Onrubia Romero, Calixto Romero Seminario, Manuel Romero Seminario and Dionisio Romero Seminario dated November 6, 1970. (1)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English-language summary of D.1 (2)</w:t>
      </w:r>
    </w:p>
    <w:p>
      <w:pPr>
        <w:spacing w:after="0" w:line="9" w:lineRule="exact"/>
        <w:rPr>
          <w:sz w:val="20"/>
          <w:szCs w:val="20"/>
          <w:color w:val="auto"/>
        </w:rPr>
      </w:pPr>
    </w:p>
    <w:p>
      <w:pPr>
        <w:ind w:left="660" w:right="400" w:hanging="659"/>
        <w:spacing w:after="0" w:line="250" w:lineRule="auto"/>
        <w:tabs>
          <w:tab w:leader="none" w:pos="64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General Power of Attorney from Willy Beeck Navarro and Maria del Carmen Onrubia de Beeck to Calixto Romero Seminario, Manuel Romero Seminario and Dionisio Romero Seminario dated December 6, 1985. (3)</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English-language summary of D.3 (4)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Power of Attorney from Rosalina Maria Helguero Romero to Dionisio Romero Seminario dated December 21, 2001. (5)</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Power of Attorney from Jose Antonio Onrubia Romero to Dionisio Romero Seminario dated December 16, 1996. (6)</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Power of Attorney from Maria del Carmen Onrubia de Beeck to Dionisio Romero Seminario dated December 16, 1996. (6)</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D.8</w:t>
      </w:r>
      <w:r>
        <w:rPr>
          <w:sz w:val="20"/>
          <w:szCs w:val="20"/>
          <w:color w:val="auto"/>
        </w:rPr>
        <w:tab/>
      </w:r>
      <w:r>
        <w:rPr>
          <w:rFonts w:ascii="Arial" w:cs="Arial" w:eastAsia="Arial" w:hAnsi="Arial"/>
          <w:sz w:val="18"/>
          <w:szCs w:val="18"/>
          <w:color w:val="auto"/>
        </w:rPr>
        <w:t>Power of Attorney from Teresa Holder de Onrubia to Dionisio Romero Seminario dated December 16, 1996. (6)</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Power of Attorney from Maria Lourdes Onrubia Holder to Dionisio Romero Seminario dated February 13, 1997. (6)</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D.10</w:t>
      </w:r>
      <w:r>
        <w:rPr>
          <w:sz w:val="20"/>
          <w:szCs w:val="20"/>
          <w:color w:val="auto"/>
        </w:rPr>
        <w:tab/>
      </w:r>
      <w:r>
        <w:rPr>
          <w:rFonts w:ascii="Arial" w:cs="Arial" w:eastAsia="Arial" w:hAnsi="Arial"/>
          <w:sz w:val="18"/>
          <w:szCs w:val="18"/>
          <w:color w:val="auto"/>
        </w:rPr>
        <w:t>Power of Attorney from Maria Inmaculada Onrubia Holder to Dionisio Romero Seminario dated December 16, 1996. (6)</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D.11</w:t>
      </w:r>
      <w:r>
        <w:rPr>
          <w:sz w:val="20"/>
          <w:szCs w:val="20"/>
          <w:color w:val="auto"/>
        </w:rPr>
        <w:tab/>
      </w:r>
      <w:r>
        <w:rPr>
          <w:rFonts w:ascii="Arial" w:cs="Arial" w:eastAsia="Arial" w:hAnsi="Arial"/>
          <w:sz w:val="18"/>
          <w:szCs w:val="18"/>
          <w:color w:val="auto"/>
        </w:rPr>
        <w:t>Power of Attorney from Ana Sylvia Guzman de Romero to Dionisio Romero Seminario dated February 14, 1997. (6)</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D.12</w:t>
      </w:r>
      <w:r>
        <w:rPr>
          <w:sz w:val="20"/>
          <w:szCs w:val="20"/>
          <w:color w:val="auto"/>
        </w:rPr>
        <w:tab/>
      </w:r>
      <w:r>
        <w:rPr>
          <w:rFonts w:ascii="Arial" w:cs="Arial" w:eastAsia="Arial" w:hAnsi="Arial"/>
          <w:sz w:val="18"/>
          <w:szCs w:val="18"/>
          <w:color w:val="auto"/>
        </w:rPr>
        <w:t>Power of Attorney from Manuel Antonio Romero Belismelis to Dionisio Romero Seminario dated December 16, 1996. (6)</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D.13</w:t>
      </w:r>
      <w:r>
        <w:rPr>
          <w:sz w:val="20"/>
          <w:szCs w:val="20"/>
          <w:color w:val="auto"/>
        </w:rPr>
        <w:tab/>
      </w:r>
      <w:r>
        <w:rPr>
          <w:rFonts w:ascii="Arial" w:cs="Arial" w:eastAsia="Arial" w:hAnsi="Arial"/>
          <w:sz w:val="18"/>
          <w:szCs w:val="18"/>
          <w:color w:val="auto"/>
        </w:rPr>
        <w:t>Power of Attorney from Fernando Romero Belismelis to Dionisio Romero Seminario dated December 16, 1996. (6)</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D.14</w:t>
      </w:r>
      <w:r>
        <w:rPr>
          <w:sz w:val="20"/>
          <w:szCs w:val="20"/>
          <w:color w:val="auto"/>
        </w:rPr>
        <w:tab/>
      </w:r>
      <w:r>
        <w:rPr>
          <w:rFonts w:ascii="Arial" w:cs="Arial" w:eastAsia="Arial" w:hAnsi="Arial"/>
          <w:sz w:val="18"/>
          <w:szCs w:val="18"/>
          <w:color w:val="auto"/>
        </w:rPr>
        <w:t>Power of Attorney from Dionisio Romero Paoletti to Dionisio Romero Seminario dated December 16, 1996. (6)</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D.15</w:t>
      </w:r>
      <w:r>
        <w:rPr>
          <w:sz w:val="20"/>
          <w:szCs w:val="20"/>
          <w:color w:val="auto"/>
        </w:rPr>
        <w:tab/>
      </w:r>
      <w:r>
        <w:rPr>
          <w:rFonts w:ascii="Arial" w:cs="Arial" w:eastAsia="Arial" w:hAnsi="Arial"/>
          <w:sz w:val="18"/>
          <w:szCs w:val="18"/>
          <w:color w:val="auto"/>
        </w:rPr>
        <w:t>Power of Attorney from Birmingham Merchant S.A. to Dionisio Romero Seminario dated February 17, 1998. (7)</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D.16</w:t>
      </w:r>
      <w:r>
        <w:rPr>
          <w:sz w:val="20"/>
          <w:szCs w:val="20"/>
          <w:color w:val="auto"/>
        </w:rPr>
        <w:tab/>
      </w:r>
      <w:r>
        <w:rPr>
          <w:rFonts w:ascii="Arial" w:cs="Arial" w:eastAsia="Arial" w:hAnsi="Arial"/>
          <w:sz w:val="18"/>
          <w:szCs w:val="18"/>
          <w:color w:val="auto"/>
        </w:rPr>
        <w:t>Power of Attorney from Urigeler Internacional S.A. to Dionisio Romero Seminario dated December 16, 1996. (6)</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D.17</w:t>
      </w:r>
      <w:r>
        <w:rPr>
          <w:sz w:val="20"/>
          <w:szCs w:val="20"/>
          <w:color w:val="auto"/>
        </w:rPr>
        <w:tab/>
      </w:r>
      <w:r>
        <w:rPr>
          <w:rFonts w:ascii="Arial" w:cs="Arial" w:eastAsia="Arial" w:hAnsi="Arial"/>
          <w:sz w:val="18"/>
          <w:szCs w:val="18"/>
          <w:color w:val="auto"/>
        </w:rPr>
        <w:t>Power of Attorney from Robelis S.A. to Dionisio Romero Seminario dated December 16, 1996. (6)</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D.18</w:t>
      </w:r>
      <w:r>
        <w:rPr>
          <w:sz w:val="20"/>
          <w:szCs w:val="20"/>
          <w:color w:val="auto"/>
        </w:rPr>
        <w:tab/>
      </w:r>
      <w:r>
        <w:rPr>
          <w:rFonts w:ascii="Arial" w:cs="Arial" w:eastAsia="Arial" w:hAnsi="Arial"/>
          <w:sz w:val="18"/>
          <w:szCs w:val="18"/>
          <w:color w:val="auto"/>
        </w:rPr>
        <w:t>Power of Attorney from Vineyard Investment Inc. to Dionisio Romero Seminario dated February 5, 2003.(8)</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D.19</w:t>
      </w:r>
      <w:r>
        <w:rPr>
          <w:sz w:val="20"/>
          <w:szCs w:val="20"/>
          <w:color w:val="auto"/>
        </w:rPr>
        <w:tab/>
      </w:r>
      <w:r>
        <w:rPr>
          <w:rFonts w:ascii="Arial" w:cs="Arial" w:eastAsia="Arial" w:hAnsi="Arial"/>
          <w:sz w:val="18"/>
          <w:szCs w:val="18"/>
          <w:color w:val="auto"/>
        </w:rPr>
        <w:t>Power of Attorney from Belle Company Inc. to Dionisio Romero Seminario dated February 5, 2003.(9)</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D.20</w:t>
      </w:r>
      <w:r>
        <w:rPr>
          <w:sz w:val="20"/>
          <w:szCs w:val="20"/>
          <w:color w:val="auto"/>
        </w:rPr>
        <w:tab/>
      </w:r>
      <w:r>
        <w:rPr>
          <w:rFonts w:ascii="Arial" w:cs="Arial" w:eastAsia="Arial" w:hAnsi="Arial"/>
          <w:sz w:val="18"/>
          <w:szCs w:val="18"/>
          <w:color w:val="auto"/>
        </w:rPr>
        <w:t>Power of Attorney from Sparkling Business Inc. to Dionisio Romero Seminario dated February 5, 2003.(10)</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D.21</w:t>
      </w:r>
      <w:r>
        <w:rPr>
          <w:sz w:val="20"/>
          <w:szCs w:val="20"/>
          <w:color w:val="auto"/>
        </w:rPr>
        <w:tab/>
      </w:r>
      <w:r>
        <w:rPr>
          <w:rFonts w:ascii="Arial" w:cs="Arial" w:eastAsia="Arial" w:hAnsi="Arial"/>
          <w:sz w:val="18"/>
          <w:szCs w:val="18"/>
          <w:color w:val="auto"/>
        </w:rPr>
        <w:t>Power of Attorney from La Roncadora S.A. to Dionisio Romero Seminario dated February 12, 2004.(11)</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D.22</w:t>
      </w:r>
      <w:r>
        <w:rPr>
          <w:sz w:val="20"/>
          <w:szCs w:val="20"/>
          <w:color w:val="auto"/>
        </w:rPr>
        <w:tab/>
      </w:r>
      <w:r>
        <w:rPr>
          <w:rFonts w:ascii="Arial" w:cs="Arial" w:eastAsia="Arial" w:hAnsi="Arial"/>
          <w:sz w:val="18"/>
          <w:szCs w:val="18"/>
          <w:color w:val="auto"/>
        </w:rPr>
        <w:t>Power of Attorney from Arlow Holding Corporation to Dionisio Romero Seminario dated February 8, 2006.(12)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D.23</w:t>
      </w:r>
      <w:r>
        <w:rPr>
          <w:sz w:val="20"/>
          <w:szCs w:val="20"/>
          <w:color w:val="auto"/>
        </w:rPr>
        <w:tab/>
      </w:r>
      <w:r>
        <w:rPr>
          <w:rFonts w:ascii="Arial" w:cs="Arial" w:eastAsia="Arial" w:hAnsi="Arial"/>
          <w:sz w:val="18"/>
          <w:szCs w:val="18"/>
          <w:color w:val="auto"/>
        </w:rPr>
        <w:t>Power of Attorney from Tech American Enterprises Inc. to Dionisio Romero Seminario dated January 12, 2007.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40 of 45 Pages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D.24</w:t>
      </w:r>
      <w:r>
        <w:rPr>
          <w:sz w:val="20"/>
          <w:szCs w:val="20"/>
          <w:color w:val="auto"/>
        </w:rPr>
        <w:tab/>
      </w:r>
      <w:r>
        <w:rPr>
          <w:rFonts w:ascii="Arial" w:cs="Arial" w:eastAsia="Arial" w:hAnsi="Arial"/>
          <w:sz w:val="18"/>
          <w:szCs w:val="18"/>
          <w:color w:val="auto"/>
        </w:rPr>
        <w:t>Power of Attorney from Van Intercorp Inc. to Dionisio Romero Seminario dated January 12, 2007. (14)</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D.25</w:t>
      </w:r>
      <w:r>
        <w:rPr>
          <w:sz w:val="20"/>
          <w:szCs w:val="20"/>
          <w:color w:val="auto"/>
        </w:rPr>
        <w:tab/>
      </w:r>
      <w:r>
        <w:rPr>
          <w:rFonts w:ascii="Arial" w:cs="Arial" w:eastAsia="Arial" w:hAnsi="Arial"/>
          <w:sz w:val="18"/>
          <w:szCs w:val="18"/>
          <w:color w:val="auto"/>
        </w:rPr>
        <w:t>Power of Attorney from Cernical Group S.A. to Dionisio Romero Seminario dated January 12, 2007. (15)</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D.26</w:t>
      </w:r>
      <w:r>
        <w:rPr>
          <w:sz w:val="20"/>
          <w:szCs w:val="20"/>
          <w:color w:val="auto"/>
        </w:rPr>
        <w:tab/>
      </w:r>
      <w:r>
        <w:rPr>
          <w:rFonts w:ascii="Arial" w:cs="Arial" w:eastAsia="Arial" w:hAnsi="Arial"/>
          <w:sz w:val="18"/>
          <w:szCs w:val="18"/>
          <w:color w:val="auto"/>
        </w:rPr>
        <w:t>Power of Attorney from Zuleta Inversionista S.A. to Dionisio Romero Seminario dated May 10, 2013.*</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D.27</w:t>
      </w:r>
      <w:r>
        <w:rPr>
          <w:sz w:val="20"/>
          <w:szCs w:val="20"/>
          <w:color w:val="auto"/>
        </w:rPr>
        <w:tab/>
      </w:r>
      <w:r>
        <w:rPr>
          <w:rFonts w:ascii="Arial" w:cs="Arial" w:eastAsia="Arial" w:hAnsi="Arial"/>
          <w:sz w:val="18"/>
          <w:szCs w:val="18"/>
          <w:color w:val="auto"/>
        </w:rPr>
        <w:t>Power of Attorney from Doce de Octubre S.A. to Dionisio Romero Seminario dated May 11, 2013.*</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D.28</w:t>
      </w:r>
      <w:r>
        <w:rPr>
          <w:sz w:val="20"/>
          <w:szCs w:val="20"/>
          <w:color w:val="auto"/>
        </w:rPr>
        <w:tab/>
      </w:r>
      <w:r>
        <w:rPr>
          <w:rFonts w:ascii="Arial" w:cs="Arial" w:eastAsia="Arial" w:hAnsi="Arial"/>
          <w:sz w:val="18"/>
          <w:szCs w:val="18"/>
          <w:color w:val="auto"/>
        </w:rPr>
        <w:t>Power of Attorney from Eduardo Onrubia Holder to Dionisio Romero Seminario dated May 11, 2013.*</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D.29</w:t>
      </w:r>
      <w:r>
        <w:rPr>
          <w:sz w:val="20"/>
          <w:szCs w:val="20"/>
          <w:color w:val="auto"/>
        </w:rPr>
        <w:tab/>
      </w:r>
      <w:r>
        <w:rPr>
          <w:rFonts w:ascii="Arial" w:cs="Arial" w:eastAsia="Arial" w:hAnsi="Arial"/>
          <w:sz w:val="18"/>
          <w:szCs w:val="18"/>
          <w:color w:val="auto"/>
        </w:rPr>
        <w:t>Power of Attorney from Fernando Onrubia Holder to Dionisio Romero Seminario dated May 11, 2013.*</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D.30</w:t>
      </w:r>
      <w:r>
        <w:rPr>
          <w:sz w:val="20"/>
          <w:szCs w:val="20"/>
          <w:color w:val="auto"/>
        </w:rPr>
        <w:tab/>
      </w:r>
      <w:r>
        <w:rPr>
          <w:rFonts w:ascii="Arial" w:cs="Arial" w:eastAsia="Arial" w:hAnsi="Arial"/>
          <w:sz w:val="18"/>
          <w:szCs w:val="18"/>
          <w:color w:val="auto"/>
        </w:rPr>
        <w:t>Power of Attorney from Luis Romero Belismelis to Dionisio Romero Seminario dated May 11, 2013.*</w:t>
      </w:r>
    </w:p>
    <w:p>
      <w:pPr>
        <w:spacing w:after="0" w:line="211"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D.1 to Amendment No. 6 to Schedule 13G, as filed by the Reporting Persons with the Securities and Exchange Commission on June 5, 2002.</w:t>
      </w:r>
    </w:p>
    <w:p>
      <w:pPr>
        <w:ind w:left="660" w:right="10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D.2 to Amendment No. 6 to Schedule 13G, as filed by the Reporting Persons with the Securities and Exchange Commission on June 5, 2002.</w:t>
      </w:r>
    </w:p>
    <w:p>
      <w:pPr>
        <w:ind w:left="660" w:right="10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D.5 to Amendment No. 6 to Schedule 13G, as filed by the Reporting Persons with the Securities and Exchange Commission on June 5, 2002.</w:t>
      </w:r>
    </w:p>
    <w:p>
      <w:pPr>
        <w:ind w:left="660" w:right="10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D.6 to Amendment No. 6 to Schedule 13G, as filed by the Reporting Persons with the Securities and Exchange Commission on June 5, 2002.</w:t>
      </w:r>
    </w:p>
    <w:p>
      <w:pPr>
        <w:ind w:left="660" w:right="22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Amendment No. 6 to Schedule 13G, as filed by the Reporting Persons with the Securities and Exchange Commission on June 5, 2002.</w:t>
      </w:r>
    </w:p>
    <w:p>
      <w:pPr>
        <w:ind w:left="660" w:right="22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Amendment No. 1 to Schedule 13G, as filed by the Reporting Persons with the Securities and Exchange Commission on February 14, 1997.</w:t>
      </w:r>
    </w:p>
    <w:p>
      <w:pPr>
        <w:ind w:left="660" w:right="22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Amendment No. 2 to Schedule 13G, as filed by the Reporting Persons with the Securities and Exchange Commission on February 17, 1998.</w:t>
      </w:r>
    </w:p>
    <w:p>
      <w:pPr>
        <w:ind w:left="660" w:right="10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D.7 to Amendment No. 7 to Schedule 13G, as filed by the Reporting Persons with the Securities and Exchange Commission on February 19, 2003.</w:t>
      </w:r>
    </w:p>
    <w:p>
      <w:pPr>
        <w:ind w:left="660" w:right="10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D.8 to Amendment No. 7 to Schedule 13G, as filed by the Reporting Persons with the Securities and Exchange Commission on February 19, 2003.</w:t>
      </w:r>
    </w:p>
    <w:p>
      <w:pPr>
        <w:ind w:left="660" w:right="10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D.9 to Amendment No. 7 to Schedule 13G, as filed by the Reporting Persons with the Securities and Exchange Commission on February 19, 2003.</w:t>
      </w:r>
    </w:p>
    <w:p>
      <w:pPr>
        <w:ind w:left="660" w:right="10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D.8 to Amendment No. 8 to Schedule 13G, as filed by the Reporting Persons with the Securities and Exchange Commission on February 18, 2004.</w:t>
      </w:r>
    </w:p>
    <w:p>
      <w:pPr>
        <w:ind w:left="660" w:right="68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D.26 to Amendment No. 10 to Schedule 13G, as filed by the Reporting Persons with the Securities and Exchange Commission on February 13, 2006.</w:t>
      </w:r>
    </w:p>
    <w:p>
      <w:pPr>
        <w:ind w:left="660" w:right="68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D.27 to Amendment No. 11 to Schedule 13G, as filed by the Reporting Persons with the Securities and Exchange Commission on February 13, 2007.</w:t>
      </w:r>
    </w:p>
    <w:p>
      <w:pPr>
        <w:ind w:left="660" w:right="680" w:hanging="652"/>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D.28 to Amendment No. 11 to Schedule 13G, as filed by the Reporting Persons with the Securities and Exchange Commission on February 13, 2007.</w:t>
      </w:r>
    </w:p>
    <w:p>
      <w:pPr>
        <w:ind w:left="660" w:right="680" w:hanging="652"/>
        <w:spacing w:after="0" w:line="261"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D.29 to Amendment No. 11 to Schedule 13G, as filed by the Reporting Persons with the Securities and Exchange Commission on February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0" w:name="page41"/>
    <w:bookmarkEnd w:id="40"/>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41 of 45 Pages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D.26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Zuleta Inversionista S.A., the principal business address of which is Ciudad de Panamá, República de Panamá, does hereby appoint Dionisio Romero Seminario, whose address is Calle Centenario 156, Las Laderas de Melgarejo, La Molina, Lima 12, Peru,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Signed as of the 10th day of May 2013</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ZULETA INVERSIONISTA S.A.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Seminario</w:t>
            </w:r>
          </w:p>
        </w:tc>
      </w:tr>
      <w:tr>
        <w:trPr>
          <w:trHeight w:val="210"/>
        </w:trPr>
        <w:tc>
          <w:tcPr>
            <w:tcW w:w="6860" w:type="dxa"/>
            <w:vAlign w:val="bottom"/>
          </w:tcPr>
          <w:p>
            <w:pPr>
              <w:ind w:left="628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Seminario</w:t>
            </w:r>
          </w:p>
        </w:tc>
      </w:tr>
      <w:tr>
        <w:trPr>
          <w:trHeight w:val="210"/>
        </w:trPr>
        <w:tc>
          <w:tcPr>
            <w:tcW w:w="6860" w:type="dxa"/>
            <w:vAlign w:val="bottom"/>
          </w:tcPr>
          <w:p>
            <w:pPr>
              <w:ind w:left="628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42"/>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1" w:name="page42"/>
    <w:bookmarkEnd w:id="41"/>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42 of 45 Pages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519"/>
        <w:spacing w:after="0" w:line="272" w:lineRule="auto"/>
        <w:rPr>
          <w:sz w:val="20"/>
          <w:szCs w:val="20"/>
          <w:color w:val="auto"/>
        </w:rPr>
      </w:pPr>
      <w:r>
        <w:rPr>
          <w:rFonts w:ascii="Arial" w:cs="Arial" w:eastAsia="Arial" w:hAnsi="Arial"/>
          <w:sz w:val="17"/>
          <w:szCs w:val="17"/>
          <w:color w:val="auto"/>
        </w:rPr>
        <w:t>The undersigned, Doce de Octubre S.A., the principal business address of which is Ciudad de Panamá, República de Panamá, does hereby appoint Dionisio Romero Seminario, whose address is Calle Centenario 156, Las Laderas de Melgarejo, La Molina, Lima 12, Peru,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Signed as of the 11th day of May 2013</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DOCE DE OCTUBRE S.A.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Seminario</w:t>
            </w:r>
          </w:p>
        </w:tc>
      </w:tr>
      <w:tr>
        <w:trPr>
          <w:trHeight w:val="210"/>
        </w:trPr>
        <w:tc>
          <w:tcPr>
            <w:tcW w:w="6860" w:type="dxa"/>
            <w:vAlign w:val="bottom"/>
          </w:tcPr>
          <w:p>
            <w:pPr>
              <w:ind w:left="628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Seminario</w:t>
            </w:r>
          </w:p>
        </w:tc>
      </w:tr>
      <w:tr>
        <w:trPr>
          <w:trHeight w:val="210"/>
        </w:trPr>
        <w:tc>
          <w:tcPr>
            <w:tcW w:w="6860" w:type="dxa"/>
            <w:vAlign w:val="bottom"/>
          </w:tcPr>
          <w:p>
            <w:pPr>
              <w:ind w:left="628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858"/>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2" w:name="page43"/>
    <w:bookmarkEnd w:id="42"/>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43 of 45 Pages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D.28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519"/>
        <w:spacing w:after="0" w:line="255" w:lineRule="auto"/>
        <w:rPr>
          <w:sz w:val="20"/>
          <w:szCs w:val="20"/>
          <w:color w:val="auto"/>
        </w:rPr>
      </w:pPr>
      <w:r>
        <w:rPr>
          <w:rFonts w:ascii="Arial" w:cs="Arial" w:eastAsia="Arial" w:hAnsi="Arial"/>
          <w:sz w:val="18"/>
          <w:szCs w:val="18"/>
          <w:color w:val="auto"/>
        </w:rPr>
        <w:t xml:space="preserve">The undersigned, Eduardo Onrubia Holder, an individual whose address is </w:t>
      </w:r>
      <w:r>
        <w:rPr>
          <w:rFonts w:ascii="Arial" w:cs="Arial" w:eastAsia="Arial" w:hAnsi="Arial"/>
          <w:sz w:val="18"/>
          <w:szCs w:val="18"/>
          <w:color w:val="29292A"/>
        </w:rPr>
        <w:t>Avenida Argentina No. 2833, Callao, Perú,</w:t>
      </w:r>
      <w:r>
        <w:rPr>
          <w:rFonts w:ascii="Arial" w:cs="Arial" w:eastAsia="Arial" w:hAnsi="Arial"/>
          <w:sz w:val="18"/>
          <w:szCs w:val="18"/>
          <w:color w:val="auto"/>
        </w:rPr>
        <w:t xml:space="preserve"> does hereby appoint Dionisio Romero Seminario, whose address is Calle Centenario 156, Las Laderas de Melgarejo, La Molina, Lima 12, Peru,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Signed as of the 11th day of May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Eduardo Onrubia Holder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Eduardo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44 of 45 Pages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D.29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519"/>
        <w:spacing w:after="0" w:line="255" w:lineRule="auto"/>
        <w:rPr>
          <w:sz w:val="20"/>
          <w:szCs w:val="20"/>
          <w:color w:val="auto"/>
        </w:rPr>
      </w:pPr>
      <w:r>
        <w:rPr>
          <w:rFonts w:ascii="Arial" w:cs="Arial" w:eastAsia="Arial" w:hAnsi="Arial"/>
          <w:sz w:val="18"/>
          <w:szCs w:val="18"/>
          <w:color w:val="auto"/>
        </w:rPr>
        <w:t>The undersigned, Fernando Onrubia Holder, an individual whose address is Av. Argentina No. 4793, Carmen de la Legua, Callao, Lima, Peru, does hereby appoint Dionisio Romero Seminario, whose address is Calle Centenario 156, Las Laderas de Melgarejo, La Molina, Lima 12, Peru,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Signed as of the 11th day of May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Fernando Onrubia Holder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Fernando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tabs>
          <w:tab w:leader="none" w:pos="4920" w:val="left"/>
          <w:tab w:leader="none" w:pos="9640" w:val="left"/>
        </w:tabs>
        <w:rPr>
          <w:sz w:val="20"/>
          <w:szCs w:val="20"/>
          <w:color w:val="auto"/>
        </w:rPr>
      </w:pPr>
      <w:r>
        <w:rPr>
          <w:rFonts w:ascii="Arial" w:cs="Arial" w:eastAsia="Arial" w:hAnsi="Arial"/>
          <w:sz w:val="22"/>
          <w:szCs w:val="22"/>
          <w:color w:val="auto"/>
        </w:rPr>
        <w:t>CUSIP No. G2519Y108</w:t>
      </w:r>
      <w:r>
        <w:rPr>
          <w:sz w:val="20"/>
          <w:szCs w:val="20"/>
          <w:color w:val="auto"/>
        </w:rPr>
        <w:tab/>
      </w:r>
      <w:r>
        <w:rPr>
          <w:rFonts w:ascii="Arial" w:cs="Arial" w:eastAsia="Arial" w:hAnsi="Arial"/>
          <w:sz w:val="22"/>
          <w:szCs w:val="22"/>
          <w:color w:val="auto"/>
        </w:rPr>
        <w:t>SCHEDULE 13G</w:t>
      </w:r>
      <w:r>
        <w:rPr>
          <w:sz w:val="20"/>
          <w:szCs w:val="20"/>
          <w:color w:val="auto"/>
        </w:rPr>
        <w:tab/>
      </w:r>
      <w:r>
        <w:rPr>
          <w:rFonts w:ascii="Arial" w:cs="Arial" w:eastAsia="Arial" w:hAnsi="Arial"/>
          <w:sz w:val="18"/>
          <w:szCs w:val="18"/>
          <w:color w:val="auto"/>
        </w:rPr>
        <w:t>Page 45 of 45 Pages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D.30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40" w:firstLine="519"/>
        <w:spacing w:after="0" w:line="255" w:lineRule="auto"/>
        <w:rPr>
          <w:sz w:val="20"/>
          <w:szCs w:val="20"/>
          <w:color w:val="auto"/>
        </w:rPr>
      </w:pPr>
      <w:r>
        <w:rPr>
          <w:rFonts w:ascii="Arial" w:cs="Arial" w:eastAsia="Arial" w:hAnsi="Arial"/>
          <w:sz w:val="18"/>
          <w:szCs w:val="18"/>
          <w:color w:val="auto"/>
        </w:rPr>
        <w:t>The undersigned, Luis Romero Belismelis, an individual whose address is Calle Francisco Graña No. 120, Urb. Santa Catalina, La Victoria, Lima 13, Perú, does hereby appoint Dionisio Romero Seminario, whose address is Calle Centenario 156, Las Laderas de Melgarejo, La Molina, Lima 12, Peru,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Signed as of the 11th day of May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Luis Romero Belismelis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2A487CB0"/>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4">
    <w:nsid w:val="1D4ED43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5">
    <w:nsid w:val="725A06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2CD89A32"/>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7">
    <w:nsid w:val="57E4CCAF"/>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7A6D8D3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4B588F54"/>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10">
    <w:nsid w:val="542289E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1">
    <w:nsid w:val="6DE91B1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
    <w:nsid w:val="38437FDB"/>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13">
    <w:nsid w:val="7644A45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4">
    <w:nsid w:val="32FFF90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5">
    <w:nsid w:val="684A481A"/>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16">
    <w:nsid w:val="579478F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7">
    <w:nsid w:val="749ABB4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8">
    <w:nsid w:val="3DC240FB"/>
    <w:multiLevelType w:val="hybridMultilevel"/>
    <w:lvl w:ilvl="0">
      <w:lvlJc w:val="left"/>
      <w:lvlText w:val="%1"/>
      <w:numFmt w:val="decimal"/>
      <w:start w:val="1"/>
    </w:lvl>
    <w:lvl w:ilvl="1">
      <w:lvlJc w:val="left"/>
      <w:lvlText w:val="(%2)"/>
      <w:numFmt w:val="decimal"/>
      <w:start w:val="6"/>
    </w:lvl>
  </w:abstractNum>
  <w:abstractNum w:abstractNumId="19">
    <w:nsid w:val="1BA026FA"/>
    <w:multiLevelType w:val="hybridMultilevel"/>
    <w:lvl w:ilvl="0">
      <w:lvlJc w:val="left"/>
      <w:lvlText w:val="(%1)"/>
      <w:numFmt w:val="decimal"/>
      <w:start w:val="9"/>
    </w:lvl>
    <w:lvl w:ilvl="1">
      <w:lvlJc w:val="left"/>
      <w:lvlText w:val="%2"/>
      <w:numFmt w:val="decimal"/>
      <w:start w:val="1"/>
    </w:lvl>
  </w:abstractNum>
  <w:abstractNum w:abstractNumId="20">
    <w:nsid w:val="79A1DEA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1">
    <w:nsid w:val="75C6C33A"/>
    <w:multiLevelType w:val="hybridMultilevel"/>
    <w:lvl w:ilvl="0">
      <w:lvlJc w:val="left"/>
      <w:lvlText w:val="%1"/>
      <w:numFmt w:val="decimal"/>
      <w:start w:val="1"/>
    </w:lvl>
    <w:lvl w:ilvl="1">
      <w:lvlJc w:val="left"/>
      <w:lvlText w:val="(%2)"/>
      <w:numFmt w:val="decimal"/>
      <w:start w:val="6"/>
    </w:lvl>
  </w:abstractNum>
  <w:abstractNum w:abstractNumId="22">
    <w:nsid w:val="12E685FB"/>
    <w:multiLevelType w:val="hybridMultilevel"/>
    <w:lvl w:ilvl="0">
      <w:lvlJc w:val="left"/>
      <w:lvlText w:val="(%1)"/>
      <w:numFmt w:val="decimal"/>
      <w:start w:val="9"/>
    </w:lvl>
    <w:lvl w:ilvl="1">
      <w:lvlJc w:val="left"/>
      <w:lvlText w:val="%2"/>
      <w:numFmt w:val="decimal"/>
      <w:start w:val="1"/>
    </w:lvl>
  </w:abstractNum>
  <w:abstractNum w:abstractNumId="23">
    <w:nsid w:val="70C6A52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4">
    <w:nsid w:val="520EEDD1"/>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25">
    <w:nsid w:val="374A3FE6"/>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6">
    <w:nsid w:val="4F4EF0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7">
    <w:nsid w:val="23F9C13C"/>
    <w:multiLevelType w:val="hybridMultilevel"/>
    <w:lvl w:ilvl="0">
      <w:lvlJc w:val="left"/>
      <w:lvlText w:val="%1"/>
      <w:numFmt w:val="decimal"/>
      <w:start w:val="1"/>
    </w:lvl>
    <w:lvl w:ilvl="1">
      <w:lvlJc w:val="left"/>
      <w:lvlText w:val="(%2)"/>
      <w:numFmt w:val="decimal"/>
      <w:start w:val="6"/>
    </w:lvl>
  </w:abstractNum>
  <w:abstractNum w:abstractNumId="28">
    <w:nsid w:val="649BB77C"/>
    <w:multiLevelType w:val="hybridMultilevel"/>
    <w:lvl w:ilvl="0">
      <w:lvlJc w:val="left"/>
      <w:lvlText w:val="(%1)"/>
      <w:numFmt w:val="decimal"/>
      <w:start w:val="9"/>
    </w:lvl>
    <w:lvl w:ilvl="1">
      <w:lvlJc w:val="left"/>
      <w:lvlText w:val="%2"/>
      <w:numFmt w:val="decimal"/>
      <w:start w:val="1"/>
    </w:lvl>
  </w:abstractNum>
  <w:abstractNum w:abstractNumId="29">
    <w:nsid w:val="275AC79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0">
    <w:nsid w:val="39386575"/>
    <w:multiLevelType w:val="hybridMultilevel"/>
    <w:lvl w:ilvl="0">
      <w:lvlJc w:val="left"/>
      <w:lvlText w:val="%1"/>
      <w:numFmt w:val="decimal"/>
      <w:start w:val="1"/>
    </w:lvl>
    <w:lvl w:ilvl="1">
      <w:lvlJc w:val="left"/>
      <w:lvlText w:val="(%2)"/>
      <w:numFmt w:val="decimal"/>
      <w:start w:val="6"/>
    </w:lvl>
  </w:abstractNum>
  <w:abstractNum w:abstractNumId="31">
    <w:nsid w:val="1CF10FD8"/>
    <w:multiLevelType w:val="hybridMultilevel"/>
    <w:lvl w:ilvl="0">
      <w:lvlJc w:val="left"/>
      <w:lvlText w:val="(%1)"/>
      <w:numFmt w:val="decimal"/>
      <w:start w:val="9"/>
    </w:lvl>
    <w:lvl w:ilvl="1">
      <w:lvlJc w:val="left"/>
      <w:lvlText w:val="%2"/>
      <w:numFmt w:val="decimal"/>
      <w:start w:val="1"/>
    </w:lvl>
  </w:abstractNum>
  <w:abstractNum w:abstractNumId="32">
    <w:nsid w:val="180115BE"/>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3">
    <w:nsid w:val="235BA861"/>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34">
    <w:nsid w:val="47398C89"/>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35">
    <w:nsid w:val="354FE9F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6">
    <w:nsid w:val="15B5AF5C"/>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37">
    <w:nsid w:val="741226B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38">
    <w:nsid w:val="D34B6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9">
    <w:nsid w:val="10233C99"/>
    <w:multiLevelType w:val="hybridMultilevel"/>
    <w:lvl w:ilvl="0">
      <w:lvlJc w:val="left"/>
      <w:lvlText w:val="%1"/>
      <w:numFmt w:val="decimal"/>
      <w:start w:val="1"/>
    </w:lvl>
    <w:lvl w:ilvl="1">
      <w:lvlJc w:val="left"/>
      <w:lvlText w:val="(%2)"/>
      <w:numFmt w:val="decimal"/>
      <w:start w:val="6"/>
    </w:lvl>
  </w:abstractNum>
  <w:abstractNum w:abstractNumId="40">
    <w:nsid w:val="3F6AB60F"/>
    <w:multiLevelType w:val="hybridMultilevel"/>
    <w:lvl w:ilvl="0">
      <w:lvlJc w:val="left"/>
      <w:lvlText w:val="(%1)"/>
      <w:numFmt w:val="decimal"/>
      <w:start w:val="9"/>
    </w:lvl>
    <w:lvl w:ilvl="1">
      <w:lvlJc w:val="left"/>
      <w:lvlText w:val="%2"/>
      <w:numFmt w:val="decimal"/>
      <w:start w:val="1"/>
    </w:lvl>
  </w:abstractNum>
  <w:abstractNum w:abstractNumId="41">
    <w:nsid w:val="6157409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2">
    <w:nsid w:val="7E0C57B1"/>
    <w:multiLevelType w:val="hybridMultilevel"/>
    <w:lvl w:ilvl="0">
      <w:lvlJc w:val="left"/>
      <w:lvlText w:val="%1"/>
      <w:numFmt w:val="decimal"/>
      <w:start w:val="1"/>
    </w:lvl>
    <w:lvl w:ilvl="1">
      <w:lvlJc w:val="left"/>
      <w:lvlText w:val="(%2)"/>
      <w:numFmt w:val="decimal"/>
      <w:start w:val="6"/>
    </w:lvl>
  </w:abstractNum>
  <w:abstractNum w:abstractNumId="43">
    <w:nsid w:val="77AE35EB"/>
    <w:multiLevelType w:val="hybridMultilevel"/>
    <w:lvl w:ilvl="0">
      <w:lvlJc w:val="left"/>
      <w:lvlText w:val="(%1)"/>
      <w:numFmt w:val="decimal"/>
      <w:start w:val="9"/>
    </w:lvl>
    <w:lvl w:ilvl="1">
      <w:lvlJc w:val="left"/>
      <w:lvlText w:val="%2"/>
      <w:numFmt w:val="decimal"/>
      <w:start w:val="1"/>
    </w:lvl>
  </w:abstractNum>
  <w:abstractNum w:abstractNumId="44">
    <w:nsid w:val="579BE4F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5">
    <w:nsid w:val="310C50B3"/>
    <w:multiLevelType w:val="hybridMultilevel"/>
    <w:lvl w:ilvl="0">
      <w:lvlJc w:val="left"/>
      <w:lvlText w:val="%1"/>
      <w:numFmt w:val="decimal"/>
      <w:start w:val="1"/>
    </w:lvl>
    <w:lvl w:ilvl="1">
      <w:lvlJc w:val="left"/>
      <w:lvlText w:val="(%2)"/>
      <w:numFmt w:val="decimal"/>
      <w:start w:val="6"/>
    </w:lvl>
  </w:abstractNum>
  <w:abstractNum w:abstractNumId="46">
    <w:nsid w:val="5FF87E05"/>
    <w:multiLevelType w:val="hybridMultilevel"/>
    <w:lvl w:ilvl="0">
      <w:lvlJc w:val="left"/>
      <w:lvlText w:val="(%1)"/>
      <w:numFmt w:val="decimal"/>
      <w:start w:val="9"/>
    </w:lvl>
    <w:lvl w:ilvl="1">
      <w:lvlJc w:val="left"/>
      <w:lvlText w:val="%2"/>
      <w:numFmt w:val="decimal"/>
      <w:start w:val="1"/>
    </w:lvl>
  </w:abstractNum>
  <w:abstractNum w:abstractNumId="47">
    <w:nsid w:val="2F305DE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8">
    <w:nsid w:val="25A70BF7"/>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49">
    <w:nsid w:val="1DBABF00"/>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50">
    <w:nsid w:val="4AD084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1">
    <w:nsid w:val="1F48EAA1"/>
    <w:multiLevelType w:val="hybridMultilevel"/>
    <w:lvl w:ilvl="0">
      <w:lvlJc w:val="left"/>
      <w:lvlText w:val="%1"/>
      <w:numFmt w:val="decimal"/>
      <w:start w:val="1"/>
    </w:lvl>
    <w:lvl w:ilvl="1">
      <w:lvlJc w:val="left"/>
      <w:lvlText w:val="(%2)"/>
      <w:numFmt w:val="decimal"/>
      <w:start w:val="6"/>
    </w:lvl>
  </w:abstractNum>
  <w:abstractNum w:abstractNumId="52">
    <w:nsid w:val="1381823A"/>
    <w:multiLevelType w:val="hybridMultilevel"/>
    <w:lvl w:ilvl="0">
      <w:lvlJc w:val="left"/>
      <w:lvlText w:val="(%1)"/>
      <w:numFmt w:val="decimal"/>
      <w:start w:val="9"/>
    </w:lvl>
    <w:lvl w:ilvl="1">
      <w:lvlJc w:val="left"/>
      <w:lvlText w:val="%2"/>
      <w:numFmt w:val="decimal"/>
      <w:start w:val="1"/>
    </w:lvl>
  </w:abstractNum>
  <w:abstractNum w:abstractNumId="53">
    <w:nsid w:val="5DB70AE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4">
    <w:nsid w:val="100F8FCA"/>
    <w:multiLevelType w:val="hybridMultilevel"/>
    <w:lvl w:ilvl="0">
      <w:lvlJc w:val="left"/>
      <w:lvlText w:val="%1"/>
      <w:numFmt w:val="decimal"/>
      <w:start w:val="1"/>
    </w:lvl>
    <w:lvl w:ilvl="1">
      <w:lvlJc w:val="left"/>
      <w:lvlText w:val="(%2)"/>
      <w:numFmt w:val="decimal"/>
      <w:start w:val="6"/>
    </w:lvl>
  </w:abstractNum>
  <w:abstractNum w:abstractNumId="55">
    <w:nsid w:val="6590700B"/>
    <w:multiLevelType w:val="hybridMultilevel"/>
    <w:lvl w:ilvl="0">
      <w:lvlJc w:val="left"/>
      <w:lvlText w:val="(%1)"/>
      <w:numFmt w:val="decimal"/>
      <w:start w:val="9"/>
    </w:lvl>
    <w:lvl w:ilvl="1">
      <w:lvlJc w:val="left"/>
      <w:lvlText w:val="%2"/>
      <w:numFmt w:val="decimal"/>
      <w:start w:val="1"/>
    </w:lvl>
  </w:abstractNum>
  <w:abstractNum w:abstractNumId="56">
    <w:nsid w:val="15014AC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7">
    <w:nsid w:val="5F5E7FD0"/>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58">
    <w:nsid w:val="98A3148"/>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59">
    <w:nsid w:val="799D024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0">
    <w:nsid w:val="6B94764"/>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61">
    <w:nsid w:val="42C296BD"/>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2">
    <w:nsid w:val="168E121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3">
    <w:nsid w:val="1EBA5D23"/>
    <w:multiLevelType w:val="hybridMultilevel"/>
    <w:lvl w:ilvl="0">
      <w:lvlJc w:val="left"/>
      <w:lvlText w:val="%1"/>
      <w:numFmt w:val="decimal"/>
      <w:start w:val="1"/>
    </w:lvl>
    <w:lvl w:ilvl="1">
      <w:lvlJc w:val="left"/>
      <w:lvlText w:val="(%2)"/>
      <w:numFmt w:val="decimal"/>
      <w:start w:val="6"/>
    </w:lvl>
  </w:abstractNum>
  <w:abstractNum w:abstractNumId="64">
    <w:nsid w:val="661E3F1E"/>
    <w:multiLevelType w:val="hybridMultilevel"/>
    <w:lvl w:ilvl="0">
      <w:lvlJc w:val="left"/>
      <w:lvlText w:val="(%1)"/>
      <w:numFmt w:val="decimal"/>
      <w:start w:val="9"/>
    </w:lvl>
    <w:lvl w:ilvl="1">
      <w:lvlJc w:val="left"/>
      <w:lvlText w:val="%2"/>
      <w:numFmt w:val="decimal"/>
      <w:start w:val="1"/>
    </w:lvl>
  </w:abstractNum>
  <w:abstractNum w:abstractNumId="65">
    <w:nsid w:val="5DC79E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6">
    <w:nsid w:val="540A471C"/>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67">
    <w:nsid w:val="7BD3EE7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8">
    <w:nsid w:val="51D9C5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9">
    <w:nsid w:val="613EFDC5"/>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70">
    <w:nsid w:val="BF72B14"/>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71">
    <w:nsid w:val="11447B7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2">
    <w:nsid w:val="42963E5A"/>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73">
    <w:nsid w:val="A0382C5"/>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74">
    <w:nsid w:val="8F2B1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5">
    <w:nsid w:val="1A32234B"/>
    <w:multiLevelType w:val="hybridMultilevel"/>
    <w:lvl w:ilvl="0">
      <w:lvlJc w:val="left"/>
      <w:lvlText w:val="*"/>
      <w:numFmt w:val="bullet"/>
      <w:start w:val="1"/>
    </w:lvl>
    <w:lvl w:ilvl="1">
      <w:lvlJc w:val="left"/>
      <w:lvlText w:val="%2"/>
      <w:numFmt w:val="decimal"/>
      <w:start w:val="1"/>
    </w:lvl>
    <w:lvl w:ilvl="2">
      <w:lvlJc w:val="left"/>
      <w:lvlText w:val="(%3)"/>
      <w:numFmt w:val="decimal"/>
      <w:start w:val="6"/>
    </w:lvl>
  </w:abstractNum>
  <w:abstractNum w:abstractNumId="76">
    <w:nsid w:val="3B0FD379"/>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77">
    <w:nsid w:val="68EB2F63"/>
    <w:multiLevelType w:val="hybridMultilevel"/>
    <w:lvl w:ilvl="0">
      <w:lvlJc w:val="left"/>
      <w:lvlText w:val="(%1)"/>
      <w:numFmt w:val="lowerLetter"/>
      <w:start w:val="3"/>
    </w:lvl>
    <w:lvl w:ilvl="1">
      <w:lvlJc w:val="left"/>
      <w:lvlText w:val="(%2)"/>
      <w:numFmt w:val="lowerLetter"/>
      <w:start w:val="9"/>
    </w:lvl>
  </w:abstractNum>
  <w:abstractNum w:abstractNumId="78">
    <w:nsid w:val="4962813B"/>
    <w:multiLevelType w:val="hybridMultilevel"/>
    <w:lvl w:ilvl="0">
      <w:lvlJc w:val="left"/>
      <w:lvlText w:val="(%1)"/>
      <w:numFmt w:val="lowerRoman"/>
      <w:start w:val="3"/>
    </w:lvl>
  </w:abstractNum>
  <w:abstractNum w:abstractNumId="79">
    <w:nsid w:val="60B6DF70"/>
    <w:multiLevelType w:val="hybridMultilevel"/>
    <w:lvl w:ilvl="0">
      <w:lvlJc w:val="left"/>
      <w:lvlText w:val="(%1)"/>
      <w:numFmt w:val="lowerRoman"/>
      <w:start w:val="4"/>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2019-12-06T15:03:51Z</dcterms:created>
  <dcterms:modified xsi:type="dcterms:W3CDTF">2019-12-06T15:03:51Z</dcterms:modified>
</cp:coreProperties>
</file>