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2"/>
          <w:szCs w:val="22"/>
          <w:b w:val="1"/>
          <w:bCs w:val="1"/>
          <w:color w:val="auto"/>
        </w:rPr>
        <w:t>SECURITIES AND EXCHANGE COMMISSION</w:t>
      </w:r>
    </w:p>
    <w:p>
      <w:pPr>
        <w:spacing w:after="0" w:line="1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-260985</wp:posOffset>
            </wp:positionH>
            <wp:positionV relativeFrom="paragraph">
              <wp:posOffset>210820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FORM 6-K</w:t>
      </w:r>
    </w:p>
    <w:p>
      <w:pPr>
        <w:spacing w:after="0" w:line="246"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Pursuant to Rule 13a-16 or 15d-16 of the</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Securities Exchange Act of 1934</w:t>
      </w:r>
    </w:p>
    <w:p>
      <w:pPr>
        <w:spacing w:after="0" w:line="23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month of November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-260985</wp:posOffset>
            </wp:positionH>
            <wp:positionV relativeFrom="paragraph">
              <wp:posOffset>240665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CREDICORP LTD.</w:t>
      </w:r>
    </w:p>
    <w:p>
      <w:pPr>
        <w:spacing w:after="0" w:line="1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38" w:lineRule="exact"/>
        <w:rPr>
          <w:sz w:val="24"/>
          <w:szCs w:val="24"/>
          <w:color w:val="auto"/>
        </w:rPr>
      </w:pPr>
    </w:p>
    <w:p>
      <w:pPr>
        <w:jc w:val="center"/>
        <w:ind w:right="12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 20-F x Form 40-F o</w:t>
      </w:r>
    </w:p>
    <w:p>
      <w:pPr>
        <w:spacing w:after="0" w:line="252"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-262890</wp:posOffset>
            </wp:positionH>
            <wp:positionV relativeFrom="paragraph">
              <wp:posOffset>235585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660" w:top="463" w:right="619" w:bottom="1440" w:gutter="0" w:footer="0" w:header="0"/>
        </w:sectPr>
      </w:pPr>
    </w:p>
    <w:bookmarkStart w:id="1" w:name="page2"/>
    <w:bookmarkEnd w:id="1"/>
    <w:p>
      <w:pPr>
        <w:spacing w:after="0" w:line="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6117590</wp:posOffset>
            </wp:positionH>
            <wp:positionV relativeFrom="page">
              <wp:posOffset>88900</wp:posOffset>
            </wp:positionV>
            <wp:extent cx="1286510" cy="377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286510" cy="3771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November 25, 2009</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COMISIÓN NACIONAL SUPERVISORA</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 EMPRESAS Y VALORES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CONASEV</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79"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CREDICORP LTD., in accordance with article 28 of the Peruvian Capital Markets Law and CONASEV Resolution for Material Events and Reserved Information and Other Communications number 107-2002-EF/94.10, as modified by CONASEV Resolution number 009-2003-EF/94.10, complies with notifying you of the following Material Event:</w:t>
      </w:r>
    </w:p>
    <w:p>
      <w:pPr>
        <w:spacing w:after="0" w:line="209"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In its session held on November 25, 2009, Credicorp’s Board of Directors designated Mr. Mario Ferrari Quiñe as Corporate Secretary and Secretary of Credicorp’s Board of Directors. Mr. Ferrari will replace Mr. Fernando Palao Alvarez who decided to retire.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Furthermore, the Board also appointed Mr. Ferrari as Credicorp’s Stock Market Representative, a role that Mr. Palao Alvarez also performed.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This decision will be effective on January 1, 2010.</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Fernando Palao</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553085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November 25, 2009</w:t>
      </w:r>
    </w:p>
    <w:p>
      <w:pPr>
        <w:spacing w:after="0" w:line="25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CREDICORP LTD.</w:t>
      </w:r>
    </w:p>
    <w:p>
      <w:pPr>
        <w:spacing w:after="0" w:line="200" w:lineRule="exact"/>
        <w:rPr>
          <w:sz w:val="20"/>
          <w:szCs w:val="20"/>
          <w:color w:val="auto"/>
        </w:rPr>
      </w:pPr>
    </w:p>
    <w:p>
      <w:pPr>
        <w:spacing w:after="0" w:line="26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/s/ Giuliana Cuzquen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14605</wp:posOffset>
            </wp:positionV>
            <wp:extent cx="35077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07740" cy="17145"/>
                    </a:xfrm>
                    <a:prstGeom prst="rect">
                      <a:avLst/>
                    </a:prstGeom>
                    <a:noFill/>
                  </pic:spPr>
                </pic:pic>
              </a:graphicData>
            </a:graphic>
          </wp:anchor>
        </w:drawing>
      </w:r>
    </w:p>
    <w:p>
      <w:pPr>
        <w:spacing w:after="0" w:line="12"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Giuliana Cuzquen</w:t>
      </w:r>
    </w:p>
    <w:p>
      <w:pPr>
        <w:spacing w:after="0" w:line="27"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2019-12-10T13:36:34Z</dcterms:created>
  <dcterms:modified xsi:type="dcterms:W3CDTF">2019-12-10T13:36:34Z</dcterms:modified>
</cp:coreProperties>
</file>