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22"/>
          <w:szCs w:val="22"/>
          <w:b w:val="1"/>
          <w:bCs w:val="1"/>
          <w:color w:val="auto"/>
        </w:rPr>
        <w:t>SECURITIES AND EXCHANGE COMMISSION</w:t>
      </w:r>
    </w:p>
    <w:p>
      <w:pPr>
        <w:spacing w:after="0" w:line="1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-260985</wp:posOffset>
            </wp:positionH>
            <wp:positionV relativeFrom="paragraph">
              <wp:posOffset>210820</wp:posOffset>
            </wp:positionV>
            <wp:extent cx="72637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2"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FORM 6-K</w:t>
      </w:r>
    </w:p>
    <w:p>
      <w:pPr>
        <w:spacing w:after="0" w:line="246"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Pursuant to Rule 13a-16 or 15d-16 of the</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Securities Exchange Act of 1934</w:t>
      </w:r>
    </w:p>
    <w:p>
      <w:pPr>
        <w:spacing w:after="0" w:line="234"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For the month of April 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-260985</wp:posOffset>
            </wp:positionH>
            <wp:positionV relativeFrom="paragraph">
              <wp:posOffset>377825</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2" w:lineRule="exact"/>
        <w:rPr>
          <w:sz w:val="24"/>
          <w:szCs w:val="24"/>
          <w:color w:val="auto"/>
        </w:rPr>
      </w:pPr>
    </w:p>
    <w:p>
      <w:pPr>
        <w:jc w:val="center"/>
        <w:ind w:right="60"/>
        <w:spacing w:after="0"/>
        <w:rPr>
          <w:sz w:val="20"/>
          <w:szCs w:val="20"/>
          <w:color w:val="auto"/>
        </w:rPr>
      </w:pPr>
      <w:r>
        <w:rPr>
          <w:rFonts w:ascii="Arial" w:cs="Arial" w:eastAsia="Arial" w:hAnsi="Arial"/>
          <w:sz w:val="22"/>
          <w:szCs w:val="22"/>
          <w:b w:val="1"/>
          <w:bCs w:val="1"/>
          <w:color w:val="auto"/>
        </w:rPr>
        <w:t>CREDICORP LTD.</w:t>
      </w:r>
    </w:p>
    <w:p>
      <w:pPr>
        <w:spacing w:after="0" w:line="1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318"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Clarendon House</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Church Street</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Hamilton HM 11 Bermuda</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(Address of principal executive office)</w:t>
      </w:r>
    </w:p>
    <w:p>
      <w:pPr>
        <w:spacing w:after="0" w:line="238" w:lineRule="exact"/>
        <w:rPr>
          <w:sz w:val="24"/>
          <w:szCs w:val="24"/>
          <w:color w:val="auto"/>
        </w:rPr>
      </w:pPr>
    </w:p>
    <w:p>
      <w:pPr>
        <w:jc w:val="center"/>
        <w:ind w:right="120"/>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52"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Form 20-F x Form 40-F o</w:t>
      </w:r>
    </w:p>
    <w:p>
      <w:pPr>
        <w:spacing w:after="0" w:line="252" w:lineRule="exact"/>
        <w:rPr>
          <w:sz w:val="24"/>
          <w:szCs w:val="24"/>
          <w:color w:val="auto"/>
        </w:rPr>
      </w:pPr>
    </w:p>
    <w:p>
      <w:pPr>
        <w:jc w:val="center"/>
        <w:spacing w:after="0" w:line="277"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97"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Yes o No 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-262890</wp:posOffset>
            </wp:positionH>
            <wp:positionV relativeFrom="paragraph">
              <wp:posOffset>424180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660" w:top="463" w:right="619" w:bottom="1440" w:gutter="0" w:footer="0" w:header="0"/>
        </w:sectPr>
      </w:pPr>
    </w:p>
    <w:bookmarkStart w:id="1" w:name="page2"/>
    <w:bookmarkEnd w:id="1"/>
    <w:p>
      <w:pPr>
        <w:spacing w:after="0" w:line="11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5852160</wp:posOffset>
            </wp:positionH>
            <wp:positionV relativeFrom="page">
              <wp:posOffset>337820</wp:posOffset>
            </wp:positionV>
            <wp:extent cx="1551940" cy="5060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1551940" cy="50609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April 01, 2009</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COMISIÓN NACIONAL SUPERVISORA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 EMPRESAS Y VALORES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CONASEV</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Re.: MATERIAL EVENT</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CREDICORP LTD., in accordance with article 28 of the Capital Markets Law and CONASEV Resolution for Material Events and Reserved Information and Other Communications number 107-2002-EF/94.10, as modified by CONASEV Resolution number 009-2003-EF/94.10, complies with notifying you of the following Material Event:</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Credicorp’s Board of Directors, in its session held on March 31, 2009 appointed me as Credicorp’s Legal Representative for all communications to CONASEV that require this faculty. Furthermore, I am also Credicorp’s Stock Market Representative.</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Yours faithfully,</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Fernando Palao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535305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00" w:lineRule="exact"/>
        <w:rPr>
          <w:sz w:val="20"/>
          <w:szCs w:val="20"/>
          <w:color w:val="auto"/>
        </w:rPr>
      </w:pPr>
    </w:p>
    <w:p>
      <w:pPr>
        <w:spacing w:after="0" w:line="299"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Date: April 08, 2009</w:t>
      </w:r>
    </w:p>
    <w:p>
      <w:pPr>
        <w:spacing w:after="0" w:line="200" w:lineRule="exact"/>
        <w:rPr>
          <w:sz w:val="20"/>
          <w:szCs w:val="20"/>
          <w:color w:val="auto"/>
        </w:rPr>
      </w:pPr>
    </w:p>
    <w:p>
      <w:pPr>
        <w:spacing w:after="0" w:line="268"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CREDICORP LTD.</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By:  /s/ Guillermo Castillo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3743960</wp:posOffset>
            </wp:positionH>
            <wp:positionV relativeFrom="paragraph">
              <wp:posOffset>14605</wp:posOffset>
            </wp:positionV>
            <wp:extent cx="350774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507740" cy="17145"/>
                    </a:xfrm>
                    <a:prstGeom prst="rect">
                      <a:avLst/>
                    </a:prstGeom>
                    <a:noFill/>
                  </pic:spPr>
                </pic:pic>
              </a:graphicData>
            </a:graphic>
          </wp:anchor>
        </w:drawing>
      </w:r>
    </w:p>
    <w:p>
      <w:pPr>
        <w:spacing w:after="0" w:line="12" w:lineRule="exact"/>
        <w:rPr>
          <w:sz w:val="20"/>
          <w:szCs w:val="20"/>
          <w:color w:val="auto"/>
        </w:rPr>
      </w:pPr>
    </w:p>
    <w:p>
      <w:pPr>
        <w:ind w:left="5900"/>
        <w:spacing w:after="0"/>
        <w:rPr>
          <w:sz w:val="20"/>
          <w:szCs w:val="20"/>
          <w:color w:val="auto"/>
        </w:rPr>
      </w:pPr>
      <w:r>
        <w:rPr>
          <w:rFonts w:ascii="Arial" w:cs="Arial" w:eastAsia="Arial" w:hAnsi="Arial"/>
          <w:sz w:val="18"/>
          <w:szCs w:val="18"/>
          <w:b w:val="1"/>
          <w:bCs w:val="1"/>
          <w:color w:val="auto"/>
        </w:rPr>
        <w:t>Guillermo Castillo</w:t>
      </w:r>
    </w:p>
    <w:p>
      <w:pPr>
        <w:spacing w:after="0" w:line="27" w:lineRule="exact"/>
        <w:rPr>
          <w:sz w:val="20"/>
          <w:szCs w:val="20"/>
          <w:color w:val="auto"/>
        </w:rPr>
      </w:pPr>
    </w:p>
    <w:p>
      <w:pPr>
        <w:ind w:left="5900"/>
        <w:spacing w:after="0"/>
        <w:rPr>
          <w:sz w:val="20"/>
          <w:szCs w:val="20"/>
          <w:color w:val="auto"/>
        </w:rPr>
      </w:pPr>
      <w:r>
        <w:rPr>
          <w:rFonts w:ascii="Arial" w:cs="Arial" w:eastAsia="Arial" w:hAnsi="Arial"/>
          <w:sz w:val="18"/>
          <w:szCs w:val="18"/>
          <w:b w:val="1"/>
          <w:bCs w:val="1"/>
          <w:color w:val="auto"/>
        </w:rPr>
        <w:t>Authorized Representative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00" w:lineRule="exact"/>
        <w:rPr>
          <w:sz w:val="20"/>
          <w:szCs w:val="20"/>
          <w:color w:val="auto"/>
        </w:rPr>
      </w:pPr>
    </w:p>
    <w:p>
      <w:pPr>
        <w:spacing w:after="0" w:line="299" w:lineRule="exact"/>
        <w:rPr>
          <w:sz w:val="20"/>
          <w:szCs w:val="20"/>
          <w:color w:val="auto"/>
        </w:rPr>
      </w:pPr>
    </w:p>
    <w:p>
      <w:pPr>
        <w:jc w:val="both"/>
        <w:ind w:right="460"/>
        <w:spacing w:after="0" w:line="307" w:lineRule="auto"/>
        <w:rPr>
          <w:sz w:val="20"/>
          <w:szCs w:val="20"/>
          <w:color w:val="auto"/>
        </w:rPr>
      </w:pPr>
      <w:r>
        <w:rPr>
          <w:rFonts w:ascii="Arial" w:cs="Arial" w:eastAsia="Arial" w:hAnsi="Arial"/>
          <w:sz w:val="15"/>
          <w:szCs w:val="15"/>
          <w:color w:val="auto"/>
        </w:rPr>
        <w:t>This press release may contain forward-looking statements. These statements are statements that are not historical facts, and are based on management's current view and estimates of future economic circumstances, industry conditions, company performance and financial results. The words "anticipates", "believes", "estimates", "expects", "plans" and similar expressions, as they relate to the company, are intended to identify forward-looking statements.</w:t>
      </w:r>
    </w:p>
    <w:p>
      <w:pPr>
        <w:spacing w:after="0" w:line="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Statements regarding the declaration or payment of dividends, the implementation of principal operating and financing strategies and capital expenditure plans, the direction of future operations and the factors or trends affecting financial condition, liquidity or results of operations are examples of forward-looking statements. Such statements reflect the current views of management and are subject to a number of risks and uncertainties. There is no guarantee that the expected events, trends or results will actually occur. The statements are based on many assumptions and factors, including general economic and market conditions, industry conditions, and operating factors. Any changes in such assumptions or factors could cause actual results to differ materially from current expectations.</w:t>
      </w:r>
    </w:p>
    <w:p>
      <w:pPr>
        <w:sectPr>
          <w:pgSz w:w="11900" w:h="16838" w:orient="portrait"/>
          <w:cols w:equalWidth="0" w:num="1">
            <w:col w:w="11420"/>
          </w:cols>
          <w:pgMar w:left="240" w:top="364" w:right="23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2019-12-10T12:42:36Z</dcterms:created>
  <dcterms:modified xsi:type="dcterms:W3CDTF">2019-12-10T12:42:36Z</dcterms:modified>
</cp:coreProperties>
</file>