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35"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35"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14"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Pursuant to Rule 13a-16 or 15d-16 under the</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176"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02"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Commission File Number: 001-14014</w:t>
      </w:r>
    </w:p>
    <w:p>
      <w:pPr>
        <w:spacing w:after="0" w:line="165"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43"/>
          <w:szCs w:val="43"/>
          <w:b w:val="1"/>
          <w:bCs w:val="1"/>
          <w:color w:val="auto"/>
        </w:rPr>
        <w:t>CREDICORP LTD.</w:t>
      </w:r>
    </w:p>
    <w:p>
      <w:pPr>
        <w:spacing w:after="0" w:line="58"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174"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Of our subsidiary</w:t>
      </w:r>
    </w:p>
    <w:p>
      <w:pPr>
        <w:spacing w:after="0" w:line="3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Banco de Credito del Peru:</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Calle Centenario 156</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La Molina 15026</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Lima, Peru</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180" w:lineRule="exact"/>
        <w:rPr>
          <w:sz w:val="24"/>
          <w:szCs w:val="24"/>
          <w:color w:val="auto"/>
        </w:rPr>
      </w:pPr>
    </w:p>
    <w:p>
      <w:pPr>
        <w:jc w:val="right"/>
        <w:ind w:right="279"/>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57" w:lineRule="exact"/>
        <w:rPr>
          <w:sz w:val="24"/>
          <w:szCs w:val="24"/>
          <w:color w:val="auto"/>
        </w:rPr>
      </w:pPr>
    </w:p>
    <w:p>
      <w:pPr>
        <w:ind w:left="456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19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19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231775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326390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463550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79"/>
          </w:cols>
          <w:pgMar w:left="380" w:top="502"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700020" cy="3257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700020" cy="325755"/>
                    </a:xfrm>
                    <a:prstGeom prst="rect">
                      <a:avLst/>
                    </a:prstGeom>
                    <a:noFill/>
                  </pic:spPr>
                </pic:pic>
              </a:graphicData>
            </a:graphic>
          </wp:anchor>
        </w:drawing>
        <w:t>June 09, 2026</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 - SEC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hereby notify you as a Material Event that on June 8, 2026, Fitch Ratings released an update of Credicorp Ltd.’s (Credicorp) credit rating report, upgrading its Long-Term Foreign Currency rating to ‘BBB+’ from ‘BBB’ with a Stable Outlook, and the Short-Term IDR was affirmed in ‘F2’. The new report also represents an update of figures as of December 2025.</w:t>
      </w:r>
    </w:p>
    <w:p>
      <w:pPr>
        <w:spacing w:after="0" w:line="102" w:lineRule="exact"/>
        <w:rPr>
          <w:sz w:val="20"/>
          <w:szCs w:val="20"/>
          <w:color w:val="auto"/>
        </w:rPr>
      </w:pPr>
    </w:p>
    <w:p>
      <w:pPr>
        <w:jc w:val="both"/>
        <w:spacing w:after="0" w:line="214" w:lineRule="exact"/>
        <w:rPr>
          <w:sz w:val="20"/>
          <w:szCs w:val="20"/>
          <w:color w:val="auto"/>
        </w:rPr>
      </w:pPr>
      <w:r>
        <w:rPr>
          <w:rFonts w:ascii="Arial" w:cs="Arial" w:eastAsia="Arial" w:hAnsi="Arial"/>
          <w:sz w:val="18"/>
          <w:szCs w:val="18"/>
          <w:color w:val="auto"/>
        </w:rPr>
        <w:t>The information contained in this Form 6</w:t>
      </w:r>
      <w:r>
        <w:rPr>
          <w:rFonts w:ascii="MS PGothic" w:cs="MS PGothic" w:eastAsia="MS PGothic" w:hAnsi="MS PGothic"/>
          <w:sz w:val="18"/>
          <w:szCs w:val="18"/>
          <w:color w:val="auto"/>
        </w:rPr>
        <w:t>‑</w:t>
      </w:r>
      <w:r>
        <w:rPr>
          <w:rFonts w:ascii="Arial" w:cs="Arial" w:eastAsia="Arial" w:hAnsi="Arial"/>
          <w:sz w:val="18"/>
          <w:szCs w:val="18"/>
          <w:color w:val="auto"/>
        </w:rPr>
        <w:t>K regarding the rating of Fitch Ratings has been disclosed in Peru in accordance with applicable Peruvian regulations (Article 30 of the Securities Market Law, approved by Supreme Decree No. 020</w:t>
      </w:r>
      <w:r>
        <w:rPr>
          <w:rFonts w:ascii="MS PGothic" w:cs="MS PGothic" w:eastAsia="MS PGothic" w:hAnsi="MS PGothic"/>
          <w:sz w:val="18"/>
          <w:szCs w:val="18"/>
          <w:color w:val="auto"/>
        </w:rPr>
        <w:t>‑</w:t>
      </w:r>
      <w:r>
        <w:rPr>
          <w:rFonts w:ascii="Arial" w:cs="Arial" w:eastAsia="Arial" w:hAnsi="Arial"/>
          <w:sz w:val="18"/>
          <w:szCs w:val="18"/>
          <w:color w:val="auto"/>
        </w:rPr>
        <w:t>2023</w:t>
      </w:r>
      <w:r>
        <w:rPr>
          <w:rFonts w:ascii="MS PGothic" w:cs="MS PGothic" w:eastAsia="MS PGothic" w:hAnsi="MS PGothic"/>
          <w:sz w:val="18"/>
          <w:szCs w:val="18"/>
          <w:color w:val="auto"/>
        </w:rPr>
        <w:t>‑</w:t>
      </w:r>
      <w:r>
        <w:rPr>
          <w:rFonts w:ascii="Arial" w:cs="Arial" w:eastAsia="Arial" w:hAnsi="Arial"/>
          <w:sz w:val="18"/>
          <w:szCs w:val="18"/>
          <w:color w:val="auto"/>
        </w:rPr>
        <w:t xml:space="preserve"> EF, and the Regulation on Disclosure of Material Events and Reserved Information approved by Resolution No. 005</w:t>
      </w:r>
      <w:r>
        <w:rPr>
          <w:rFonts w:ascii="MS PGothic" w:cs="MS PGothic" w:eastAsia="MS PGothic" w:hAnsi="MS PGothic"/>
          <w:sz w:val="18"/>
          <w:szCs w:val="18"/>
          <w:color w:val="auto"/>
        </w:rPr>
        <w:t>‑</w:t>
      </w:r>
      <w:r>
        <w:rPr>
          <w:rFonts w:ascii="Arial" w:cs="Arial" w:eastAsia="Arial" w:hAnsi="Arial"/>
          <w:sz w:val="18"/>
          <w:szCs w:val="18"/>
          <w:color w:val="auto"/>
        </w:rPr>
        <w:t>2014</w:t>
      </w:r>
      <w:r>
        <w:rPr>
          <w:rFonts w:ascii="MS PGothic" w:cs="MS PGothic" w:eastAsia="MS PGothic" w:hAnsi="MS PGothic"/>
          <w:sz w:val="18"/>
          <w:szCs w:val="18"/>
          <w:color w:val="auto"/>
        </w:rPr>
        <w:t>‑</w:t>
      </w:r>
      <w:r>
        <w:rPr>
          <w:rFonts w:ascii="Arial" w:cs="Arial" w:eastAsia="Arial" w:hAnsi="Arial"/>
          <w:sz w:val="18"/>
          <w:szCs w:val="18"/>
          <w:color w:val="auto"/>
        </w:rPr>
        <w:t>SMV/01 of the Peruvian Securities Market Superintendency). The credit ratings assigned by Fitch Ratings reflect its opinion on Credicorp’s creditworthiness and do not necessarily represent the opinion of Credicorp. Such ratings should not be construed as a recommendation to purchase, hold, or sell Credicorp’s shares or any other securities. Credicorp does not accept any responsibility for the accuracy, completeness, timeliness, or selection of the information contained in such ratings.</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The information in this Form 6-K (including any </w:t>
      </w:r>
      <w:r>
        <w:rPr>
          <w:rFonts w:ascii="Arial" w:cs="Arial" w:eastAsia="Arial" w:hAnsi="Arial"/>
          <w:sz w:val="18"/>
          <w:szCs w:val="18"/>
          <w:u w:val="single" w:color="auto"/>
          <w:color w:val="0000EE"/>
        </w:rPr>
        <w:t>exhibit</w:t>
      </w:r>
      <w:r>
        <w:rPr>
          <w:rFonts w:ascii="Arial" w:cs="Arial" w:eastAsia="Arial" w:hAnsi="Arial"/>
          <w:sz w:val="18"/>
          <w:szCs w:val="18"/>
          <w:color w:val="auto"/>
        </w:rPr>
        <w:t xml:space="preserve">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u w:val="single" w:color="auto"/>
          <w:color w:val="auto"/>
        </w:rPr>
        <w:t>Milagros Cigüeñas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Authorized Representative</w:t>
      </w: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36" w:right="339" w:bottom="1440" w:gutter="0" w:footer="0" w:header="0"/>
        </w:sectPr>
      </w:pPr>
    </w:p>
    <w:bookmarkStart w:id="2" w:name="page3"/>
    <w:bookmarkEnd w:id="2"/>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53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3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Date: June 09, 2026</w:t>
      </w:r>
    </w:p>
    <w:p>
      <w:pPr>
        <w:spacing w:after="0" w:line="19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CREDICORP LTD.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(Registrant)</w:t>
      </w:r>
    </w:p>
    <w:p>
      <w:pPr>
        <w:spacing w:after="0" w:line="18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Milagros Cigüeñas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17145</wp:posOffset>
            </wp:positionV>
            <wp:extent cx="25203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20315" cy="17145"/>
                    </a:xfrm>
                    <a:prstGeom prst="rect">
                      <a:avLst/>
                    </a:prstGeom>
                    <a:noFill/>
                  </pic:spPr>
                </pic:pic>
              </a:graphicData>
            </a:graphic>
          </wp:anchor>
        </w:drawing>
      </w:r>
    </w:p>
    <w:p>
      <w:pPr>
        <w:spacing w:after="0" w:line="12"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b w:val="1"/>
          <w:bCs w:val="1"/>
          <w:color w:val="auto"/>
        </w:rPr>
        <w:t>Milagros Cigüeñas</w:t>
      </w:r>
    </w:p>
    <w:p>
      <w:pPr>
        <w:spacing w:after="0" w:line="31"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20"/>
          </w:cols>
          <w:pgMar w:left="320" w:top="117"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198" w:lineRule="exact"/>
        <w:rPr>
          <w:sz w:val="20"/>
          <w:szCs w:val="20"/>
          <w:color w:val="auto"/>
        </w:rPr>
      </w:pPr>
    </w:p>
    <w:p>
      <w:pPr>
        <w:jc w:val="right"/>
        <w:spacing w:after="0"/>
        <w:rPr>
          <w:sz w:val="20"/>
          <w:szCs w:val="20"/>
          <w:color w:val="auto"/>
        </w:rPr>
      </w:pPr>
      <w:r>
        <w:rPr>
          <w:sz w:val="1"/>
          <w:szCs w:val="1"/>
          <w:color w:val="auto"/>
        </w:rPr>
        <w:drawing>
          <wp:inline distT="0" distB="0" distL="0" distR="0">
            <wp:extent cx="145415" cy="1543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5415" cy="15430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Sign In | Register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128905</wp:posOffset>
            </wp:positionV>
            <wp:extent cx="1379855" cy="274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7985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RATING ACTION COMMENTARY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Fitch Upgrades Banco de Credito del Peru and Credicorp to ‘BBB+’; Outlook Stable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 08 Jun, 2026 - 5:41 PM ET</w:t>
      </w:r>
    </w:p>
    <w:p>
      <w:pPr>
        <w:spacing w:after="0" w:line="225"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Fitch Ratings - Mexico City - 08 Jun 2026: Fitch Ratings has upgraded Banco de Credito del Peru S.A.’s (BCP) Long-Term Local- and Foreign-Currency Issuer Default Ratings (IDRs) to ‘BBB+’ from ‘BBB’, and its Viability Rating (VR) to ‘bbb+’ from ‘bbb’. The Rating Outlook for the Long-Term IDRs is Stable. Fitch has also affirmed BCP’s Short-Term Foreign and Local Currency IDRs at ‘F2’ and affirmed the Government Support Rating (GSR) at ‘bbb-’. The</w:t>
      </w:r>
    </w:p>
    <w:p>
      <w:pPr>
        <w:spacing w:after="0" w:line="18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Long-Term Foreign-Currency IDR of BCP’s holding company, Credicorp Ltd., was upgraded to ‘BBB+’ from ‘BBB’ with Stable Outlook, and the Short-Term IDR was affirmed.</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BCP’s VR upgrade reflects its solid business profile, market leadership among local peers and a very strong financial profile. This is reflected in improved, strong profitability, which now has the highest score among the key rating drivers. Fitch expects this profitability to remain sustainable over the medium term and to support sound capital levels.</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BCP’s VR is now one notch above Peru’s sovereign rating and aligned with its implied VR of ‘bbb+’. The uplift above the sovereign rating reflects Fitch’s expectation that the bank would likely maintain its ability to service local-currency obligations even if the sovereign defaulted on its local-currency debt. This reflects its relatively low overall exposure to the public sector. Fitch also believes that the sovereign is unlikely to impose material debt servicing restrictions in this scenario. These restrictions include capital controls that could limit the bank’s ability to service those obligations.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RATING DRIVERS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BCP</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300" w:type="dxa"/>
            <w:vAlign w:val="bottom"/>
          </w:tcPr>
          <w:p>
            <w:pPr>
              <w:spacing w:after="0"/>
              <w:rPr>
                <w:sz w:val="20"/>
                <w:szCs w:val="20"/>
                <w:color w:val="auto"/>
              </w:rPr>
            </w:pPr>
            <w:r>
              <w:rPr>
                <w:rFonts w:ascii="Times New Roman" w:cs="Times New Roman" w:eastAsia="Times New Roman" w:hAnsi="Times New Roman"/>
                <w:sz w:val="14"/>
                <w:szCs w:val="14"/>
                <w:color w:val="auto"/>
              </w:rPr>
              <w:t>https://www.fitchratings.com/research/banks/fitch-upgrades-banco-de-credito-del-peru-credicorp-to-bbb-outlook-stable-08-06-2026</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r>
      <w:tr>
        <w:trPr>
          <w:trHeight w:val="44"/>
        </w:trPr>
        <w:tc>
          <w:tcPr>
            <w:tcW w:w="930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259" w:right="339" w:bottom="1440" w:gutter="0" w:footer="0" w:header="0"/>
        </w:sectPr>
      </w:pPr>
    </w:p>
    <w:bookmarkStart w:id="4" w:name="page5"/>
    <w:bookmarkEnd w:id="4"/>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IDRs Driven by VR: </w:t>
      </w:r>
      <w:r>
        <w:rPr>
          <w:rFonts w:ascii="Times New Roman" w:cs="Times New Roman" w:eastAsia="Times New Roman" w:hAnsi="Times New Roman"/>
          <w:sz w:val="18"/>
          <w:szCs w:val="18"/>
          <w:color w:val="auto"/>
        </w:rPr>
        <w:t>The upgrade of BCP’s IDRs follows a similar action on the VR, as BCP’s IDRs are driven by its VR of ‘bbb+’, which is aligned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implied VR. The bank’s ratings are supported by its robust and leading market position, well-diversified business model, improved asset quality, strong profitability, adequate capitalization, and consistent funding strategies.</w:t>
      </w:r>
    </w:p>
    <w:p>
      <w:pPr>
        <w:spacing w:after="0" w:line="17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Stable Operating Environment</w:t>
      </w:r>
      <w:r>
        <w:rPr>
          <w:rFonts w:ascii="Times New Roman" w:cs="Times New Roman" w:eastAsia="Times New Roman" w:hAnsi="Times New Roman"/>
          <w:sz w:val="18"/>
          <w:szCs w:val="18"/>
          <w:color w:val="auto"/>
        </w:rPr>
        <w:t>: Fitch’s Operating Environment (OE) score for Peruvian banks is ‘bbb-’/Stable. The implied OE score is ‘bb’. Fitch raised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 as a positive deviation factor to reflect the sovereign rating and Peru’s long record of macroeconomic stability. Peru’s banking system entered 2026 with a favorable macro backdrop. However, political uncertainty tied to the election cycle, as well as potential climate risks and external shocks, could temper confidence and credit appetite.</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7"/>
          <w:szCs w:val="17"/>
          <w:b w:val="1"/>
          <w:bCs w:val="1"/>
          <w:color w:val="auto"/>
        </w:rPr>
        <w:t>Leading Franchise</w:t>
      </w:r>
      <w:r>
        <w:rPr>
          <w:rFonts w:ascii="Times New Roman" w:cs="Times New Roman" w:eastAsia="Times New Roman" w:hAnsi="Times New Roman"/>
          <w:sz w:val="17"/>
          <w:szCs w:val="17"/>
          <w:color w:val="auto"/>
        </w:rPr>
        <w:t>: Fitch assesses BCP’s business profile at ‘bbb+’, in line with its implied score. This rating reflects the bank’s four-year average total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operating income (TOI) of USD4.7 billion and its strong position as Peru’s largest universal commercial bank. BCP is the leading bank within the Peruvian financial system and serves as the primary subsidiary of Credicorp Ltd., Peru’s largest financial holding company. According to BCP’s consolidated data, it held market share of 37.1% of assets and 39.0% of deposits as of fiscal YE 2025, while leading all major credit segments and financial products.</w:t>
      </w:r>
    </w:p>
    <w:p>
      <w:pPr>
        <w:spacing w:after="0" w:line="161" w:lineRule="exact"/>
        <w:rPr>
          <w:sz w:val="20"/>
          <w:szCs w:val="20"/>
          <w:color w:val="auto"/>
        </w:rPr>
      </w:pPr>
    </w:p>
    <w:p>
      <w:pPr>
        <w:jc w:val="both"/>
        <w:ind w:right="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Improved Asset Quality: </w:t>
      </w:r>
      <w:r>
        <w:rPr>
          <w:rFonts w:ascii="Times New Roman" w:cs="Times New Roman" w:eastAsia="Times New Roman" w:hAnsi="Times New Roman"/>
          <w:sz w:val="18"/>
          <w:szCs w:val="18"/>
          <w:color w:val="auto"/>
        </w:rPr>
        <w:t>BCP’s consolidated 90-day past-due loans ratio improved to 2.8% at YE25 from 3.3% at YE 2024, supported by stronger risk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better payment performance and Peru’s economic recovery. The loan loss allowance coverage of impaired loans was a conservative 201.2% at YE 2025. Although the entity’s strategy is to focus on the more profitable but riskier SME and consumer segments, Fitch expects asset quality to remain sound in 2026, as shown by the 2.48% ratio in 1Q26. This reflects the bank’s conservative underwriting standards.</w:t>
      </w:r>
    </w:p>
    <w:p>
      <w:pPr>
        <w:spacing w:after="0" w:line="176" w:lineRule="exact"/>
        <w:rPr>
          <w:sz w:val="20"/>
          <w:szCs w:val="20"/>
          <w:color w:val="auto"/>
        </w:rPr>
      </w:pPr>
    </w:p>
    <w:p>
      <w:pPr>
        <w:ind w:right="3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Strong Profitability: </w:t>
      </w:r>
      <w:r>
        <w:rPr>
          <w:rFonts w:ascii="Times New Roman" w:cs="Times New Roman" w:eastAsia="Times New Roman" w:hAnsi="Times New Roman"/>
          <w:sz w:val="18"/>
          <w:szCs w:val="18"/>
          <w:color w:val="auto"/>
        </w:rPr>
        <w:t>The operating profit-to-risk-weighted assets ratio improved to 5.19% at YE 2025 from 4.32% at YE 2024, mainly driven by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stronger financial margin and lower credit costs, supported by improved asset quality. This improvement supported an upgrade in BCP’s earnings &amp; profitability rating factor to ‘a-’, aligned with its implied score. Fitch expects profitability to remain strong, although it could decline slightly from its exceptionally strong level in 2025 due to margin compression, somewhat higher credit costs, external risks and the bank’s planned growth in riskier but more profitable retail segments.</w:t>
      </w:r>
    </w:p>
    <w:p>
      <w:pPr>
        <w:spacing w:after="0" w:line="179"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Adequate Capitalization: </w:t>
      </w:r>
      <w:r>
        <w:rPr>
          <w:rFonts w:ascii="Times New Roman" w:cs="Times New Roman" w:eastAsia="Times New Roman" w:hAnsi="Times New Roman"/>
          <w:sz w:val="18"/>
          <w:szCs w:val="18"/>
          <w:color w:val="auto"/>
        </w:rPr>
        <w:t>The common equity Tier 1 (CET1) ratio strengthened to 13.66% at YE 2025 from 13.08% at YE 2024, supported by strong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internal capital generation and</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300" w:type="dxa"/>
            <w:vAlign w:val="bottom"/>
          </w:tcPr>
          <w:p>
            <w:pPr>
              <w:spacing w:after="0"/>
              <w:rPr>
                <w:sz w:val="20"/>
                <w:szCs w:val="20"/>
                <w:color w:val="auto"/>
              </w:rPr>
            </w:pPr>
            <w:r>
              <w:rPr>
                <w:rFonts w:ascii="Times New Roman" w:cs="Times New Roman" w:eastAsia="Times New Roman" w:hAnsi="Times New Roman"/>
                <w:sz w:val="14"/>
                <w:szCs w:val="14"/>
                <w:color w:val="auto"/>
              </w:rPr>
              <w:t>https://www.fitchratings.com/research/banks/fitch-upgrades-banco-de-credito-del-peru-credicorp-to-bbb-outlook-stable-08-06-2026</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w:t>
            </w:r>
          </w:p>
        </w:tc>
      </w:tr>
      <w:tr>
        <w:trPr>
          <w:trHeight w:val="44"/>
        </w:trPr>
        <w:tc>
          <w:tcPr>
            <w:tcW w:w="930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7" w:right="339" w:bottom="1440" w:gutter="0" w:footer="0" w:header="0"/>
        </w:sectPr>
      </w:pPr>
    </w:p>
    <w:bookmarkStart w:id="5" w:name="page6"/>
    <w:bookmarkEnd w:id="5"/>
    <w:p>
      <w:pPr>
        <w:ind w:right="280"/>
        <w:spacing w:after="0" w:line="266" w:lineRule="auto"/>
        <w:rPr>
          <w:sz w:val="20"/>
          <w:szCs w:val="20"/>
          <w:color w:val="auto"/>
        </w:rPr>
      </w:pPr>
      <w:r>
        <w:rPr>
          <w:rFonts w:ascii="Times New Roman" w:cs="Times New Roman" w:eastAsia="Times New Roman" w:hAnsi="Times New Roman"/>
          <w:sz w:val="18"/>
          <w:szCs w:val="18"/>
          <w:color w:val="auto"/>
        </w:rPr>
        <w:t>slower risk-weighted asset growth, partly reflecting improved asset quality. Fitch does not anticipate capitalization pressures in 2026. Also, regulation is supportive for Peruvian banks due to the ongoing adoption of Basel III principles. BCP has successfully adapted to higher-quality capital requirements under the new rules ahead of the end of the phase-in period in 2026.</w:t>
      </w:r>
    </w:p>
    <w:p>
      <w:pPr>
        <w:spacing w:after="0" w:line="172"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Sound Liquidity: </w:t>
      </w:r>
      <w:r>
        <w:rPr>
          <w:rFonts w:ascii="Times New Roman" w:cs="Times New Roman" w:eastAsia="Times New Roman" w:hAnsi="Times New Roman"/>
          <w:sz w:val="18"/>
          <w:szCs w:val="18"/>
          <w:color w:val="auto"/>
        </w:rPr>
        <w:t>The bank’s loan-to-deposit ratio remained sound and improved slightly to 88.06% at YE 2025 from 89.2% at YE 2024, reflecting still-moderate loan growth and a 5.5% increase in deposits during 2025. BCP benefits from a low-cost deposit base, predominantly consisting of demand and savings deposits, and maintains the largest deposit franchise in Peru across all major products. BCP’s dominant deposit franchise underpins its funding profile, with a consolidated deposit market share of about 39% as of December2025. Fitch expects current liquidity to remain sufficient to support moderate loan growth, with loans to customer deposits remaining below 100%.</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CREDICORP LTD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color w:val="auto"/>
        </w:rPr>
        <w:t>IDRs Driven by Those of Main Subsidiary</w:t>
      </w:r>
      <w:r>
        <w:rPr>
          <w:rFonts w:ascii="Times New Roman" w:cs="Times New Roman" w:eastAsia="Times New Roman" w:hAnsi="Times New Roman"/>
          <w:sz w:val="18"/>
          <w:szCs w:val="18"/>
          <w:color w:val="auto"/>
        </w:rPr>
        <w:t>: Credicorp Ltd.’s Issuer Default Ratings (IDRs) were upgraded to ‘BBB+’ from ‘BBB’, as they are driven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primarily by the IDRs of its main subsidiary (BCP; BBB+/Stable), which has a strong business and financial profile. Credicorp’s Foreign-Currency Long-Term IDR of ‘BBB+’ with a Stable g Outlook is equalized with BCP’s rating. Equalization reflects high influence from the Holdco’s low double leverage of 99.6% at YE 2025, compared with 99.2% in 2024. This was consistently well below the threshold of 120% at which Fitch would typically start to notch down a bank holding company’s ratings. It also reflects prudent liquidity management, supported by good access to capital markets and a diversified mix of funding and liquidity sources. Fitch considered capital and liquidity fungibility for upstreaming dividends from the bank to the Holdco, Credicorp’ separate jurisdiction in Bermudas, and subsidiary ownership as neutral factors.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RATING SENSITIVITIES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that Could, Individually or Collectively, Lead to Negative Rating Action/Downgrade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BCP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BCP’s IDRs are sensitive to material deterioration in the local OE or a negative sovereign rating action.</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300" w:type="dxa"/>
            <w:vAlign w:val="bottom"/>
          </w:tcPr>
          <w:p>
            <w:pPr>
              <w:spacing w:after="0"/>
              <w:rPr>
                <w:sz w:val="20"/>
                <w:szCs w:val="20"/>
                <w:color w:val="auto"/>
              </w:rPr>
            </w:pPr>
            <w:r>
              <w:rPr>
                <w:rFonts w:ascii="Times New Roman" w:cs="Times New Roman" w:eastAsia="Times New Roman" w:hAnsi="Times New Roman"/>
                <w:sz w:val="14"/>
                <w:szCs w:val="14"/>
                <w:color w:val="auto"/>
              </w:rPr>
              <w:t>https://www.fitchratings.com/research/banks/fitch-upgrades-banco-de-credito-del-peru-credicorp-to-bbb-outlook-stable-08-06-2026</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w:t>
            </w:r>
          </w:p>
        </w:tc>
      </w:tr>
      <w:tr>
        <w:trPr>
          <w:trHeight w:val="44"/>
        </w:trPr>
        <w:tc>
          <w:tcPr>
            <w:tcW w:w="930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21" w:right="339" w:bottom="1440" w:gutter="0" w:footer="0" w:header="0"/>
        </w:sectPr>
      </w:pPr>
    </w:p>
    <w:bookmarkStart w:id="6" w:name="page7"/>
    <w:bookmarkEnd w:id="6"/>
    <w:p>
      <w:pPr>
        <w:ind w:right="80"/>
        <w:spacing w:after="0" w:line="266" w:lineRule="auto"/>
        <w:rPr>
          <w:sz w:val="20"/>
          <w:szCs w:val="20"/>
          <w:color w:val="auto"/>
        </w:rPr>
      </w:pPr>
      <w:r>
        <w:rPr>
          <w:rFonts w:ascii="Times New Roman" w:cs="Times New Roman" w:eastAsia="Times New Roman" w:hAnsi="Times New Roman"/>
          <w:sz w:val="18"/>
          <w:szCs w:val="18"/>
          <w:color w:val="auto"/>
        </w:rPr>
        <w:t>BCP’s VR could be affected if asset quality were to deteriorate significantly and cause a sustained decline in operating profits to RWAs below 4.0%, and if the bank’s CET1-to-RWA ratio were to fall below 10%, assuming maintenance of excess reserves and noncore loss-absorbing capital, for more than four consecutive quarters.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CREDICORP LTD.</w:t>
      </w:r>
    </w:p>
    <w:p>
      <w:pPr>
        <w:spacing w:after="0" w:line="22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Credicorp’s IDRs are at the same level as BCP’s and would move in tandem with any rating action on its main operating subsidiary. However, Fitch could also downgrade Credicorp’s ratings (separately from any action on BCP) if there is a material and sustained increase of its double leverage metrics (above 1.2x) and if there is a material weakening of the holding company’s liquidity position and management.</w:t>
      </w:r>
    </w:p>
    <w:p>
      <w:pPr>
        <w:spacing w:after="0" w:line="176"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 change in the dividend flows from the operating companies or debt levels at the holding company that affects its debt coverage ratio could also be detrimental to Credicorp’s ratings.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that Could, Individually or Collectively, Lead to Positive Rating Action/Upgrade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BCP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 the medium term, BCP’s VR could be upgraded by a confluence of OE improvement and the bank sustaining its current strong financial profile.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CREDICORP LTD.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Credicorp Ltd’s ratings would move in tandem with positive rating actions on its main operating subsidiary, BCP.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DEBT AND ISSUER RATINGS: KEY RATING DRIVERS</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BCP’s senior unsecured bonds were upgraded to ‘BBB+’ from ‘BBB’ and are rated at the same level as the bank’s IDRs, as the likelihood of default on the notes is the same as that of BCP.</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BCP’s subordinated Tier 2 bonds were upgraded to ‘BBB-’ from ‘BB+’ and are rated two notches below the Viability Rating (VR) of ‘bbb+’ to reflect loss severity only. Fitch did not apply any notching for non-performance risk, as the notes do not have additional loss-absorption features.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300" w:type="dxa"/>
            <w:vAlign w:val="bottom"/>
          </w:tcPr>
          <w:p>
            <w:pPr>
              <w:spacing w:after="0"/>
              <w:rPr>
                <w:sz w:val="20"/>
                <w:szCs w:val="20"/>
                <w:color w:val="auto"/>
              </w:rPr>
            </w:pPr>
            <w:r>
              <w:rPr>
                <w:rFonts w:ascii="Times New Roman" w:cs="Times New Roman" w:eastAsia="Times New Roman" w:hAnsi="Times New Roman"/>
                <w:sz w:val="14"/>
                <w:szCs w:val="14"/>
                <w:color w:val="auto"/>
              </w:rPr>
              <w:t>https://www.fitchratings.com/research/banks/fitch-upgrades-banco-de-credito-del-peru-credicorp-to-bbb-outlook-stable-08-06-2026</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w:t>
            </w:r>
          </w:p>
        </w:tc>
      </w:tr>
      <w:tr>
        <w:trPr>
          <w:trHeight w:val="44"/>
        </w:trPr>
        <w:tc>
          <w:tcPr>
            <w:tcW w:w="930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GOVERNMENT SUPPORT RATING (GSR)</w:t>
      </w:r>
    </w:p>
    <w:p>
      <w:pPr>
        <w:spacing w:after="0" w:line="229"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BCP is likely to receive support from the Peruvian government, if needed, given its high systemic importance, which underpins its Government Support Rating (GSR). The sovereign’s ability to provide support is reflected in its ‘BBB’/Stable IDR and supported by its sound public finances, ample foreign currency reserves and low debt burden.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DEBT AND ISSUER RATINGS: RATING SENSITIVITIES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That Could, Individually or Collectively, Lead to Negative Rating Action/Downgrade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--BCP’s senior debt ratings would be downgraded if BCP’s Long-Term IDR is downgraded;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subordinated debt ratings would mirror any negative action on the bank’s VR and would maintain the downward notching from it.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That Could, Individually or Collectively, Lead to Positive Rating Action/Upgrade: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--BCP’s senior debt ratings would be upgraded if BCP’s Long-Term IDR is upgraded;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subordinated debt ratings would mirror any positive action on the bank’s VR and would maintain the downward notching from it.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That Could, Individually or Collectively, Lead to Negative Rating Action/Downgrade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--BCP’s GSR would be affected if Fitch negatively changed its assessment of the government’s ability and/or willingness to support the bank.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That Could, Individually or Collectively, Lead to Positive Rating Action/Upgrade: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--BCP’s GSR would be affected if Fitch positively changes its assessment of the government’s ability and/or willingness to support the bank.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VR ADJUSTMENTS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operating environment score of ‘bbb-’ is above the ‘bb’ category implied score due to the following adjustment reason: sovereign rating (positive).</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300" w:type="dxa"/>
            <w:vAlign w:val="bottom"/>
          </w:tcPr>
          <w:p>
            <w:pPr>
              <w:spacing w:after="0"/>
              <w:rPr>
                <w:sz w:val="20"/>
                <w:szCs w:val="20"/>
                <w:color w:val="auto"/>
              </w:rPr>
            </w:pPr>
            <w:r>
              <w:rPr>
                <w:rFonts w:ascii="Times New Roman" w:cs="Times New Roman" w:eastAsia="Times New Roman" w:hAnsi="Times New Roman"/>
                <w:sz w:val="14"/>
                <w:szCs w:val="14"/>
                <w:color w:val="auto"/>
              </w:rPr>
              <w:t>https://www.fitchratings.com/research/banks/fitch-upgrades-banco-de-credito-del-peru-credicorp-to-bbb-outlook-stable-08-06-2026</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w:t>
            </w:r>
          </w:p>
        </w:tc>
      </w:tr>
      <w:tr>
        <w:trPr>
          <w:trHeight w:val="44"/>
        </w:trPr>
        <w:tc>
          <w:tcPr>
            <w:tcW w:w="930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REFERENCES FOR SUBSTANTIALLY MATERIAL SOURCE CITED AS KEY DRIVER OF RATING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sources of information used in the analysis are described in the Applicable Criteria.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RATINGS WITH CREDIT LINKAGE TO OTHER RATINGS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ratings of Credicorp Ltd are linked to Banco de Credito del Peru’s ratings, as it is its main subsidiary.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ESG CONSIDERATIONS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The highest level of ESG credit relevance is a score of ‘3’, unless otherwise disclosed in this section. A score of ‘3’ means ESG issues are credit-neutral or have only a minimal credit impact on the entity, either due to their nature or the way in which they are being managed by the entity. Fitch’s ESG Relevance Scores are not inputs in the rating process; they are an observation on the relevance and materiality of ESG factors in the rating decision. For more information on Fitch’s ESG Relevance Scores, visit </w:t>
      </w:r>
      <w:r>
        <w:rPr>
          <w:rFonts w:ascii="Times New Roman" w:cs="Times New Roman" w:eastAsia="Times New Roman" w:hAnsi="Times New Roman"/>
          <w:sz w:val="18"/>
          <w:szCs w:val="18"/>
          <w:u w:val="single" w:color="auto"/>
          <w:color w:val="auto"/>
        </w:rPr>
        <w:t>https://www.fitchratings.com/topics/esg/products#esg-relevance-scores</w:t>
      </w:r>
      <w:r>
        <w:rPr>
          <w:rFonts w:ascii="Times New Roman" w:cs="Times New Roman" w:eastAsia="Times New Roman" w:hAnsi="Times New Roman"/>
          <w:sz w:val="18"/>
          <w:szCs w:val="18"/>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34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RATING ACTIONS</w:t>
            </w:r>
          </w:p>
        </w:tc>
        <w:tc>
          <w:tcPr>
            <w:tcW w:w="1520" w:type="dxa"/>
            <w:vAlign w:val="bottom"/>
          </w:tcPr>
          <w:p>
            <w:pPr>
              <w:spacing w:after="0"/>
              <w:rPr>
                <w:sz w:val="20"/>
                <w:szCs w:val="20"/>
                <w:color w:val="auto"/>
              </w:rPr>
            </w:pPr>
          </w:p>
        </w:tc>
        <w:tc>
          <w:tcPr>
            <w:tcW w:w="3060" w:type="dxa"/>
            <w:vAlign w:val="bottom"/>
          </w:tcPr>
          <w:p>
            <w:pPr>
              <w:spacing w:after="0"/>
              <w:rPr>
                <w:sz w:val="20"/>
                <w:szCs w:val="20"/>
                <w:color w:val="auto"/>
              </w:rPr>
            </w:pPr>
          </w:p>
        </w:tc>
      </w:tr>
      <w:tr>
        <w:trPr>
          <w:trHeight w:val="410"/>
        </w:trPr>
        <w:tc>
          <w:tcPr>
            <w:tcW w:w="2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ENTITY / DEBT</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RATING</w:t>
            </w:r>
          </w:p>
        </w:tc>
        <w:tc>
          <w:tcPr>
            <w:tcW w:w="234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RATING</w:t>
            </w:r>
          </w:p>
        </w:tc>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RATING</w:t>
            </w:r>
          </w:p>
        </w:tc>
        <w:tc>
          <w:tcPr>
            <w:tcW w:w="306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PRIOR</w:t>
            </w:r>
          </w:p>
        </w:tc>
      </w:tr>
      <w:tr>
        <w:trPr>
          <w:trHeight w:val="238"/>
        </w:trPr>
        <w:tc>
          <w:tcPr>
            <w:tcW w:w="2620" w:type="dxa"/>
            <w:vAlign w:val="bottom"/>
          </w:tcPr>
          <w:p>
            <w:pPr>
              <w:spacing w:after="0"/>
              <w:rPr>
                <w:sz w:val="20"/>
                <w:szCs w:val="20"/>
                <w:color w:val="auto"/>
              </w:rPr>
            </w:pP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TYPE</w:t>
            </w:r>
          </w:p>
        </w:tc>
        <w:tc>
          <w:tcPr>
            <w:tcW w:w="2340" w:type="dxa"/>
            <w:vAlign w:val="bottom"/>
          </w:tcPr>
          <w:p>
            <w:pPr>
              <w:spacing w:after="0"/>
              <w:rPr>
                <w:sz w:val="20"/>
                <w:szCs w:val="20"/>
                <w:color w:val="auto"/>
              </w:rPr>
            </w:pPr>
          </w:p>
        </w:tc>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ACTION</w:t>
            </w:r>
          </w:p>
        </w:tc>
        <w:tc>
          <w:tcPr>
            <w:tcW w:w="3060" w:type="dxa"/>
            <w:vAlign w:val="bottom"/>
          </w:tcPr>
          <w:p>
            <w:pPr>
              <w:spacing w:after="0"/>
              <w:rPr>
                <w:sz w:val="20"/>
                <w:szCs w:val="20"/>
                <w:color w:val="auto"/>
              </w:rPr>
            </w:pPr>
          </w:p>
        </w:tc>
      </w:tr>
      <w:tr>
        <w:trPr>
          <w:trHeight w:val="223"/>
        </w:trPr>
        <w:tc>
          <w:tcPr>
            <w:tcW w:w="26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tcPr>
          <w:p>
            <w:pPr>
              <w:spacing w:after="0"/>
              <w:rPr>
                <w:sz w:val="19"/>
                <w:szCs w:val="19"/>
                <w:color w:val="auto"/>
              </w:rPr>
            </w:pPr>
          </w:p>
        </w:tc>
      </w:tr>
      <w:tr>
        <w:trPr>
          <w:trHeight w:val="414"/>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Credicorp Ltd.</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LT IDR</w:t>
            </w:r>
          </w:p>
        </w:tc>
        <w:tc>
          <w:tcPr>
            <w:tcW w:w="23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BBB+ Rating Outlook</w:t>
            </w:r>
          </w:p>
        </w:tc>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Upgrade</w:t>
            </w:r>
          </w:p>
        </w:tc>
        <w:tc>
          <w:tcPr>
            <w:tcW w:w="3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BBB Rating Outlook Stable</w:t>
            </w:r>
          </w:p>
        </w:tc>
      </w:tr>
      <w:tr>
        <w:trPr>
          <w:trHeight w:val="234"/>
        </w:trPr>
        <w:tc>
          <w:tcPr>
            <w:tcW w:w="26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3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Stable</w:t>
            </w:r>
          </w:p>
        </w:tc>
        <w:tc>
          <w:tcPr>
            <w:tcW w:w="1520" w:type="dxa"/>
            <w:vAlign w:val="bottom"/>
          </w:tcPr>
          <w:p>
            <w:pPr>
              <w:spacing w:after="0"/>
              <w:rPr>
                <w:sz w:val="20"/>
                <w:szCs w:val="20"/>
                <w:color w:val="auto"/>
              </w:rPr>
            </w:pPr>
          </w:p>
        </w:tc>
        <w:tc>
          <w:tcPr>
            <w:tcW w:w="3060" w:type="dxa"/>
            <w:vAlign w:val="bottom"/>
          </w:tcPr>
          <w:p>
            <w:pPr>
              <w:spacing w:after="0"/>
              <w:rPr>
                <w:sz w:val="20"/>
                <w:szCs w:val="20"/>
                <w:color w:val="auto"/>
              </w:rPr>
            </w:pPr>
          </w:p>
        </w:tc>
      </w:tr>
      <w:tr>
        <w:trPr>
          <w:trHeight w:val="223"/>
        </w:trPr>
        <w:tc>
          <w:tcPr>
            <w:tcW w:w="26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tcPr>
          <w:p>
            <w:pPr>
              <w:spacing w:after="0"/>
              <w:rPr>
                <w:sz w:val="19"/>
                <w:szCs w:val="19"/>
                <w:color w:val="auto"/>
              </w:rPr>
            </w:pPr>
          </w:p>
        </w:tc>
      </w:tr>
      <w:tr>
        <w:trPr>
          <w:trHeight w:val="432"/>
        </w:trPr>
        <w:tc>
          <w:tcPr>
            <w:tcW w:w="2620" w:type="dxa"/>
            <w:vAlign w:val="bottom"/>
          </w:tcPr>
          <w:p>
            <w:pPr>
              <w:spacing w:after="0"/>
              <w:rPr>
                <w:sz w:val="24"/>
                <w:szCs w:val="24"/>
                <w:color w:val="auto"/>
              </w:rPr>
            </w:pP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 IDR</w:t>
            </w:r>
          </w:p>
        </w:tc>
        <w:tc>
          <w:tcPr>
            <w:tcW w:w="23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F2</w:t>
            </w:r>
          </w:p>
        </w:tc>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Affirmed</w:t>
            </w:r>
          </w:p>
        </w:tc>
        <w:tc>
          <w:tcPr>
            <w:tcW w:w="3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F2</w:t>
            </w:r>
          </w:p>
        </w:tc>
      </w:tr>
      <w:tr>
        <w:trPr>
          <w:trHeight w:val="223"/>
        </w:trPr>
        <w:tc>
          <w:tcPr>
            <w:tcW w:w="26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tcPr>
          <w:p>
            <w:pPr>
              <w:spacing w:after="0"/>
              <w:rPr>
                <w:sz w:val="19"/>
                <w:szCs w:val="19"/>
                <w:color w:val="auto"/>
              </w:rPr>
            </w:pPr>
          </w:p>
        </w:tc>
      </w:tr>
      <w:tr>
        <w:trPr>
          <w:trHeight w:val="414"/>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Banco de Credito del Peru S.A.</w:t>
            </w: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LT IDR</w:t>
            </w:r>
          </w:p>
        </w:tc>
        <w:tc>
          <w:tcPr>
            <w:tcW w:w="23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BBB+ Rating Outlook</w:t>
            </w:r>
          </w:p>
        </w:tc>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Upgrade</w:t>
            </w:r>
          </w:p>
        </w:tc>
        <w:tc>
          <w:tcPr>
            <w:tcW w:w="3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BBB Rating Outlook Stable</w:t>
            </w:r>
          </w:p>
        </w:tc>
      </w:tr>
      <w:tr>
        <w:trPr>
          <w:trHeight w:val="234"/>
        </w:trPr>
        <w:tc>
          <w:tcPr>
            <w:tcW w:w="26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3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Stable</w:t>
            </w:r>
          </w:p>
        </w:tc>
        <w:tc>
          <w:tcPr>
            <w:tcW w:w="1520" w:type="dxa"/>
            <w:vAlign w:val="bottom"/>
          </w:tcPr>
          <w:p>
            <w:pPr>
              <w:spacing w:after="0"/>
              <w:rPr>
                <w:sz w:val="20"/>
                <w:szCs w:val="20"/>
                <w:color w:val="auto"/>
              </w:rPr>
            </w:pPr>
          </w:p>
        </w:tc>
        <w:tc>
          <w:tcPr>
            <w:tcW w:w="3060" w:type="dxa"/>
            <w:vAlign w:val="bottom"/>
          </w:tcPr>
          <w:p>
            <w:pPr>
              <w:spacing w:after="0"/>
              <w:rPr>
                <w:sz w:val="20"/>
                <w:szCs w:val="20"/>
                <w:color w:val="auto"/>
              </w:rPr>
            </w:pPr>
          </w:p>
        </w:tc>
      </w:tr>
      <w:tr>
        <w:trPr>
          <w:trHeight w:val="223"/>
        </w:trPr>
        <w:tc>
          <w:tcPr>
            <w:tcW w:w="26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tcPr>
          <w:p>
            <w:pPr>
              <w:spacing w:after="0"/>
              <w:rPr>
                <w:sz w:val="19"/>
                <w:szCs w:val="19"/>
                <w:color w:val="auto"/>
              </w:rPr>
            </w:pPr>
          </w:p>
        </w:tc>
      </w:tr>
      <w:tr>
        <w:trPr>
          <w:trHeight w:val="432"/>
        </w:trPr>
        <w:tc>
          <w:tcPr>
            <w:tcW w:w="2620" w:type="dxa"/>
            <w:vAlign w:val="bottom"/>
          </w:tcPr>
          <w:p>
            <w:pPr>
              <w:spacing w:after="0"/>
              <w:rPr>
                <w:sz w:val="24"/>
                <w:szCs w:val="24"/>
                <w:color w:val="auto"/>
              </w:rPr>
            </w:pP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 IDR</w:t>
            </w:r>
          </w:p>
        </w:tc>
        <w:tc>
          <w:tcPr>
            <w:tcW w:w="23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F2</w:t>
            </w:r>
          </w:p>
        </w:tc>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Affirmed</w:t>
            </w:r>
          </w:p>
        </w:tc>
        <w:tc>
          <w:tcPr>
            <w:tcW w:w="3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F2</w:t>
            </w:r>
          </w:p>
        </w:tc>
      </w:tr>
      <w:tr>
        <w:trPr>
          <w:trHeight w:val="223"/>
        </w:trPr>
        <w:tc>
          <w:tcPr>
            <w:tcW w:w="26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tcPr>
          <w:p>
            <w:pPr>
              <w:spacing w:after="0"/>
              <w:rPr>
                <w:sz w:val="19"/>
                <w:szCs w:val="19"/>
                <w:color w:val="auto"/>
              </w:rPr>
            </w:pPr>
          </w:p>
        </w:tc>
      </w:tr>
      <w:tr>
        <w:trPr>
          <w:trHeight w:val="414"/>
        </w:trPr>
        <w:tc>
          <w:tcPr>
            <w:tcW w:w="2620" w:type="dxa"/>
            <w:vAlign w:val="bottom"/>
          </w:tcPr>
          <w:p>
            <w:pPr>
              <w:spacing w:after="0"/>
              <w:rPr>
                <w:sz w:val="24"/>
                <w:szCs w:val="24"/>
                <w:color w:val="auto"/>
              </w:rPr>
            </w:pPr>
          </w:p>
        </w:tc>
        <w:tc>
          <w:tcPr>
            <w:tcW w:w="1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LC LT IDR</w:t>
            </w:r>
          </w:p>
        </w:tc>
        <w:tc>
          <w:tcPr>
            <w:tcW w:w="23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BBB+ Rating Outlook</w:t>
            </w:r>
          </w:p>
        </w:tc>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Upgrade</w:t>
            </w:r>
          </w:p>
        </w:tc>
        <w:tc>
          <w:tcPr>
            <w:tcW w:w="3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BBB Rating Outlook Stable</w:t>
            </w:r>
          </w:p>
        </w:tc>
      </w:tr>
      <w:tr>
        <w:trPr>
          <w:trHeight w:val="234"/>
        </w:trPr>
        <w:tc>
          <w:tcPr>
            <w:tcW w:w="26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3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Stable</w:t>
            </w:r>
          </w:p>
        </w:tc>
        <w:tc>
          <w:tcPr>
            <w:tcW w:w="1520" w:type="dxa"/>
            <w:vAlign w:val="bottom"/>
          </w:tcPr>
          <w:p>
            <w:pPr>
              <w:spacing w:after="0"/>
              <w:rPr>
                <w:sz w:val="20"/>
                <w:szCs w:val="20"/>
                <w:color w:val="auto"/>
              </w:rPr>
            </w:pPr>
          </w:p>
        </w:tc>
        <w:tc>
          <w:tcPr>
            <w:tcW w:w="3060" w:type="dxa"/>
            <w:vAlign w:val="bottom"/>
          </w:tcPr>
          <w:p>
            <w:pPr>
              <w:spacing w:after="0"/>
              <w:rPr>
                <w:sz w:val="20"/>
                <w:szCs w:val="20"/>
                <w:color w:val="auto"/>
              </w:rPr>
            </w:pPr>
          </w:p>
        </w:tc>
      </w:tr>
      <w:tr>
        <w:trPr>
          <w:trHeight w:val="223"/>
        </w:trPr>
        <w:tc>
          <w:tcPr>
            <w:tcW w:w="8180" w:type="dxa"/>
            <w:vAlign w:val="bottom"/>
            <w:tcBorders>
              <w:bottom w:val="single" w:sz="8" w:color="auto"/>
            </w:tcBorders>
            <w:gridSpan w:val="4"/>
          </w:tcPr>
          <w:p>
            <w:pPr>
              <w:spacing w:after="0"/>
              <w:rPr>
                <w:sz w:val="19"/>
                <w:szCs w:val="19"/>
                <w:color w:val="auto"/>
              </w:rPr>
            </w:pPr>
          </w:p>
        </w:tc>
        <w:tc>
          <w:tcPr>
            <w:tcW w:w="3060" w:type="dxa"/>
            <w:vAlign w:val="bottom"/>
            <w:tcBorders>
              <w:bottom w:val="single" w:sz="8" w:color="auto"/>
            </w:tcBorders>
          </w:tcPr>
          <w:p>
            <w:pPr>
              <w:spacing w:after="0"/>
              <w:rPr>
                <w:sz w:val="19"/>
                <w:szCs w:val="19"/>
                <w:color w:val="auto"/>
              </w:rPr>
            </w:pPr>
          </w:p>
        </w:tc>
      </w:tr>
      <w:tr>
        <w:trPr>
          <w:trHeight w:val="543"/>
        </w:trPr>
        <w:tc>
          <w:tcPr>
            <w:tcW w:w="81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https://www.fitchratings.com/research/banks/fitch-upgrades-banco-de-credito-del-peru-credicorp-to-bbb-outlook-stable-08-06-2026</w:t>
            </w:r>
          </w:p>
        </w:tc>
        <w:tc>
          <w:tcPr>
            <w:tcW w:w="3060" w:type="dxa"/>
            <w:vAlign w:val="bottom"/>
          </w:tcPr>
          <w:p>
            <w:pPr>
              <w:ind w:left="2800"/>
              <w:spacing w:after="0"/>
              <w:rPr>
                <w:sz w:val="20"/>
                <w:szCs w:val="20"/>
                <w:color w:val="auto"/>
              </w:rPr>
            </w:pPr>
            <w:r>
              <w:rPr>
                <w:rFonts w:ascii="Times New Roman" w:cs="Times New Roman" w:eastAsia="Times New Roman" w:hAnsi="Times New Roman"/>
                <w:sz w:val="14"/>
                <w:szCs w:val="14"/>
                <w:color w:val="auto"/>
                <w:w w:val="96"/>
              </w:rPr>
              <w:t>6/12</w:t>
            </w:r>
          </w:p>
        </w:tc>
      </w:tr>
      <w:tr>
        <w:trPr>
          <w:trHeight w:val="44"/>
        </w:trPr>
        <w:tc>
          <w:tcPr>
            <w:tcW w:w="262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234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3060" w:type="dxa"/>
            <w:vAlign w:val="bottom"/>
            <w:tcBorders>
              <w:bottom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-3376930</wp:posOffset>
            </wp:positionV>
            <wp:extent cx="93980" cy="1111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3980" cy="11112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-3239770</wp:posOffset>
            </wp:positionV>
            <wp:extent cx="93980" cy="1111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3980" cy="11112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-3376930</wp:posOffset>
            </wp:positionV>
            <wp:extent cx="93980" cy="1111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3980" cy="11112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-3239770</wp:posOffset>
            </wp:positionV>
            <wp:extent cx="94615" cy="1111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4615" cy="11112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-3376930</wp:posOffset>
            </wp:positionV>
            <wp:extent cx="93980" cy="1111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3980" cy="11112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2180" w:type="dxa"/>
            <w:vAlign w:val="bottom"/>
          </w:tcPr>
          <w:p>
            <w:pPr>
              <w:spacing w:after="0"/>
              <w:rPr>
                <w:sz w:val="20"/>
                <w:szCs w:val="20"/>
                <w:color w:val="auto"/>
              </w:rPr>
            </w:pPr>
          </w:p>
        </w:tc>
        <w:tc>
          <w:tcPr>
            <w:tcW w:w="26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LC ST IDR</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F2</w:t>
            </w:r>
          </w:p>
        </w:tc>
        <w:tc>
          <w:tcPr>
            <w:tcW w:w="19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Affirmed</w:t>
            </w:r>
          </w:p>
        </w:tc>
        <w:tc>
          <w:tcPr>
            <w:tcW w:w="2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F2</w:t>
            </w:r>
          </w:p>
        </w:tc>
      </w:tr>
      <w:tr>
        <w:trPr>
          <w:trHeight w:val="223"/>
        </w:trPr>
        <w:tc>
          <w:tcPr>
            <w:tcW w:w="218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tcPr>
          <w:p>
            <w:pPr>
              <w:spacing w:after="0"/>
              <w:rPr>
                <w:sz w:val="19"/>
                <w:szCs w:val="19"/>
                <w:color w:val="auto"/>
              </w:rPr>
            </w:pPr>
          </w:p>
        </w:tc>
      </w:tr>
      <w:tr>
        <w:trPr>
          <w:trHeight w:val="432"/>
        </w:trPr>
        <w:tc>
          <w:tcPr>
            <w:tcW w:w="2180" w:type="dxa"/>
            <w:vAlign w:val="bottom"/>
          </w:tcPr>
          <w:p>
            <w:pPr>
              <w:spacing w:after="0"/>
              <w:rPr>
                <w:sz w:val="24"/>
                <w:szCs w:val="24"/>
                <w:color w:val="auto"/>
              </w:rPr>
            </w:pPr>
          </w:p>
        </w:tc>
        <w:tc>
          <w:tcPr>
            <w:tcW w:w="26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Viability</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bbb+</w:t>
            </w:r>
          </w:p>
        </w:tc>
        <w:tc>
          <w:tcPr>
            <w:tcW w:w="19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Upgrade</w:t>
            </w:r>
          </w:p>
        </w:tc>
        <w:tc>
          <w:tcPr>
            <w:tcW w:w="2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bbb</w:t>
            </w:r>
          </w:p>
        </w:tc>
      </w:tr>
      <w:tr>
        <w:trPr>
          <w:trHeight w:val="223"/>
        </w:trPr>
        <w:tc>
          <w:tcPr>
            <w:tcW w:w="218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tcPr>
          <w:p>
            <w:pPr>
              <w:spacing w:after="0"/>
              <w:rPr>
                <w:sz w:val="19"/>
                <w:szCs w:val="19"/>
                <w:color w:val="auto"/>
              </w:rPr>
            </w:pPr>
          </w:p>
        </w:tc>
      </w:tr>
      <w:tr>
        <w:trPr>
          <w:trHeight w:val="432"/>
        </w:trPr>
        <w:tc>
          <w:tcPr>
            <w:tcW w:w="2180" w:type="dxa"/>
            <w:vAlign w:val="bottom"/>
          </w:tcPr>
          <w:p>
            <w:pPr>
              <w:spacing w:after="0"/>
              <w:rPr>
                <w:sz w:val="24"/>
                <w:szCs w:val="24"/>
                <w:color w:val="auto"/>
              </w:rPr>
            </w:pPr>
          </w:p>
        </w:tc>
        <w:tc>
          <w:tcPr>
            <w:tcW w:w="26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Government Support</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bbb-</w:t>
            </w:r>
          </w:p>
        </w:tc>
        <w:tc>
          <w:tcPr>
            <w:tcW w:w="19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Affirmed</w:t>
            </w:r>
          </w:p>
        </w:tc>
        <w:tc>
          <w:tcPr>
            <w:tcW w:w="2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bbb-</w:t>
            </w:r>
          </w:p>
        </w:tc>
      </w:tr>
      <w:tr>
        <w:trPr>
          <w:trHeight w:val="223"/>
        </w:trPr>
        <w:tc>
          <w:tcPr>
            <w:tcW w:w="218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tcPr>
          <w:p>
            <w:pPr>
              <w:spacing w:after="0"/>
              <w:rPr>
                <w:sz w:val="19"/>
                <w:szCs w:val="19"/>
                <w:color w:val="auto"/>
              </w:rPr>
            </w:pPr>
          </w:p>
        </w:tc>
      </w:tr>
      <w:tr>
        <w:trPr>
          <w:trHeight w:val="432"/>
        </w:trPr>
        <w:tc>
          <w:tcPr>
            <w:tcW w:w="2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senior unsecured</w:t>
            </w:r>
          </w:p>
        </w:tc>
        <w:tc>
          <w:tcPr>
            <w:tcW w:w="26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LT</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BBB+</w:t>
            </w:r>
          </w:p>
        </w:tc>
        <w:tc>
          <w:tcPr>
            <w:tcW w:w="19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Upgrade</w:t>
            </w:r>
          </w:p>
        </w:tc>
        <w:tc>
          <w:tcPr>
            <w:tcW w:w="2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BBB</w:t>
            </w:r>
          </w:p>
        </w:tc>
      </w:tr>
      <w:tr>
        <w:trPr>
          <w:trHeight w:val="223"/>
        </w:trPr>
        <w:tc>
          <w:tcPr>
            <w:tcW w:w="218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tcPr>
          <w:p>
            <w:pPr>
              <w:spacing w:after="0"/>
              <w:rPr>
                <w:sz w:val="19"/>
                <w:szCs w:val="19"/>
                <w:color w:val="auto"/>
              </w:rPr>
            </w:pPr>
          </w:p>
        </w:tc>
      </w:tr>
      <w:tr>
        <w:trPr>
          <w:trHeight w:val="432"/>
        </w:trPr>
        <w:tc>
          <w:tcPr>
            <w:tcW w:w="2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subordinated</w:t>
            </w:r>
          </w:p>
        </w:tc>
        <w:tc>
          <w:tcPr>
            <w:tcW w:w="26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LT</w:t>
            </w:r>
          </w:p>
        </w:tc>
        <w:tc>
          <w:tcPr>
            <w:tcW w:w="1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BBB-</w:t>
            </w:r>
          </w:p>
        </w:tc>
        <w:tc>
          <w:tcPr>
            <w:tcW w:w="19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Upgrade</w:t>
            </w:r>
          </w:p>
        </w:tc>
        <w:tc>
          <w:tcPr>
            <w:tcW w:w="2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BB+</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VIEW ADDITIONAL RATING DETAILS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FITCH RATINGS ANALYSTS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Larisa Arteaga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Director Primary Rating Analyst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+52 55 5955 1621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larisa.arteaga@fitchratings.com Fitch Mexico S.A. de C.V.</w:t>
      </w:r>
    </w:p>
    <w:p>
      <w:pPr>
        <w:spacing w:after="0" w:line="9" w:lineRule="exact"/>
        <w:rPr>
          <w:sz w:val="20"/>
          <w:szCs w:val="20"/>
          <w:color w:val="auto"/>
        </w:rPr>
      </w:pPr>
    </w:p>
    <w:p>
      <w:pPr>
        <w:ind w:right="4480"/>
        <w:spacing w:after="0" w:line="260" w:lineRule="auto"/>
        <w:rPr>
          <w:sz w:val="20"/>
          <w:szCs w:val="20"/>
          <w:color w:val="auto"/>
        </w:rPr>
      </w:pPr>
      <w:r>
        <w:rPr>
          <w:rFonts w:ascii="Times New Roman" w:cs="Times New Roman" w:eastAsia="Times New Roman" w:hAnsi="Times New Roman"/>
          <w:sz w:val="18"/>
          <w:szCs w:val="18"/>
          <w:color w:val="auto"/>
        </w:rPr>
        <w:t>Blvd Manuel Avila Camacho #36 Floor 23 Edificio Esmeralda II Col. Lomas de Chapultepec, Alcaldia Miguel Hidalgo Mexico City 11000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Abraham Martinez</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Secondary Rating Analyst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+56 2 3321 2901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abraham.martinez@fitchratings.com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Alejandro Tapia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Director Committee Chairperson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+52 81 4161 7056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alejandro.tapia@fitchratings.com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Maggie Guimaraes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São Paulo</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300" w:type="dxa"/>
            <w:vAlign w:val="bottom"/>
          </w:tcPr>
          <w:p>
            <w:pPr>
              <w:spacing w:after="0"/>
              <w:rPr>
                <w:sz w:val="20"/>
                <w:szCs w:val="20"/>
                <w:color w:val="auto"/>
              </w:rPr>
            </w:pPr>
            <w:r>
              <w:rPr>
                <w:rFonts w:ascii="Times New Roman" w:cs="Times New Roman" w:eastAsia="Times New Roman" w:hAnsi="Times New Roman"/>
                <w:sz w:val="14"/>
                <w:szCs w:val="14"/>
                <w:color w:val="auto"/>
              </w:rPr>
              <w:t>https://www.fitchratings.com/research/banks/fitch-upgrades-banco-de-credito-del-peru-credicorp-to-bbb-outlook-stable-08-06-2026</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w:t>
            </w:r>
          </w:p>
        </w:tc>
      </w:tr>
      <w:tr>
        <w:trPr>
          <w:trHeight w:val="44"/>
        </w:trPr>
        <w:tc>
          <w:tcPr>
            <w:tcW w:w="930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+55 11 4504 2207</w:t>
      </w:r>
    </w:p>
    <w:p>
      <w:pPr>
        <w:spacing w:after="0" w:line="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maggie.guimaraes@thefitchgroup.com</w:t>
      </w:r>
    </w:p>
    <w:p>
      <w:pPr>
        <w:spacing w:after="0" w:line="2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Additional information is available on www.fitchratings.com</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PARTICIPATION STATUS</w:t>
      </w:r>
    </w:p>
    <w:p>
      <w:pPr>
        <w:spacing w:after="0" w:line="229" w:lineRule="exact"/>
        <w:rPr>
          <w:sz w:val="20"/>
          <w:szCs w:val="20"/>
          <w:color w:val="auto"/>
        </w:rPr>
      </w:pPr>
    </w:p>
    <w:p>
      <w:pPr>
        <w:ind w:left="40" w:right="1780"/>
        <w:spacing w:after="0" w:line="266" w:lineRule="auto"/>
        <w:rPr>
          <w:sz w:val="20"/>
          <w:szCs w:val="20"/>
          <w:color w:val="auto"/>
        </w:rPr>
      </w:pPr>
      <w:r>
        <w:rPr>
          <w:rFonts w:ascii="Times New Roman" w:cs="Times New Roman" w:eastAsia="Times New Roman" w:hAnsi="Times New Roman"/>
          <w:sz w:val="18"/>
          <w:szCs w:val="18"/>
          <w:color w:val="auto"/>
        </w:rPr>
        <w:t>The rated entity (and/or its agents) or, in the case of structured finance, one or more of the transaction parties participated in the rating process except that the following issuer(s), if any, did not participate in the rating process, or provide additional information, beyond the issuer’s available public disclosure.</w:t>
      </w: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APPLICABLE CRITERIA</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Bank Rating Criteria (pub. 08 May 2026) (including rating assumption sensitivity)</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ADDITIONAL DISCLOSURES</w:t>
      </w: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Dodd-Frank Rating Information Disclosure Form</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Solicitation Status</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Endorsement Policy</w:t>
      </w: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ENDORSEMENT STATUS</w:t>
      </w:r>
    </w:p>
    <w:p>
      <w:pPr>
        <w:sectPr>
          <w:pgSz w:w="11900" w:h="16838" w:orient="portrait"/>
          <w:cols w:equalWidth="0" w:num="1">
            <w:col w:w="11240"/>
          </w:cols>
          <w:pgMar w:left="320" w:top="121" w:right="339" w:bottom="1440" w:gutter="0" w:footer="0" w:header="0"/>
        </w:sect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Banco de Credito del Peru S.A.</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EU Endorsed, UK Endorsed</w:t>
      </w:r>
    </w:p>
    <w:p>
      <w:pPr>
        <w:spacing w:after="0" w:line="88" w:lineRule="exact"/>
        <w:rPr>
          <w:sz w:val="20"/>
          <w:szCs w:val="20"/>
          <w:color w:val="auto"/>
        </w:rPr>
      </w:pPr>
    </w:p>
    <w:p>
      <w:pPr>
        <w:sectPr>
          <w:pgSz w:w="11900" w:h="16838" w:orient="portrait"/>
          <w:cols w:equalWidth="0" w:num="2">
            <w:col w:w="4260" w:space="720"/>
            <w:col w:w="6260"/>
          </w:cols>
          <w:pgMar w:left="320" w:top="12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Credicorp Ltd.</w:t>
      </w:r>
    </w:p>
    <w:p>
      <w:pPr>
        <w:spacing w:after="0" w:line="20" w:lineRule="exact"/>
        <w:rPr>
          <w:sz w:val="20"/>
          <w:szCs w:val="20"/>
          <w:color w:val="auto"/>
        </w:rPr>
      </w:pPr>
      <w:r>
        <w:rPr>
          <w:sz w:val="20"/>
          <w:szCs w:val="20"/>
          <w:color w:val="auto"/>
        </w:rPr>
        <w:br w:type="column"/>
      </w:r>
    </w:p>
    <w:p>
      <w:pPr>
        <w:jc w:val="center"/>
        <w:ind w:right="4220"/>
        <w:spacing w:after="0"/>
        <w:rPr>
          <w:sz w:val="20"/>
          <w:szCs w:val="20"/>
          <w:color w:val="auto"/>
        </w:rPr>
      </w:pPr>
      <w:r>
        <w:rPr>
          <w:rFonts w:ascii="Times New Roman" w:cs="Times New Roman" w:eastAsia="Times New Roman" w:hAnsi="Times New Roman"/>
          <w:sz w:val="17"/>
          <w:szCs w:val="17"/>
          <w:color w:val="auto"/>
        </w:rPr>
        <w:t>EU Endorsed, UK Endorsed</w:t>
      </w:r>
    </w:p>
    <w:p>
      <w:pPr>
        <w:spacing w:after="0" w:line="200" w:lineRule="exact"/>
        <w:rPr>
          <w:sz w:val="20"/>
          <w:szCs w:val="20"/>
          <w:color w:val="auto"/>
        </w:rPr>
      </w:pPr>
    </w:p>
    <w:p>
      <w:pPr>
        <w:sectPr>
          <w:pgSz w:w="11900" w:h="16838" w:orient="portrait"/>
          <w:cols w:equalWidth="0" w:num="2">
            <w:col w:w="4260" w:space="720"/>
            <w:col w:w="6260"/>
          </w:cols>
          <w:pgMar w:left="320" w:top="121" w:right="339" w:bottom="1440" w:gutter="0" w:footer="0" w:header="0"/>
          <w:type w:val="continuous"/>
        </w:sectPr>
      </w:pPr>
    </w:p>
    <w:p>
      <w:pPr>
        <w:spacing w:after="0" w:line="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DISCLAIMER &amp; DISCLOSURES</w:t>
      </w:r>
    </w:p>
    <w:p>
      <w:pPr>
        <w:sectPr>
          <w:pgSz w:w="11900" w:h="16838" w:orient="portrait"/>
          <w:cols w:equalWidth="0" w:num="1">
            <w:col w:w="11240"/>
          </w:cols>
          <w:pgMar w:left="320" w:top="121" w:right="339" w:bottom="1440" w:gutter="0" w:footer="0" w:header="0"/>
          <w:type w:val="continuous"/>
        </w:sectPr>
      </w:pPr>
    </w:p>
    <w:p>
      <w:pPr>
        <w:spacing w:after="0" w:line="241" w:lineRule="exact"/>
        <w:rPr>
          <w:sz w:val="20"/>
          <w:szCs w:val="20"/>
          <w:color w:val="auto"/>
        </w:rPr>
      </w:pPr>
    </w:p>
    <w:p>
      <w:pPr>
        <w:ind w:left="40" w:right="1700"/>
        <w:spacing w:after="0" w:line="256" w:lineRule="auto"/>
        <w:rPr>
          <w:sz w:val="20"/>
          <w:szCs w:val="20"/>
          <w:color w:val="auto"/>
        </w:rPr>
      </w:pPr>
      <w:r>
        <w:rPr>
          <w:rFonts w:ascii="Times New Roman" w:cs="Times New Roman" w:eastAsia="Times New Roman" w:hAnsi="Times New Roman"/>
          <w:sz w:val="18"/>
          <w:szCs w:val="18"/>
          <w:color w:val="auto"/>
        </w:rPr>
        <w:t>All Fitch Ratings (Fitch) credit ratings are subject to certain limitations and disclaimers. Please read these limitations and disclaimers by following this link: https://www.fitchratings.com/understandingcreditratings. In addition, the following https://www.fitchratings.com/rating-definitions-document details Fitch’s rating definitions for each rating scale and rating categories, including definitions relating to default. ESMA and the FCA are required to publish historical default rates in a central repository in accordance with Articles 11(2) of Regulation (EC) No 1060/2009 of the European Parliament and of the Council of 16 September 2009 and The Credit Rating Agencies (Amendment etc.) (EU Exit) Regulations 2019 respectively.</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300" w:type="dxa"/>
            <w:vAlign w:val="bottom"/>
          </w:tcPr>
          <w:p>
            <w:pPr>
              <w:spacing w:after="0"/>
              <w:rPr>
                <w:sz w:val="20"/>
                <w:szCs w:val="20"/>
                <w:color w:val="auto"/>
              </w:rPr>
            </w:pPr>
            <w:r>
              <w:rPr>
                <w:rFonts w:ascii="Times New Roman" w:cs="Times New Roman" w:eastAsia="Times New Roman" w:hAnsi="Times New Roman"/>
                <w:sz w:val="14"/>
                <w:szCs w:val="14"/>
                <w:color w:val="auto"/>
              </w:rPr>
              <w:t>https://www.fitchratings.com/research/banks/fitch-upgrades-banco-de-credito-del-peru-credicorp-to-bbb-outlook-stable-08-06-2026</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w:t>
            </w:r>
          </w:p>
        </w:tc>
      </w:tr>
      <w:tr>
        <w:trPr>
          <w:trHeight w:val="44"/>
        </w:trPr>
        <w:tc>
          <w:tcPr>
            <w:tcW w:w="930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21" w:right="339" w:bottom="1440" w:gutter="0" w:footer="0" w:header="0"/>
          <w:type w:val="continuous"/>
        </w:sectPr>
      </w:pPr>
    </w:p>
    <w:bookmarkStart w:id="11" w:name="page12"/>
    <w:bookmarkEnd w:id="11"/>
    <w:p>
      <w:pPr>
        <w:ind w:left="40" w:right="1760"/>
        <w:spacing w:after="0" w:line="255" w:lineRule="auto"/>
        <w:rPr>
          <w:sz w:val="20"/>
          <w:szCs w:val="20"/>
          <w:color w:val="auto"/>
        </w:rPr>
      </w:pPr>
      <w:r>
        <w:rPr>
          <w:rFonts w:ascii="Times New Roman" w:cs="Times New Roman" w:eastAsia="Times New Roman" w:hAnsi="Times New Roman"/>
          <w:sz w:val="18"/>
          <w:szCs w:val="18"/>
          <w:color w:val="auto"/>
        </w:rPr>
        <w:t>Published ratings, criteria, and methodologies are available from this site at all times. Fitch’s code of conduct, confidentiality, conflicts of interest, affiliate firewall, compliance, and other relevant policies and procedures are also available from the Code of Conduct section of this site. Directors and shareholders’ relevant interests are available at https://www.fitchratings.com/site/regulatory. Fitch may have provided another permissible or ancillary service to the rated entity or its related third parties. Details of permissible or ancillary service(s) for which the lead analyst is based in an ESMA- or FCA-registered Fitch Ratings company (or branch of such a company) can be found on the entity summary page for this issuer on the Fitch Ratings website.</w:t>
      </w:r>
    </w:p>
    <w:p>
      <w:pPr>
        <w:spacing w:after="0" w:line="243" w:lineRule="exact"/>
        <w:rPr>
          <w:sz w:val="20"/>
          <w:szCs w:val="20"/>
          <w:color w:val="auto"/>
        </w:rPr>
      </w:pPr>
    </w:p>
    <w:p>
      <w:pPr>
        <w:ind w:left="40" w:right="1620"/>
        <w:spacing w:after="0" w:line="251" w:lineRule="auto"/>
        <w:rPr>
          <w:sz w:val="20"/>
          <w:szCs w:val="20"/>
          <w:color w:val="auto"/>
        </w:rPr>
      </w:pPr>
      <w:r>
        <w:rPr>
          <w:rFonts w:ascii="Times New Roman" w:cs="Times New Roman" w:eastAsia="Times New Roman" w:hAnsi="Times New Roman"/>
          <w:sz w:val="18"/>
          <w:szCs w:val="18"/>
          <w:color w:val="auto"/>
        </w:rPr>
        <w:t>In issuing and maintaining its ratings and in making other reports (including forecast information), Fitch relies on factual information it receives from issuers and underwriters and from other sources Fitch believes to be credible. Fitch conducts a reasonable investigation of the factual information relied upon by it in accordance with its ratings methodology, and obtains reasonable verification of that information from independent sources, to the extent such sources are available for a given security or in a given jurisdiction. The manner of Fitch’s factual investigation and the scope of the third-party verification it obtains will vary depending on the nature of the rated security and its issuer, the requirements and practices in the jurisdiction in which the rated security is offered and sold and/or the issuer is located, the availability and nature of relevant public information, access to the management of the issuer and its advisers, the availability of pre-existing third-party verifications such as audit reports, agreed-upon procedures letters, appraisals, actuarial reports, engineering reports, legal opinions and other reports provided by third parties, the availability of independent and competent third- party verification sources with respect to the particular security or in the particular jurisdiction of the issuer, and a variety of other factors. Users of Fitch’s ratings and reports should understand that neither an enhanced factual investigation nor any third-party verification can ensure that all of the information Fitch relies on in connection with a rating or a report will be accurate and complete. Ultimately, the issuer and its advisers are responsible for the accuracy of the information they provide to Fitch and to the market in offering documents and other reports. In issuing its ratings and its reports, Fitch must rely on the work of experts, including independent auditors with respect to financial statements and attorneys with respect to legal and tax matters. Further, ratings and forecasts of financial and other information are inherently forward-looking and embody assumptions and predictions about future events that by their nature cannot be verified as facts. As a result, despite any verification of current facts, ratings and forecasts can be affected by future events or conditions that were not anticipated at the time a rating or forecast was issued or affirmed.</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Fitch Ratings makes routine, commonly-accepted adjustments to reported financial data in</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300" w:type="dxa"/>
            <w:vAlign w:val="bottom"/>
          </w:tcPr>
          <w:p>
            <w:pPr>
              <w:spacing w:after="0"/>
              <w:rPr>
                <w:sz w:val="20"/>
                <w:szCs w:val="20"/>
                <w:color w:val="auto"/>
              </w:rPr>
            </w:pPr>
            <w:r>
              <w:rPr>
                <w:rFonts w:ascii="Times New Roman" w:cs="Times New Roman" w:eastAsia="Times New Roman" w:hAnsi="Times New Roman"/>
                <w:sz w:val="14"/>
                <w:szCs w:val="14"/>
                <w:color w:val="auto"/>
              </w:rPr>
              <w:t>https://www.fitchratings.com/research/banks/fitch-upgrades-banco-de-credito-del-peru-credicorp-to-bbb-outlook-stable-08-06-2026</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9/12</w:t>
            </w:r>
          </w:p>
        </w:tc>
      </w:tr>
      <w:tr>
        <w:trPr>
          <w:trHeight w:val="44"/>
        </w:trPr>
        <w:tc>
          <w:tcPr>
            <w:tcW w:w="930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21" w:right="339" w:bottom="1440" w:gutter="0" w:footer="0" w:header="0"/>
        </w:sectPr>
      </w:pPr>
    </w:p>
    <w:bookmarkStart w:id="12" w:name="page13"/>
    <w:bookmarkEnd w:id="12"/>
    <w:p>
      <w:pPr>
        <w:ind w:left="40" w:right="1720"/>
        <w:spacing w:after="0" w:line="282" w:lineRule="auto"/>
        <w:rPr>
          <w:sz w:val="20"/>
          <w:szCs w:val="20"/>
          <w:color w:val="auto"/>
        </w:rPr>
      </w:pPr>
      <w:r>
        <w:rPr>
          <w:rFonts w:ascii="Times New Roman" w:cs="Times New Roman" w:eastAsia="Times New Roman" w:hAnsi="Times New Roman"/>
          <w:sz w:val="18"/>
          <w:szCs w:val="18"/>
          <w:color w:val="auto"/>
        </w:rPr>
        <w:t>accordance with the relevant criteria and/or industry standards to provide financial metric consistency for entities in the same sector or asset class.</w:t>
      </w:r>
    </w:p>
    <w:p>
      <w:pPr>
        <w:spacing w:after="0" w:line="243" w:lineRule="exact"/>
        <w:rPr>
          <w:sz w:val="20"/>
          <w:szCs w:val="20"/>
          <w:color w:val="auto"/>
        </w:rPr>
      </w:pPr>
    </w:p>
    <w:p>
      <w:pPr>
        <w:ind w:left="40" w:right="1620"/>
        <w:spacing w:after="0" w:line="256" w:lineRule="auto"/>
        <w:rPr>
          <w:sz w:val="20"/>
          <w:szCs w:val="20"/>
          <w:color w:val="auto"/>
        </w:rPr>
      </w:pPr>
      <w:r>
        <w:rPr>
          <w:rFonts w:ascii="Times New Roman" w:cs="Times New Roman" w:eastAsia="Times New Roman" w:hAnsi="Times New Roman"/>
          <w:sz w:val="18"/>
          <w:szCs w:val="18"/>
          <w:color w:val="auto"/>
        </w:rPr>
        <w:t>The complete span of best- and worst-case scenario credit ratings for all rating categories ranges from ‘AAA’ to ‘D’. Fitch also provides information on best-case rating upgrade scenarios and worst-case rating downgrade scenarios (defined as the 99th percentile of rating transitions, measured in each direction) for international credit ratings, based on historical performance. A simple average across asset classes presents best-case upgrades of 4 notches and worst-case downgrades of 8 notches at the 99th percentile. For more details on sector-specific best- and worst-case scenario credit ratings, please see Best- and Worst-Case Measures under the Rating Performance page on Fitch’s website.</w:t>
      </w:r>
    </w:p>
    <w:p>
      <w:pPr>
        <w:spacing w:after="0" w:line="268" w:lineRule="exact"/>
        <w:rPr>
          <w:sz w:val="20"/>
          <w:szCs w:val="20"/>
          <w:color w:val="auto"/>
        </w:rPr>
      </w:pPr>
    </w:p>
    <w:p>
      <w:pPr>
        <w:ind w:left="40" w:right="1680"/>
        <w:spacing w:after="0" w:line="253" w:lineRule="auto"/>
        <w:rPr>
          <w:sz w:val="20"/>
          <w:szCs w:val="20"/>
          <w:color w:val="auto"/>
        </w:rPr>
      </w:pPr>
      <w:r>
        <w:rPr>
          <w:rFonts w:ascii="Times New Roman" w:cs="Times New Roman" w:eastAsia="Times New Roman" w:hAnsi="Times New Roman"/>
          <w:sz w:val="18"/>
          <w:szCs w:val="18"/>
          <w:color w:val="auto"/>
        </w:rPr>
        <w:t>The information in this report is provided “as is” without any representation or warranty of any kind, and Fitch does not represent or warrant that the report or any of its contents will meet any of the requirements of a recipient of the report. A Fitch rating is an opinion as to the creditworthiness of a security. This opinion and reports made by Fitch are based on established criteria and methodologies that Fitch is continuously evaluating and updating. Therefore, ratings and reports are the collective work product of Fitch and no individual, or group of individuals, is solely responsible for a rating or a report. The rating does not address the risk of loss due to risks other than credit risk, unless such risk is specifically mentioned.</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Fitch is not engaged in the offer or sale of any security. All Fitch reports have shared authorship. Individuals identified in a Fitch</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report were involved in, but are not solely responsible for, the opinions stated therein. The individuals are named for contact</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purposes only. A report providing a Fitch rating is neither a prospectus nor a substitute for the information assembled, verified and</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presented to investors by the issuer and its agents in connection with the sale of the securities. Ratings may be changed or withdrawn</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at any time for any reason in the sole discretion of Fitch. Fitch does not provide investment advice of any sort. Ratings are not a</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recommendation to buy, sell, or hold any security. Ratings do not comment on the adequacy of market price, the suitability of any</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security for a particular investor, or the tax-exempt nature or taxability of payments made in respect to any security. Fitch receives</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fees from issuers, insurers, guarantors, other obligors, and underwriters for rating securities. Such fees generally vary from</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US$1,000 to US$750,000 (or the applicable currency equivalent) per issue. In certain cases, Fitch will rate all or a number of issues</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issued by a particular issuer, or insured or guaranteed by a particular insurer or guarantor, for a single annual fee. Such fees are</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expected to vary from US$10,000 to US$1,500,000 (or the applicable currency equivalent). The assignment, publication, or</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dissemination of a rating by Fitch shall not constitute a consent by Fitch to use its name as an expert in connection with any</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registration statement filed under the United States securities laws, the Financial</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260" w:type="dxa"/>
            <w:vAlign w:val="bottom"/>
          </w:tcPr>
          <w:p>
            <w:pPr>
              <w:spacing w:after="0"/>
              <w:rPr>
                <w:sz w:val="20"/>
                <w:szCs w:val="20"/>
                <w:color w:val="auto"/>
              </w:rPr>
            </w:pPr>
            <w:r>
              <w:rPr>
                <w:rFonts w:ascii="Times New Roman" w:cs="Times New Roman" w:eastAsia="Times New Roman" w:hAnsi="Times New Roman"/>
                <w:sz w:val="14"/>
                <w:szCs w:val="14"/>
                <w:color w:val="auto"/>
              </w:rPr>
              <w:t>https://www.fitchratings.com/research/banks/fitch-upgrades-banco-de-credito-del-peru-credicorp-to-bbb-outlook-stable-08-06-2026</w:t>
            </w: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10/12</w:t>
            </w:r>
          </w:p>
        </w:tc>
      </w:tr>
      <w:tr>
        <w:trPr>
          <w:trHeight w:val="44"/>
        </w:trPr>
        <w:tc>
          <w:tcPr>
            <w:tcW w:w="926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21" w:right="339" w:bottom="1440" w:gutter="0" w:footer="0" w:header="0"/>
        </w:sectPr>
      </w:pPr>
    </w:p>
    <w:bookmarkStart w:id="13" w:name="page14"/>
    <w:bookmarkEnd w:id="13"/>
    <w:p>
      <w:pPr>
        <w:ind w:left="40" w:right="1700"/>
        <w:spacing w:after="0" w:line="266" w:lineRule="auto"/>
        <w:rPr>
          <w:sz w:val="20"/>
          <w:szCs w:val="20"/>
          <w:color w:val="auto"/>
        </w:rPr>
      </w:pPr>
      <w:r>
        <w:rPr>
          <w:rFonts w:ascii="Times New Roman" w:cs="Times New Roman" w:eastAsia="Times New Roman" w:hAnsi="Times New Roman"/>
          <w:sz w:val="18"/>
          <w:szCs w:val="18"/>
          <w:color w:val="auto"/>
        </w:rPr>
        <w:t>Services and Markets Act of 2000 of the United Kingdom, or the securities laws of any particular jurisdiction. Due to the relative efficiency of electronic publishing and distribution, Fitch research may be available to electronic subscribers up to three days earlier than to print subscribers.</w:t>
      </w:r>
    </w:p>
    <w:p>
      <w:pPr>
        <w:spacing w:after="0" w:line="230" w:lineRule="exact"/>
        <w:rPr>
          <w:sz w:val="20"/>
          <w:szCs w:val="20"/>
          <w:color w:val="auto"/>
        </w:rPr>
      </w:pPr>
    </w:p>
    <w:p>
      <w:pPr>
        <w:ind w:left="40" w:right="1640"/>
        <w:spacing w:after="0" w:line="272" w:lineRule="auto"/>
        <w:rPr>
          <w:sz w:val="20"/>
          <w:szCs w:val="20"/>
          <w:color w:val="auto"/>
        </w:rPr>
      </w:pPr>
      <w:r>
        <w:rPr>
          <w:rFonts w:ascii="Times New Roman" w:cs="Times New Roman" w:eastAsia="Times New Roman" w:hAnsi="Times New Roman"/>
          <w:sz w:val="17"/>
          <w:szCs w:val="17"/>
          <w:color w:val="auto"/>
        </w:rPr>
        <w:t>For Australia, New Zealand, Taiwan and South Korea only: Fitch Australia Pty Ltd holds an Australian financial services license (AFS license no. 337123) which authorizes it to provide credit ratings to wholesale clients only. Credit ratings information published by Fitch is not intended to be used by persons who are retail clients within the meaning of the Corporations Act 2001.Fitch Ratings, Inc. is registered with the U.S. Securities and Exchange Commission as a Nationally Recognized Statistical Rating Organization (the “NRSRO”). While certain of the NRSRO’s credit rating subsidiaries are listed on Item 3 of Form NRSRO and as such are authorized to issue credit ratings on behalf of the NRSRO (see https://www.fitchratings.com/site/regulatory), other credit rating subsidiaries are not listed on Form NRSRO (the “non-NRSROs”) and therefore credit ratings issued by those subsidiaries are not issued on behalf of the NRSRO. However, non-NRSRO personnel may participate in determining credit ratings issued by or on behalf of the NRSRO.</w:t>
      </w:r>
    </w:p>
    <w:p>
      <w:pPr>
        <w:spacing w:after="0" w:line="239" w:lineRule="exact"/>
        <w:rPr>
          <w:sz w:val="20"/>
          <w:szCs w:val="20"/>
          <w:color w:val="auto"/>
        </w:rPr>
      </w:pPr>
    </w:p>
    <w:p>
      <w:pPr>
        <w:ind w:left="40" w:right="2260"/>
        <w:spacing w:after="0" w:line="282" w:lineRule="auto"/>
        <w:rPr>
          <w:sz w:val="20"/>
          <w:szCs w:val="20"/>
          <w:color w:val="auto"/>
        </w:rPr>
      </w:pPr>
      <w:r>
        <w:rPr>
          <w:rFonts w:ascii="Times New Roman" w:cs="Times New Roman" w:eastAsia="Times New Roman" w:hAnsi="Times New Roman"/>
          <w:sz w:val="18"/>
          <w:szCs w:val="18"/>
          <w:color w:val="auto"/>
        </w:rPr>
        <w:t>dv01, a Fitch Solutions company, and an affiliate of Fitch Ratings, may from time to time serve as loan data agent on certain structured finance transactions rated by Fitch Ratings.</w:t>
      </w:r>
    </w:p>
    <w:p>
      <w:pPr>
        <w:spacing w:after="0" w:line="202" w:lineRule="exact"/>
        <w:rPr>
          <w:sz w:val="20"/>
          <w:szCs w:val="20"/>
          <w:color w:val="auto"/>
        </w:rPr>
      </w:pPr>
    </w:p>
    <w:p>
      <w:pPr>
        <w:ind w:left="40" w:right="1800"/>
        <w:spacing w:after="0" w:line="266" w:lineRule="auto"/>
        <w:rPr>
          <w:sz w:val="20"/>
          <w:szCs w:val="20"/>
          <w:color w:val="auto"/>
        </w:rPr>
      </w:pPr>
      <w:r>
        <w:rPr>
          <w:rFonts w:ascii="Times New Roman" w:cs="Times New Roman" w:eastAsia="Times New Roman" w:hAnsi="Times New Roman"/>
          <w:sz w:val="18"/>
          <w:szCs w:val="18"/>
          <w:color w:val="auto"/>
        </w:rPr>
        <w:t>Copyright © 2026 by Fitch Ratings, Inc., Fitch Ratings Ltd. and its subsidiaries. 33 Whitehall Street, NY, NY 10004. Telephone: 1-800-753-4824, (212) 908-0500. Reproduction or retransmission in whole or in part is prohibited except by permission. All rights reserved.</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READ LESS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SOLICITATION STATUS</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ratings above were solicited and assigned or maintained by Fitch at the request of the rated entity/issuer or a related third party.</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Any exceptions follow below.</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Fitch’s solicitation status policy can be found at www.fitchratings.com/ethics.</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ENDORSEMENT POLICY</w:t>
      </w:r>
    </w:p>
    <w:p>
      <w:pPr>
        <w:spacing w:after="0" w:line="243" w:lineRule="exact"/>
        <w:rPr>
          <w:sz w:val="20"/>
          <w:szCs w:val="20"/>
          <w:color w:val="auto"/>
        </w:rPr>
      </w:pPr>
    </w:p>
    <w:p>
      <w:pPr>
        <w:ind w:left="40" w:right="2100"/>
        <w:spacing w:after="0" w:line="266" w:lineRule="auto"/>
        <w:rPr>
          <w:sz w:val="20"/>
          <w:szCs w:val="20"/>
          <w:color w:val="auto"/>
        </w:rPr>
      </w:pPr>
      <w:r>
        <w:rPr>
          <w:rFonts w:ascii="Times New Roman" w:cs="Times New Roman" w:eastAsia="Times New Roman" w:hAnsi="Times New Roman"/>
          <w:sz w:val="18"/>
          <w:szCs w:val="18"/>
          <w:color w:val="auto"/>
        </w:rPr>
        <w:t>Fitch’s international credit ratings produced outside the EU or the UK, as the case may be, are endorsed for use by regulated entities within the EU or the UK, respectively, for regulatory purposes, pursuant to the terms of the EU CRA Regulation or the UK Credit Rating Agencies (Amendment etc.) (EU Exit) Regulations 2019, as the case may be. Fitch’s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260" w:type="dxa"/>
            <w:vAlign w:val="bottom"/>
          </w:tcPr>
          <w:p>
            <w:pPr>
              <w:spacing w:after="0"/>
              <w:rPr>
                <w:sz w:val="20"/>
                <w:szCs w:val="20"/>
                <w:color w:val="auto"/>
              </w:rPr>
            </w:pPr>
            <w:r>
              <w:rPr>
                <w:rFonts w:ascii="Times New Roman" w:cs="Times New Roman" w:eastAsia="Times New Roman" w:hAnsi="Times New Roman"/>
                <w:sz w:val="14"/>
                <w:szCs w:val="14"/>
                <w:color w:val="auto"/>
              </w:rPr>
              <w:t>https://www.fitchratings.com/research/banks/fitch-upgrades-banco-de-credito-del-peru-credicorp-to-bbb-outlook-stable-08-06-2026</w:t>
            </w: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11/12</w:t>
            </w:r>
          </w:p>
        </w:tc>
      </w:tr>
      <w:tr>
        <w:trPr>
          <w:trHeight w:val="44"/>
        </w:trPr>
        <w:tc>
          <w:tcPr>
            <w:tcW w:w="926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21" w:right="339" w:bottom="1440" w:gutter="0" w:footer="0" w:header="0"/>
        </w:sectPr>
      </w:pPr>
    </w:p>
    <w:bookmarkStart w:id="14" w:name="page15"/>
    <w:bookmarkEnd w:id="14"/>
    <w:p>
      <w:pPr>
        <w:ind w:left="40" w:right="2080"/>
        <w:spacing w:after="0" w:line="289" w:lineRule="auto"/>
        <w:rPr>
          <w:sz w:val="20"/>
          <w:szCs w:val="20"/>
          <w:color w:val="auto"/>
        </w:rPr>
      </w:pPr>
      <w:r>
        <w:rPr>
          <w:rFonts w:ascii="Times New Roman" w:cs="Times New Roman" w:eastAsia="Times New Roman" w:hAnsi="Times New Roman"/>
          <w:sz w:val="17"/>
          <w:szCs w:val="17"/>
          <w:color w:val="auto"/>
        </w:rPr>
        <w:t>approach to endorsement in the EU and the UK can be found on Fitch’s Regulatory Affairs page on Fitch’s website. The endorsement status of international credit ratings is provided within the entity summary page for each rated entity and in the transaction detail pages for structured finance transactions on the Fitch website. These disclosures are updated on a daily basis.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260" w:type="dxa"/>
            <w:vAlign w:val="bottom"/>
          </w:tcPr>
          <w:p>
            <w:pPr>
              <w:spacing w:after="0"/>
              <w:rPr>
                <w:sz w:val="20"/>
                <w:szCs w:val="20"/>
                <w:color w:val="auto"/>
              </w:rPr>
            </w:pPr>
            <w:r>
              <w:rPr>
                <w:rFonts w:ascii="Times New Roman" w:cs="Times New Roman" w:eastAsia="Times New Roman" w:hAnsi="Times New Roman"/>
                <w:sz w:val="14"/>
                <w:szCs w:val="14"/>
                <w:color w:val="auto"/>
              </w:rPr>
              <w:t>https://www.fitchratings.com/research/banks/fitch-upgrades-banco-de-credito-del-peru-credicorp-to-bbb-outlook-stable-08-06-2026</w:t>
            </w: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12/12</w:t>
            </w:r>
          </w:p>
        </w:tc>
      </w:tr>
      <w:tr>
        <w:trPr>
          <w:trHeight w:val="71"/>
        </w:trPr>
        <w:tc>
          <w:tcPr>
            <w:tcW w:w="9260" w:type="dxa"/>
            <w:vAlign w:val="bottom"/>
            <w:tcBorders>
              <w:bottom w:val="single" w:sz="8" w:color="auto"/>
            </w:tcBorders>
          </w:tcPr>
          <w:p>
            <w:pPr>
              <w:spacing w:after="0"/>
              <w:rPr>
                <w:sz w:val="6"/>
                <w:szCs w:val="6"/>
                <w:color w:val="auto"/>
              </w:rPr>
            </w:pPr>
          </w:p>
        </w:tc>
        <w:tc>
          <w:tcPr>
            <w:tcW w:w="1980" w:type="dxa"/>
            <w:vAlign w:val="bottom"/>
            <w:tcBorders>
              <w:bottom w:val="single" w:sz="8" w:color="auto"/>
            </w:tcBorders>
          </w:tcPr>
          <w:p>
            <w:pPr>
              <w:spacing w:after="0"/>
              <w:rPr>
                <w:sz w:val="6"/>
                <w:szCs w:val="6"/>
                <w:color w:val="auto"/>
              </w:rPr>
            </w:pP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2026-06-09T08:33:10Z</dcterms:created>
  <dcterms:modified xsi:type="dcterms:W3CDTF">2026-06-09T08:33:10Z</dcterms:modified>
</cp:coreProperties>
</file>