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245745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8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November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559435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29"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2315210" cy="9218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15210" cy="9218930"/>
                    </a:xfrm>
                    <a:prstGeom prst="rect">
                      <a:avLst/>
                    </a:prstGeom>
                    <a:noFill/>
                  </pic:spPr>
                </pic:pic>
              </a:graphicData>
            </a:graphic>
          </wp:anchor>
        </w:drawing>
        <w:drawing>
          <wp:anchor simplePos="0" relativeHeight="251657728" behindDoc="1" locked="0" layoutInCell="0" allowOverlap="1">
            <wp:simplePos x="0" y="0"/>
            <wp:positionH relativeFrom="page">
              <wp:posOffset>5045710</wp:posOffset>
            </wp:positionH>
            <wp:positionV relativeFrom="page">
              <wp:posOffset>551815</wp:posOffset>
            </wp:positionV>
            <wp:extent cx="2358390" cy="643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58390" cy="643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CREDICORP Ltd. Reports Third Quarter 2008 Earnings</w:t>
      </w:r>
    </w:p>
    <w:p>
      <w:pPr>
        <w:spacing w:after="0" w:line="279" w:lineRule="exact"/>
        <w:rPr>
          <w:sz w:val="20"/>
          <w:szCs w:val="20"/>
          <w:color w:val="auto"/>
        </w:rPr>
      </w:pPr>
    </w:p>
    <w:p>
      <w:pPr>
        <w:jc w:val="both"/>
        <w:ind w:left="2740"/>
        <w:spacing w:after="0" w:line="266" w:lineRule="auto"/>
        <w:rPr>
          <w:sz w:val="20"/>
          <w:szCs w:val="20"/>
          <w:color w:val="auto"/>
        </w:rPr>
      </w:pPr>
      <w:r>
        <w:rPr>
          <w:rFonts w:ascii="Arial" w:cs="Arial" w:eastAsia="Arial" w:hAnsi="Arial"/>
          <w:sz w:val="18"/>
          <w:szCs w:val="18"/>
          <w:b w:val="1"/>
          <w:bCs w:val="1"/>
          <w:color w:val="auto"/>
        </w:rPr>
        <w:t xml:space="preserve">Lima, Peru, November 5, 2008 - </w:t>
      </w:r>
      <w:r>
        <w:rPr>
          <w:rFonts w:ascii="Arial" w:cs="Arial" w:eastAsia="Arial" w:hAnsi="Arial"/>
          <w:sz w:val="18"/>
          <w:szCs w:val="18"/>
          <w:color w:val="auto"/>
        </w:rPr>
        <w:t>Credicorp (NYSE:BAP)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quarter of 2008. These results are reported on a consolidated basis in accordance with IFRS in nominal U.S. Dollars.</w:t>
      </w:r>
    </w:p>
    <w:p>
      <w:pPr>
        <w:spacing w:after="0" w:line="230"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auto"/>
        </w:rPr>
        <w:t>HIGHLIGHTS</w:t>
      </w:r>
    </w:p>
    <w:p>
      <w:pPr>
        <w:spacing w:after="0" w:line="283" w:lineRule="exact"/>
        <w:rPr>
          <w:sz w:val="20"/>
          <w:szCs w:val="20"/>
          <w:color w:val="auto"/>
        </w:rPr>
      </w:pPr>
    </w:p>
    <w:p>
      <w:pPr>
        <w:jc w:val="both"/>
        <w:ind w:left="3060" w:hanging="322"/>
        <w:spacing w:after="0" w:line="254" w:lineRule="auto"/>
        <w:tabs>
          <w:tab w:leader="none" w:pos="31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Credicorp reported net earnings of US$ 92.6 million for 3Q08, reflecting an increase of 25.7% compared to 2Q earnings which were strongly affected by translation losses. But more importantly, YTD net earnings reached US$ 344.3 million revealing a very strong 34% earnings growth for the period.</w:t>
      </w:r>
    </w:p>
    <w:p>
      <w:pPr>
        <w:spacing w:after="0" w:line="2" w:lineRule="exact"/>
        <w:rPr>
          <w:rFonts w:ascii="Arial" w:cs="Arial" w:eastAsia="Arial" w:hAnsi="Arial"/>
          <w:sz w:val="18"/>
          <w:szCs w:val="18"/>
          <w:b w:val="1"/>
          <w:bCs w:val="1"/>
          <w:color w:val="auto"/>
        </w:rPr>
      </w:pPr>
    </w:p>
    <w:p>
      <w:pPr>
        <w:jc w:val="both"/>
        <w:ind w:left="3060" w:hanging="322"/>
        <w:spacing w:after="0" w:line="265" w:lineRule="auto"/>
        <w:tabs>
          <w:tab w:leader="none" w:pos="3033"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Translation gains/losses, which affected so significantly previous quarters, did not reach such high levels since the unusually high currency volatility was curbed by Central Bank measures and the local currency un-hedged position on Credicorp’s balance sheet reduced, following an asset &amp; liability management decision. Thus, translation results reached only a positive US$ 7 million this quarter, back in line with more “normal” levels reported in the past.</w:t>
      </w:r>
    </w:p>
    <w:p>
      <w:pPr>
        <w:spacing w:after="0" w:line="1" w:lineRule="exact"/>
        <w:rPr>
          <w:rFonts w:ascii="Arial" w:cs="Arial" w:eastAsia="Arial" w:hAnsi="Arial"/>
          <w:sz w:val="17"/>
          <w:szCs w:val="17"/>
          <w:b w:val="1"/>
          <w:bCs w:val="1"/>
          <w:color w:val="auto"/>
        </w:rPr>
      </w:pPr>
    </w:p>
    <w:p>
      <w:pPr>
        <w:jc w:val="both"/>
        <w:ind w:left="3060" w:hanging="322"/>
        <w:spacing w:after="0" w:line="250" w:lineRule="auto"/>
        <w:tabs>
          <w:tab w:leader="none" w:pos="3073"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Loan growth reported by the banking business continued strong, revealing a 6.9% QoQ net loan portfolio growth, or 32.8% YoY. In fact, all measures taken by the central bank to curb loan growth do not seem to have had a material impact, with retail loans growing 6.3%, middle market 9.6% and corporate loans 5.6%.</w:t>
      </w:r>
    </w:p>
    <w:p>
      <w:pPr>
        <w:spacing w:after="0" w:line="1" w:lineRule="exact"/>
        <w:rPr>
          <w:rFonts w:ascii="Arial" w:cs="Arial" w:eastAsia="Arial" w:hAnsi="Arial"/>
          <w:sz w:val="18"/>
          <w:szCs w:val="18"/>
          <w:b w:val="1"/>
          <w:bCs w:val="1"/>
          <w:color w:val="auto"/>
        </w:rPr>
      </w:pPr>
    </w:p>
    <w:p>
      <w:pPr>
        <w:jc w:val="both"/>
        <w:ind w:left="3060" w:hanging="322"/>
        <w:spacing w:after="0" w:line="265" w:lineRule="auto"/>
        <w:tabs>
          <w:tab w:leader="none" w:pos="3046"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Net Interest income however suffered (-7.6%) due to the re-composition of interest earning assets towards lower yielding assets following (i) the increased reserve requirements, (ii) a shift from Soles to Dollar positions to reduce currency exposure and (iii) a defensive high liquidity policy. The drop did not come from lending rates, which in fact moved higher following increased funding costs both locally and as a result of the international financial crunch.</w:t>
      </w:r>
    </w:p>
    <w:p>
      <w:pPr>
        <w:spacing w:after="0" w:line="1" w:lineRule="exact"/>
        <w:rPr>
          <w:rFonts w:ascii="Arial" w:cs="Arial" w:eastAsia="Arial" w:hAnsi="Arial"/>
          <w:sz w:val="17"/>
          <w:szCs w:val="17"/>
          <w:b w:val="1"/>
          <w:bCs w:val="1"/>
          <w:color w:val="auto"/>
        </w:rPr>
      </w:pPr>
    </w:p>
    <w:p>
      <w:pPr>
        <w:ind w:left="3060" w:right="20" w:hanging="322"/>
        <w:spacing w:after="0" w:line="250" w:lineRule="auto"/>
        <w:tabs>
          <w:tab w:leader="none" w:pos="3046"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Consequently, NIM receives the full impact of lower yielding liquid assets and increased funding costs and drops to 4.3% from 4.8% the previous quarter.</w:t>
      </w:r>
    </w:p>
    <w:p>
      <w:pPr>
        <w:jc w:val="both"/>
        <w:ind w:left="3060" w:hanging="322"/>
        <w:spacing w:after="0" w:line="250" w:lineRule="auto"/>
        <w:tabs>
          <w:tab w:leader="none" w:pos="3046"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Non financial income also shows the impact of the financial turmoil (down 7%) with some losses on the sale of securities and lower income from FX transactions for 3Q08 after an extremely good previous quarter due to the then strong FX-volatility. In fact, fee income was robust, growing 5.9% QoQ.</w:t>
      </w:r>
    </w:p>
    <w:p>
      <w:pPr>
        <w:spacing w:after="0" w:line="1" w:lineRule="exact"/>
        <w:rPr>
          <w:rFonts w:ascii="Arial" w:cs="Arial" w:eastAsia="Arial" w:hAnsi="Arial"/>
          <w:sz w:val="18"/>
          <w:szCs w:val="18"/>
          <w:b w:val="1"/>
          <w:bCs w:val="1"/>
          <w:color w:val="auto"/>
        </w:rPr>
      </w:pPr>
    </w:p>
    <w:p>
      <w:pPr>
        <w:jc w:val="both"/>
        <w:ind w:left="3060" w:hanging="322"/>
        <w:spacing w:after="0" w:line="265" w:lineRule="auto"/>
        <w:tabs>
          <w:tab w:leader="none" w:pos="3019"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Loan portfolio quality remained strong at 0.78% PDL/Loans ratio and close to 300% coverage. Net provisioning did however increase following a conservative provisioning policy since the beginning of the year which was mitigated in the previous quarters by provision reversals.</w:t>
      </w:r>
    </w:p>
    <w:p>
      <w:pPr>
        <w:jc w:val="both"/>
        <w:ind w:left="3060" w:hanging="322"/>
        <w:spacing w:after="0" w:line="281" w:lineRule="auto"/>
        <w:tabs>
          <w:tab w:leader="none" w:pos="3087"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BCP’s consolidated numbers reflect a very healthy and dynamic banking environment. BCP has weathered the crisis with minor impact through lower core revenues QoQ as described above, which combined with higher (though projected) operating expenses resulted in earnings of US$ 93 million for 3Q08, slightly below our projections. However, the strong growth, excellent loan portfolio quality and asset quality, strong funding structure non dependant on international financing and high liquidity, reveal significant strengths that will allow BCP to continue growing. Furthermore, YTD results show earnings of US$ 337 million, up 37% from 2007.</w:t>
      </w:r>
    </w:p>
    <w:p>
      <w:pPr>
        <w:spacing w:after="0" w:line="4" w:lineRule="exact"/>
        <w:rPr>
          <w:rFonts w:ascii="Arial" w:cs="Arial" w:eastAsia="Arial" w:hAnsi="Arial"/>
          <w:sz w:val="16"/>
          <w:szCs w:val="16"/>
          <w:b w:val="1"/>
          <w:bCs w:val="1"/>
          <w:color w:val="auto"/>
        </w:rPr>
      </w:pPr>
    </w:p>
    <w:p>
      <w:pPr>
        <w:ind w:left="3060" w:hanging="322"/>
        <w:spacing w:after="0" w:line="250" w:lineRule="auto"/>
        <w:tabs>
          <w:tab w:leader="none" w:pos="3073"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BCP Bolivia, which is consolidated in BCP, continues its consistent growth and reports a strong contribution of US$ 11 million for 3Q08, up 9% QoQ and 56% higher YoY.</w:t>
      </w:r>
    </w:p>
    <w:p>
      <w:pPr>
        <w:ind w:left="3060" w:hanging="322"/>
        <w:spacing w:after="0" w:line="265" w:lineRule="auto"/>
        <w:tabs>
          <w:tab w:leader="none" w:pos="310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ASHC also suffered the effects of the financial turmoil reflected in increased provisions for its portfolio reporting a19% lower, though still strong contribution this quarter of US$ 4.2 million.</w:t>
      </w:r>
    </w:p>
    <w:p>
      <w:pPr>
        <w:jc w:val="both"/>
        <w:ind w:left="3060" w:hanging="322"/>
        <w:spacing w:after="0" w:line="281" w:lineRule="auto"/>
        <w:tabs>
          <w:tab w:leader="none" w:pos="310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Though casualties at PPS’s property and casualty business dropped this 3Q08, losses were still reported by this segment and the positive bottom line results for the company were supported only by the profitable Life business and gains on securities sold. Thus, after consolidation adjustments and minorities, PPS contribution to Credicorp reached again a disappointing US$ -3.5 million.</w:t>
      </w:r>
    </w:p>
    <w:p>
      <w:pPr>
        <w:spacing w:after="0" w:line="2" w:lineRule="exact"/>
        <w:rPr>
          <w:rFonts w:ascii="Arial" w:cs="Arial" w:eastAsia="Arial" w:hAnsi="Arial"/>
          <w:sz w:val="16"/>
          <w:szCs w:val="16"/>
          <w:b w:val="1"/>
          <w:bCs w:val="1"/>
          <w:color w:val="auto"/>
        </w:rPr>
      </w:pPr>
    </w:p>
    <w:p>
      <w:pPr>
        <w:jc w:val="both"/>
        <w:ind w:left="3060" w:hanging="322"/>
        <w:spacing w:after="0" w:line="265" w:lineRule="auto"/>
        <w:tabs>
          <w:tab w:leader="none" w:pos="3073"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Finally, Prima AFP reports growth of its business and increasing operating results, but could not avoid a translation effect which again depressed results but left still a positive contribution of US$ 1.7 million for 3Q08, and cumulative results above projections of US$ 9.7 million.</w:t>
      </w:r>
    </w:p>
    <w:p>
      <w:pPr>
        <w:jc w:val="both"/>
        <w:ind w:left="3060" w:hanging="322"/>
        <w:spacing w:after="0" w:line="252" w:lineRule="auto"/>
        <w:tabs>
          <w:tab w:leader="none" w:pos="3154"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Credicorp’s performance is better reflected by YTD results, which show 37% higher income contribution from BCP, 82% higher income generation at BCP Bolivia, flat income at ASHC and US$ 9.7 million income contribution from Prima (vs. US$ 0.7 million in the previous period), i.e.: earnings growth in all businesses except its insurance business which remains today the only problem to solve. This led to the outstanding total net income of US$ 344 million for the YTD, up 34%, and an annualized 25.7% ROAE.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422275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368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I. Credicorp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attributable to Credicorp reported for 3Q08 reached US$ 92.6 million, 26% higher than the strongly depressed earnings through negative translation results from 2Q08 and only 3% higher YoY.</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Translation gains/losses, which affected so significantly previous quarters, did not reach such high levels for 3Q08 since the unusually high currency volatility was curbed by Central Bank measures and the local currency un-hedged position on Credicorp’s balance sheet gradually reduced, following an asset &amp; liability management decision. Thus, translation results reached only a positive US$ 7 million this quarter, back in line with more “normal” levels reported in the past.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However, on an operating level, the numbers obviously reflect the toll of the restrictive Central Bank monetary measures geared to reduce growth and control inflationary pressures, and the international financial crisis on Credicorp. Though this is the quarter with the lowest operating results in the year, these are still above 2007 levels and reveal at the same time a relatively mild impact.</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Furthermore, despite the deep financial/economic crisis, the Peruvian economy continues growing at high rates and loan growth reported by Credicorp’s banking business continued strong, reaching 6.9% QoQ net loan portfolio growth, or 32.8% YoY. In fact, all measures taken by the central bank to curb loan growth do not seem to have had a material impact, with the retail sector growing 6.3%, middle market 9.6% and the corporate sector 5.6% for the quarter.</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Interest income however did suffer (-7.6% QoQ) due to the re-composition of interest earning assets towards significantly lower yielding assets (compared to the highly profitable Central Bank Soles denominated CD’s) as a consequence of (i) the increased reserve requirements, (ii) a shift from Soles to Dollar positions to reduce the currency exposure and (iii) a defensive high liquidity policy concentrated in foreign currency. Thus, the drop in NII is more a result of significantly lower yields on the non-lending portion of IEA, rather than a compression in lending spreads. Rates in fact moved higher following increased direct funding costs. In fact, rates paid mainly on time deposits increased as banks competed for liquidity, and dollar interbank rates rose as a result of the international financial crunch, though with a minor impact on overall funding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Consequently, NIM receives the full impact of lower yielding liquid assets and increased funding costs and drops to 4.3% from 4.8% the previous quarter.</w:t>
      </w: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 financial income also shows the impact of the financial turmoil (down 7%) with (relatively low given the market environment) losses of US$ -6.6 million on the sale of securities, and lower income from FX transactions after an extremely good previous quarter thanks to the then strong FX-volatility. However, operational/business fee income remained strong, growing 5.9% QoQ</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insurance business continues reporting good growth, with net premiums up 8.1% QoQ after recording also 9% growth in 2Q08. It is however the level of claims, mainly in the property and casualty sector, which continued too high. Nevertheless, a drop in claims (-13.5%) was reported this quarter leading to an improved NEL (Net Earned Loss) ratio to 82% from 94% the previous quarter, but the improvement is by far not enough to turn the insurance business results into profitable terrain, being its overall contribution still in the red.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Credicorp Ltd.</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0"/>
                <w:szCs w:val="20"/>
                <w:color w:val="auto"/>
              </w:rPr>
            </w:pPr>
          </w:p>
        </w:tc>
      </w:tr>
      <w:tr>
        <w:trPr>
          <w:trHeight w:val="26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3Q08</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2Q08</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3Q08/3Q07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3Q08/2Q08</w:t>
            </w:r>
          </w:p>
        </w:tc>
        <w:tc>
          <w:tcPr>
            <w:tcW w:w="160" w:type="dxa"/>
            <w:vAlign w:val="bottom"/>
          </w:tcPr>
          <w:p>
            <w:pPr>
              <w:spacing w:after="0"/>
              <w:rPr>
                <w:sz w:val="22"/>
                <w:szCs w:val="22"/>
                <w:color w:val="auto"/>
              </w:rPr>
            </w:pPr>
          </w:p>
        </w:tc>
      </w:tr>
      <w:tr>
        <w:trPr>
          <w:trHeight w:val="23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200,440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216,986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161,055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(16,713)</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(9,235)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(7,922)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130,869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140,723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112,942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-7.0%</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16,484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9,809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463.5%</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(213,841)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(192,338)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(163,125)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w:t>
            </w: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Tranlation results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6,979</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(61,510)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13,811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-111.3%</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5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(27,542)</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(23,711)</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(33,418)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96,675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73,841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93,152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30.9%</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4,075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2,848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2231.6%</w:t>
            </w:r>
          </w:p>
        </w:tc>
      </w:tr>
      <w:tr>
        <w:trPr>
          <w:trHeight w:val="243"/>
        </w:trPr>
        <w:tc>
          <w:tcPr>
            <w:tcW w:w="472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92,601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73,666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90,304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r>
      <w:tr>
        <w:trPr>
          <w:trHeight w:val="250"/>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0.92</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1.13</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25.7%</w:t>
            </w:r>
          </w:p>
        </w:tc>
      </w:tr>
      <w:tr>
        <w:trPr>
          <w:trHeight w:val="20"/>
        </w:trPr>
        <w:tc>
          <w:tcPr>
            <w:tcW w:w="47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72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9,929,562</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9,288,774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7,509,085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13,043,454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12,956,438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10,322,832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r>
      <w:tr>
        <w:trPr>
          <w:trHeight w:val="270"/>
        </w:trPr>
        <w:tc>
          <w:tcPr>
            <w:tcW w:w="472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2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1,793,786</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1,791,066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1,603,026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0"/>
        </w:trPr>
        <w:tc>
          <w:tcPr>
            <w:tcW w:w="4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Net interest margin (70%)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42.6%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40.8%</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Return on average shareholders' equity</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2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297.5%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316.3%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299.4%</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19,317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18,169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15,621</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368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jc w:val="both"/>
        <w:spacing w:after="0" w:line="279" w:lineRule="auto"/>
        <w:rPr>
          <w:sz w:val="20"/>
          <w:szCs w:val="20"/>
          <w:color w:val="auto"/>
        </w:rPr>
      </w:pPr>
      <w:r>
        <w:rPr>
          <w:rFonts w:ascii="Arial" w:cs="Arial" w:eastAsia="Arial" w:hAnsi="Arial"/>
          <w:sz w:val="17"/>
          <w:szCs w:val="17"/>
          <w:color w:val="auto"/>
        </w:rPr>
        <w:t>On the cost side, total operating costs were up 11.2% QoQ as a result of the expansion of our network with personnel costs and related general and administrative expenses increasing as projected. The opening of new branches is very much on track with a total of 310 branches opened by the end of September 2008. Even though this development was expected to generate a deterioration of our efficiency ratio, this cost expansion combined with lower operating income resulted in a stronger than expected deterioration of our efficiency ratio to 42.6% from 37.3% in 2Q08.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Loan portfolio quality remained strong at 0.78% PDL/Loans ratio and close to 300% coverage. Despite this, we continue following a more conservative provisioning policy for our retail portfolio, increasing the internal minimum provisioning requirements in line with a more sophisticated risk assessment methodology which leads to higher net provisioning.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Results for the year 2008</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YTD results attributable to Credicorp do reflect a significant increase of 34.1% in net earnings reaching US$ 344.3 million vs. US$ 256.7 million in 2007. This is certainly a significant achievement in view of the turbulent year and reflects the strength of the Peruvian economy and financial system, as well as the prudent policies and appropriate strategy followed by Credicorp.</w:t>
      </w:r>
    </w:p>
    <w:p>
      <w:pPr>
        <w:spacing w:after="0"/>
        <w:rPr>
          <w:sz w:val="20"/>
          <w:szCs w:val="20"/>
          <w:color w:val="auto"/>
        </w:rPr>
      </w:pPr>
      <w:r>
        <w:rPr>
          <w:rFonts w:ascii="Arial" w:cs="Arial" w:eastAsia="Arial" w:hAnsi="Arial"/>
          <w:sz w:val="16"/>
          <w:szCs w:val="16"/>
          <w:color w:val="auto"/>
        </w:rPr>
        <w:t>Thus financial ratios reflect this strength, with ROAE reaching 25.6% on an annualized basis (vs. 22.9% in the same period of 2007), PDL ratio of 0.78% (vs.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0.91%), and efficiency of 40.0% (vs. 41.8%). All results above expectations for the year.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Results of Credicorp this 3Q08 absorb not only the full effect of the restrictive Central Bank measures to reduce growth and control inflationary pressures, but also the impact of the international financial / bank crisis, which is turning into a full blown economic crisis, all of which end up being intertwined. So far, such impact on Credicorp’s overall performance has been mild, though different for each subsidiary: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4" w:name="page5"/>
    <w:bookmarkEnd w:id="4"/>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6143625</wp:posOffset>
            </wp:positionH>
            <wp:positionV relativeFrom="page">
              <wp:posOffset>260350</wp:posOffset>
            </wp:positionV>
            <wp:extent cx="126047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BCP’s was more affected by the local turbulence, only partly as a result of the international crisis, than by a direct impact from the financial crisis given its conservative investment portfolio (no exposure to international troubled assets), and little dependence from international funding. Furthermore, BCP did not see growth of its loan portfolio affected, which remained strong at 6.6% for the quarter. However, the increase in Nuevo Soles reference rates and increase in reserve requirements impacted the local financial markets and players in different ways, on the one side generating a high volatility in the local currency in the first half of the year which led to a more conservative currency exposure management in 3Q08, and on the other hand forcing liquidity into very low yielding deposits at the BCRP, affecting the yields achieved by BCP on its very large liquidity/investment positions. The reduced liquidity translated into higher rates paid on deposits and higher spreads on international funding, which resulted in a drop of BCP’s operating income. In addition, non-interest income dropped as well due to the market events, while operating expenses continued and increased as planned, squeezing net operating earnings. At the same time, our currency exposure reduction aimed at reducing the income volatility in the previous quarters, led to a very small impact from currency translation this quarter. Thus, BCP’s contribution to Credicorp of US$ 90.7 million for 3Q08 shows a 19% improvement from the depressed results of last quarter, but only 3% higher YoY. This result reflects an ROAE of 28.9% for the quarter, which considering that it incorporates the impact of the financial turbulence reveals the strength of BCP’s business. On a YTD basis, BCP’s earnings contribution to Credicorp is up an impressive 37% to US$ 328 million.</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Earnings Contribution</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Sep 08/</w:t>
            </w:r>
          </w:p>
        </w:tc>
      </w:tr>
      <w:tr>
        <w:trPr>
          <w:trHeight w:val="270"/>
        </w:trPr>
        <w:tc>
          <w:tcPr>
            <w:tcW w:w="3840" w:type="dxa"/>
            <w:vAlign w:val="bottom"/>
          </w:tcPr>
          <w:p>
            <w:pPr>
              <w:spacing w:after="0"/>
              <w:rPr>
                <w:sz w:val="20"/>
                <w:szCs w:val="20"/>
                <w:color w:val="auto"/>
              </w:rPr>
            </w:pPr>
            <w:r>
              <w:rPr>
                <w:rFonts w:ascii="Arial" w:cs="Arial" w:eastAsia="Arial" w:hAnsi="Arial"/>
                <w:sz w:val="18"/>
                <w:szCs w:val="18"/>
                <w:b w:val="1"/>
                <w:bCs w:val="1"/>
                <w:color w:val="auto"/>
              </w:rPr>
              <w:t>(US$ Thousands)</w:t>
            </w:r>
          </w:p>
        </w:tc>
        <w:tc>
          <w:tcPr>
            <w:tcW w:w="1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3Q08</w:t>
            </w:r>
          </w:p>
        </w:tc>
        <w:tc>
          <w:tcPr>
            <w:tcW w:w="100" w:type="dxa"/>
            <w:vAlign w:val="bottom"/>
          </w:tcPr>
          <w:p>
            <w:pPr>
              <w:spacing w:after="0"/>
              <w:rPr>
                <w:sz w:val="23"/>
                <w:szCs w:val="23"/>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3"/>
                <w:szCs w:val="23"/>
                <w:color w:val="auto"/>
              </w:rPr>
            </w:pPr>
          </w:p>
        </w:tc>
        <w:tc>
          <w:tcPr>
            <w:tcW w:w="600" w:type="dxa"/>
            <w:vAlign w:val="bottom"/>
          </w:tcPr>
          <w:p>
            <w:pPr>
              <w:ind w:left="10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3"/>
                <w:szCs w:val="2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3Q08/3Q07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3Q08/2Q08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Sep 08</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Sep 07</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Sep 07</w:t>
            </w:r>
          </w:p>
        </w:tc>
      </w:tr>
      <w:tr>
        <w:trPr>
          <w:trHeight w:val="20"/>
        </w:trPr>
        <w:tc>
          <w:tcPr>
            <w:tcW w:w="3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00" w:type="dxa"/>
            <w:vAlign w:val="bottom"/>
            <w:shd w:val="clear" w:color="auto" w:fill="CCFFCC"/>
          </w:tcPr>
          <w:p>
            <w:pPr>
              <w:spacing w:after="0"/>
              <w:rPr>
                <w:sz w:val="20"/>
                <w:szCs w:val="20"/>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90,659</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75,981</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88,227</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327,992</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238,670</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w:t>
            </w: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BCB</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10,956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10,098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7,045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31,464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17,302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43"/>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5,195</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6,214</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15,073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15,549</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PPS</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(3,589)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(7,214)</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(2,960)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(8,461)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8,790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r>
      <w:tr>
        <w:trPr>
          <w:trHeight w:val="243"/>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882</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3,803</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12,998</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4,420</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w:t>
            </w: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Prima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1,811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9,766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1247%</w:t>
            </w:r>
          </w:p>
        </w:tc>
      </w:tr>
      <w:tr>
        <w:trPr>
          <w:trHeight w:val="243"/>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Others</w:t>
            </w: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604</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1,836</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1,992</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3,232</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3,695</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3840" w:type="dxa"/>
            <w:vAlign w:val="bottom"/>
          </w:tcPr>
          <w:p>
            <w:pPr>
              <w:spacing w:after="0"/>
              <w:rPr>
                <w:sz w:val="20"/>
                <w:szCs w:val="20"/>
                <w:color w:val="auto"/>
              </w:rPr>
            </w:pPr>
            <w:r>
              <w:rPr>
                <w:rFonts w:ascii="Arial" w:cs="Arial" w:eastAsia="Arial" w:hAnsi="Arial"/>
                <w:sz w:val="18"/>
                <w:szCs w:val="18"/>
                <w:color w:val="auto"/>
              </w:rPr>
              <w:t>Credicorp and Others (3)</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(983)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(4,980)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(3,338)</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(10,709)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43"/>
        </w:trPr>
        <w:tc>
          <w:tcPr>
            <w:tcW w:w="3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Credicorp Ltd.</w:t>
            </w:r>
          </w:p>
        </w:tc>
        <w:tc>
          <w:tcPr>
            <w:tcW w:w="8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(1,607)</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(1,723)</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(5,226)</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(5,053)</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(11,669)</w:t>
            </w: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w:t>
            </w:r>
          </w:p>
        </w:tc>
      </w:tr>
      <w:tr>
        <w:trPr>
          <w:trHeight w:val="243"/>
        </w:trPr>
        <w:tc>
          <w:tcPr>
            <w:tcW w:w="3840" w:type="dxa"/>
            <w:vAlign w:val="bottom"/>
          </w:tcPr>
          <w:p>
            <w:pPr>
              <w:ind w:left="160"/>
              <w:spacing w:after="0"/>
              <w:rPr>
                <w:sz w:val="20"/>
                <w:szCs w:val="20"/>
                <w:color w:val="auto"/>
              </w:rPr>
            </w:pPr>
            <w:r>
              <w:rPr>
                <w:rFonts w:ascii="Arial" w:cs="Arial" w:eastAsia="Arial" w:hAnsi="Arial"/>
                <w:sz w:val="18"/>
                <w:szCs w:val="18"/>
                <w:color w:val="auto"/>
              </w:rPr>
              <w:t>Otras</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624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r>
      <w:tr>
        <w:trPr>
          <w:trHeight w:val="243"/>
        </w:trPr>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8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92,601</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73,666</w:t>
            </w: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90,304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w:t>
            </w: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344,264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256,720</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34%</w:t>
            </w:r>
          </w:p>
        </w:tc>
      </w:tr>
    </w:tbl>
    <w:p>
      <w:pPr>
        <w:ind w:left="580" w:hanging="248"/>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Banco de Crédito de Bolivia.</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Servicorp and Prima AFP</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2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BCP Bolivia, which is consolidated within BCP, reported a contribution of US$ 11 million for 3Q08, maintaining its high level despite a significant stagnation of investment activity in the country, which should eventually generate a slowdown, reaching this way a total of US$ 31.5 million contribution for the YTD.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ASHC is affected more directly by the international financial crisis, since its main business is asset management, both on- and off-balance-sheet. The direct impact of this massive and far reaching financial crisis on ASHC’s on-balance-sheet investment portfolio reflects its conservative investment approach, and resulted in a relatively small (2.9% of the portfolio) non-realized loss of US$ 22 million that affected its equity position, and a recognized portion of losses (US$ 5.1 million) for which provisions were built. Thus, net provision (net of provision reversals) for losses of around US$ 3.2 million were reported this quarter, which depressed earnings contribution. ASHC reports this way a contribution drop of 19% QoQ reaching US$ 4.2 million for the 3Q08, but on a cumulative basis reports a flat performance compared to 2007.</w:t>
      </w:r>
    </w:p>
    <w:p>
      <w:pPr>
        <w:spacing w:after="0" w:line="2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explained before, though the insurance business at PPS reports a good quarterly net premiums growth of 8.1%, and claims in the property and casualty sector dropped, these continued being too high leading to an improved but still poor technical result of US$ -0.4 million. It became again evident that the profitable Life insurance business (PV) carries the weight for the company, which reported a positive bottom line result of US$ 1.2 million based on the Life business earnings and a gain on the sale of securities to Credicorp. Thus, after the consolidation adjustments and minorities, the contribution to Credicorp reaches a disappointing US$ -3.6 million for 3Q08. On a YTD basis, PPS reports a total loss of US$ -8.5 million. Therefore, turning the P&amp;C business into a profitable operation continues being PPS’s main focus, though it is proving to be troublesome. Following this objective, significant efforts are being made to develop the more massive and better predictable retail business and limit exposure to the wholesale insurance P&amp;C business, as well as to improve the financial investment management to achieve better returns overall.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6143625</wp:posOffset>
            </wp:positionH>
            <wp:positionV relativeFrom="page">
              <wp:posOffset>260350</wp:posOffset>
            </wp:positionV>
            <wp:extent cx="126047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Finally, Prima’s business results were in line with expectations showing a solid 29% YoY income growth. In these turbulent markets with fund valuations dropping significantly, the Peruvian pension fund system’s fee structure protects fund managers since fees are charged on contributions and not over the value of the funds. Therefore, Prima reports good operating profits, but the currency translation effect depressed again its results this 3Q08, though not as much as in the previous quarter leading to earnings of US$ 1.7 million vs. a bottom line loss of US$ -0.95 million in 2Q08. YTD results for Prima reflect its performance more accurately, with a US$ 9.8 million earnings contribution to Credicorp for the YTD, which is above plan. Prima’s business results should improve further as of next year when the increased fee (from 1.5% to 1.75%) becomes effective. Prima has established a dominant position in the market, capturing important market shares (31.1% of AuM, 32.9% of collections and 45.7% of voluntary contributions to the funds).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II. Banco de Credito – BCP - Consolidated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3Q08</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consolidated results for 3Q08 reached US$ 93.1 million (US$ 0.06 per share) which represents an increase of 19.3% QoQ and 2.6% YoY. ROAE reached 29% in this quarter. This performance does however reveal the full impact on BCP’s operating earnings of the Central Bank restrictive measures of the first half of the year, as well as the somewhat milder effects of the international financial crisis.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Currency translations, which resulted in great volatility of the Bank’s net earnings in previous quarters, reached a more “normal” level this quarter after local currency volatility in the market was reduced through the intervention of Peru’s Central Reserve Bank (BCR), and following our decision to reduce our foreign exchange balance sheet exposure, given the uncertainty of markets as we looked forward. Translation results had, therefore, a small positive impact with earnings of US$ 8.7 million this quarter, in line with results in the past.</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income largely exceeds results from the same period a year ago (+25.2%), although the impact of the CB measures are strongly felt here, evidenced by a slip (-5%) compared to 2Q08 when BCP’s asset yields were highest.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Core Earnings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3Q08/3Q07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3Q08/2Q08</w:t>
            </w:r>
          </w:p>
        </w:tc>
        <w:tc>
          <w:tcPr>
            <w:tcW w:w="18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178,288</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188,359</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142,755</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24.9%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Fee income, net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87,042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85,228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75,146</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15.8%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24,497</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31,389</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13,526</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81.1%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-22.0%</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Core Revenues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289,827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304,976</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231,427</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25.2%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Falling revenues from operations compared to the previous quarter are principally explained by a drop in net financial income, as a result of lower yields from liquid and investment assets. This is a consequence of (i) liquidity restrictive measures at BCR (higher legal reserves); (ii) reduced currency exposure by decreasing our position in nuevos soles and holding a larger dollar position given market uncertainty, and (iii) an emphasis on higher liquidity to face the financial turmoil, all which led to a re-composition of interest earning assets towards less profitable assets. Such lower financial revenues, combined with more expensive funding and sliding earnings from foreign exchange transactions, another consequence of uncertain markets, resulted in the reduction of operating income, as discussed above.</w:t>
      </w:r>
    </w:p>
    <w:p>
      <w:pPr>
        <w:spacing w:after="0" w:line="2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Such evolution is also behind the fall in net interest margin to 4.3% from 4.7% in 2Q08, once again showing the impact derived from the lower yields of non-lending assets.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lower operating income is by no means a result of any slow down, since loans (as an end-quarter balance) continued to grow a strong 6.9% compared to last June and 32.0% compared to one year ago. All business segments have expanded despite the strong BCR measures in the first half (increase of benchmark interest rate and legal reserves to reduce liquidity to slow down loan growth). Consequently, the contributions to operating income coming from the loan portfolio remain strong and rising in line with loan volume growth.</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3Q08/3Q07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3Q08/2Q08</w:t>
            </w:r>
          </w:p>
        </w:tc>
        <w:tc>
          <w:tcPr>
            <w:tcW w:w="180" w:type="dxa"/>
            <w:vAlign w:val="bottom"/>
          </w:tcPr>
          <w:p>
            <w:pPr>
              <w:spacing w:after="0"/>
              <w:rPr>
                <w:sz w:val="22"/>
                <w:szCs w:val="22"/>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178,288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188,359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142,755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(17,616)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(10,280)</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(9,241)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113,308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122,347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91,987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(163,477)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(145,695)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(119,814)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Tranlation results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8,702</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(49,850)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12,028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-117.5%</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Worker's profit sharing and income taxes</w:t>
            </w: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(26,123)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(26,841)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(26,981)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50"/>
        </w:trPr>
        <w:tc>
          <w:tcPr>
            <w:tcW w:w="4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93,082</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78,040</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90,734</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2.6%</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19.3%</w:t>
            </w:r>
          </w:p>
        </w:tc>
      </w:tr>
      <w:tr>
        <w:trPr>
          <w:trHeight w:val="20"/>
        </w:trPr>
        <w:tc>
          <w:tcPr>
            <w:tcW w:w="4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income/share (US$)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0.062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0.052</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0.071</w:t>
            </w:r>
          </w:p>
        </w:tc>
        <w:tc>
          <w:tcPr>
            <w:tcW w:w="160" w:type="dxa"/>
            <w:vAlign w:val="bottom"/>
          </w:tcPr>
          <w:p>
            <w:pPr>
              <w:spacing w:after="0"/>
              <w:rPr>
                <w:sz w:val="22"/>
                <w:szCs w:val="22"/>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9,836,170</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9,197,916</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7,450,674</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13,340,405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13,251,408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10,263,180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50"/>
        </w:trPr>
        <w:tc>
          <w:tcPr>
            <w:tcW w:w="4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1,319,779</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1,254,163</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1,045,006</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r>
      <w:tr>
        <w:trPr>
          <w:trHeight w:val="20"/>
        </w:trPr>
        <w:tc>
          <w:tcPr>
            <w:tcW w:w="46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Net financial margin</w:t>
            </w: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52.3%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48.3%</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Return on average equity</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PDL/Total loans</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Coverage ratio of PDLs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299.2%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300.7%</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BIS ratio</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12.3%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11.3%</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Branches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660" w:type="dxa"/>
            <w:vAlign w:val="bottom"/>
            <w:shd w:val="clear" w:color="auto" w:fill="CCFFCC"/>
          </w:tcPr>
          <w:p>
            <w:pPr>
              <w:spacing w:after="0"/>
              <w:rPr>
                <w:sz w:val="20"/>
                <w:szCs w:val="20"/>
                <w:color w:val="auto"/>
              </w:rPr>
            </w:pPr>
            <w:r>
              <w:rPr>
                <w:rFonts w:ascii="Arial" w:cs="Arial" w:eastAsia="Arial" w:hAnsi="Arial"/>
                <w:sz w:val="18"/>
                <w:szCs w:val="18"/>
                <w:color w:val="auto"/>
              </w:rPr>
              <w:t>ATMs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843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724</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8"/>
                <w:szCs w:val="18"/>
                <w:color w:val="auto"/>
              </w:rPr>
              <w:t>Employees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15,379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14,336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12,216</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7"/>
          <w:szCs w:val="17"/>
          <w:color w:val="auto"/>
        </w:rPr>
        <w:t>In addition, quarterly results evidenced also larger provisioning following loan growth and conservative provisioning policies, and growing operating expenses resulting from projected growth in distribution channels. The stronger operating expenses impacted negatively BCP’s efficiency ratio, however, falling operating income reinforced the expected declined in the efficiency ratio beyond our goals, to 52.3% this quarter.</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 despite the impact on income generation of the BCRP’s restrictive measures which affected asset yields, and of the ongoing financial crisis (which impacts through both, more expensive funding and lower valuation of investment portfolios), while expenses continued increasing within projections, net earnings were still above 3Q07 results. Furthermore, this quarter’s ROAE reached a significant 28.93%, a strong number in today’s market environment.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Cumulative results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 strong financial performance is made even more evident when looking at cumulative results to September this year. YTD earnings grew 37% to US$ 336.9 million this year vs. US$ 245.5 million over the same period a year ago. Yearly-adjusted ROAE in the year to date reached 35.75%, largely above initial expectations for the year. Furthermore, loan growth in the first 9 months is already over 20%, thus confirming its expected lively pace.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BCP’s strengths in times of international crisis</w:t>
      </w:r>
    </w:p>
    <w:p>
      <w:pPr>
        <w:spacing w:after="0" w:line="27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High growth of BCP loans despite BCRP restrictive interventions and the world’s financial crisis.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BCP’s loan portfolio has continued to growth steadily in all business segments. Our corporate portfolio measured as daily average balances throughout this quarter grew 5.6% QoQ. The Middle Market business grew 9.6% while retail banking expanded 6.3% QoQ. Likewise, there is still ample room for growth, considering bank penetration in Peru has only just started. The above growth, however, must be seen against a backup of more expensive credits and higher rates, coupled with higher legal provisioning required by BCRP and jittering international markets. However, none of this seems to have significantly slowed down domestic market thirst for credits.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2" w:right="239" w:bottom="1440" w:gutter="0" w:footer="0" w:header="0"/>
        </w:sectPr>
      </w:pPr>
    </w:p>
    <w:bookmarkStart w:id="8" w:name="page9"/>
    <w:bookmarkEnd w:id="8"/>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243205</wp:posOffset>
            </wp:positionV>
            <wp:extent cx="1260475" cy="36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Past due loans and provisioning indicators evidence a healthy loan portfolio.</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past due loans (0.78%) and provisioning /coverage (299%) indicators are among the highest in Peru and region-wide. The overdue loan indicator for the retail segment is 2.7% for credit cards, 2.5% for consumer loans, 2.5% for Small and Medium companies, 1.2% for mortgage loans and 0.7% for car loans. Personal and corporate debt is relatively low in the Peruvian market, while credit information is widespread and efficient. All the above, coupled with conservative credit regulations and risk policies contributed to preserve a healthy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161925</wp:posOffset>
            </wp:positionV>
            <wp:extent cx="3207385" cy="1260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738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 portfolio includes conservative and highly liquid tools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BCP’s investment portfolio comprised principally highly liquid and safe instruments, including mainly BCR certificates of deposits (84%). This has protected us from the international financial and economic crisis underway. BCP’s assets and liability committee has reduced portfolio tenure from 9 months to less than 3 months. BCP also holds Peruvian treasury bonds that account for 2.5% of its portfolio among other instruments.</w:t>
      </w:r>
    </w:p>
    <w:p>
      <w:pPr>
        <w:spacing w:after="0" w:line="22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Sound funding structure including significant deposits from the public and small dependence on foreign financing.</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total liabilities comprise 79% of customer deposits, 11% debts to bank and correspondent banks, of which only one 5% are short term international interbank lines, 5% bonds and subordinate debt and 6% from other local sources. BCP has ample access to local financing, and also to open foreign credit sources that have not yet been tapped. However, our liquidity is extremely high and makes it unlikely additional foreign funding may be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136525</wp:posOffset>
            </wp:positionV>
            <wp:extent cx="3387725" cy="20154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772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2" w:right="239" w:bottom="1440" w:gutter="0" w:footer="0" w:header="0"/>
        </w:sectPr>
      </w:pPr>
    </w:p>
    <w:bookmarkStart w:id="9" w:name="page10"/>
    <w:bookmarkEnd w:id="9"/>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260350</wp:posOffset>
            </wp:positionV>
            <wp:extent cx="126047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Diversified sources of BCP revenues from operations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has diversified it sources of revenues from operations by focusing on efforts to expand retail banking and increasing revenues from transactional services. It has thus created more stable sources of revenues from fees to counter fluctuations in market conditions. At present, revenues from fees account for approximately 30% of operating income.</w:t>
      </w:r>
    </w:p>
    <w:p>
      <w:pPr>
        <w:spacing w:after="0" w:line="23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BCP adheres to the most strict capitalizations levels in the local financial system.</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BCP enjoys sound capitalization levels, which at 12.25% largely exceed the regulatory 9.1% and even our very conservative threshold 11.5%. These ratios become even more relevant when we take account of the high quality of our assets, both for investments and loans, as revealed by BCP’s balance sheet.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II.1 Interest Earning Assets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Higher legal reserves and our internal policy to reduce our foreign exchange exposure led to a restructured mix of interest-yielding assets increasing those with reduced yields.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Earning Assets</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3Q08/3Q07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3Q08/2Q08</w:t>
            </w:r>
          </w:p>
        </w:tc>
        <w:tc>
          <w:tcPr>
            <w:tcW w:w="180" w:type="dxa"/>
            <w:vAlign w:val="bottom"/>
          </w:tcPr>
          <w:p>
            <w:pPr>
              <w:spacing w:after="0"/>
              <w:rPr>
                <w:sz w:val="22"/>
                <w:szCs w:val="22"/>
                <w:color w:val="auto"/>
              </w:rPr>
            </w:pPr>
          </w:p>
        </w:tc>
      </w:tr>
      <w:tr>
        <w:trPr>
          <w:trHeight w:val="237"/>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3,194,923</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2,589,828</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1,740,636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23.4%</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Interbank funds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113,749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11274.5%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6921.5%</w:t>
            </w: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32,468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55,240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49,465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-41.2%</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3,512,873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4,747,724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2,854,728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r>
        <w:trPr>
          <w:trHeight w:val="250"/>
        </w:trPr>
        <w:tc>
          <w:tcPr>
            <w:tcW w:w="4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9,759,601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9,129,652</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7,383,196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20" w:type="dxa"/>
            <w:vAlign w:val="bottom"/>
          </w:tcPr>
          <w:p>
            <w:pPr>
              <w:spacing w:after="0"/>
              <w:rPr>
                <w:sz w:val="20"/>
                <w:szCs w:val="20"/>
                <w:color w:val="auto"/>
              </w:rPr>
            </w:pPr>
            <w:r>
              <w:rPr>
                <w:rFonts w:ascii="Arial" w:cs="Arial" w:eastAsia="Arial" w:hAnsi="Arial"/>
                <w:sz w:val="18"/>
                <w:szCs w:val="18"/>
                <w:b w:val="1"/>
                <w:bCs w:val="1"/>
                <w:color w:val="auto"/>
              </w:rPr>
              <w:t>Total interest earning assets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16,613,614</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16,524,064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12,029,025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 interest earning assets remained almost constant overall, with only a slight 0.5% QoQ change. However, our portfolio was rearranged as a result of higher legal reserve rates mandated by Peru’s central Bank (BCR) coupled with a reduced foreign exchange exposure, in view of the volatility it introduced in results over this year’s first two quarters. In addition, quarterly income figures were negatively affected by the policy of maintaining more liquid instruments as hedging against the international crisis.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BCRP and other banks deposits grew 23.4% (while legal reserves rose to their highest in July 2008, and high reserves of liquidity were kept). Overnight deposits grew to an exceptional US$ 113.7 million at the end of September. At the same time, Investments available for sale, principally BCRP certificates of deposit were redeemed and left room to growth in the above instruments, while tradable securities continued to slip against a background of highly volatile markets. Evolving interest earning assets negatively impacted our net interest margin (NIM) as shown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the other hand, outstanding loans continued to grow at a lively pace of 6.9% in 3Q08, compared to three months ago.</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charts below show the rearrangements of assets compared to September 2007, and their impact on NIM, subsequent to sliding loans (the best yielding assets) which fell from 62% to 59% of total interest-bearing assets. This evolution took place simultaneously with larger deposit at BCRP that rose from 14 to 19%, which have the lowest yields.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46"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1692275</wp:posOffset>
            </wp:positionH>
            <wp:positionV relativeFrom="page">
              <wp:posOffset>260350</wp:posOffset>
            </wp:positionV>
            <wp:extent cx="5711190" cy="2212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119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 has steadily continued to expand its loan portfolio, which reached a total US $9,836 million to September 2008, or 6.9% QoQ growth and 32% YoY expansion. An analysis of this growth in terms of daily average balances reveals 6.6% QoQ and 33.0% YoY growth.</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 the different segments of our loan portfolio expanded at a lively peace and exceeded growth in the previous term. In particular, our Middle Market banking expanded 9.6% QoQ, followed by Retail Banking’s 6.3% QoQ and 5.6% QoQ for Corporate Banking.</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Retail Banking totalled US$ 3,506.9 million average daily balances having expanded 6.3% QoQ and 41.5% YoY, sustaining the growth experienced in recent years and without indication of a significant slowdown. Once again, the consumer segment stood out by growing 12.3% QoQ and 70.3% YoY. This was followed by SME’s growth (6.0% QoQ, 50.0% YoY) and the mortgage loan segment (4.6% QoQ and 25.8% YoY). The latter growth is significant despite higher rates resulting from changes in market expected returns. Finally, credit cards grew 3.5% QoQ and 35.7%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152400</wp:posOffset>
            </wp:positionV>
            <wp:extent cx="2126615" cy="1920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661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1375410</wp:posOffset>
            </wp:positionH>
            <wp:positionV relativeFrom="page">
              <wp:posOffset>88900</wp:posOffset>
            </wp:positionV>
            <wp:extent cx="6028690" cy="2032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2869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Middle Market Banking improved over the last term, as already mentioned, and grew 9.6% QoQ. In annual terms, growth reached 28.6%, as a consequence of a revision and levelling of short-term rates at the beginning of 3Q08 which improved our competitive position resulting in credit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136525</wp:posOffset>
            </wp:positionV>
            <wp:extent cx="2684145" cy="1697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Corporate Banking totalled US$ 3,346.6 million, or 5.6% QoQ and 35.6% YoY growth. Once again, the corporate banking business moved quickly after a stagnant prior quarter. It is worthwhile mentioning such growth is taking place in a segment where BCP is the market leader, with close to 50%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121920</wp:posOffset>
            </wp:positionV>
            <wp:extent cx="2967355" cy="2238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6735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We show below our loans’ evolution this quarter by currency:</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center"/>
              <w:ind w:left="377"/>
              <w:spacing w:after="0"/>
              <w:rPr>
                <w:sz w:val="20"/>
                <w:szCs w:val="20"/>
                <w:color w:val="auto"/>
              </w:rPr>
            </w:pPr>
            <w:r>
              <w:rPr>
                <w:rFonts w:ascii="Arial" w:cs="Arial" w:eastAsia="Arial" w:hAnsi="Arial"/>
                <w:sz w:val="13"/>
                <w:szCs w:val="13"/>
                <w:color w:val="auto"/>
                <w:w w:val="88"/>
              </w:rPr>
              <w:t>Domestic Currency Loans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jc w:val="center"/>
              <w:ind w:left="437"/>
              <w:spacing w:after="0"/>
              <w:rPr>
                <w:sz w:val="20"/>
                <w:szCs w:val="20"/>
                <w:color w:val="auto"/>
              </w:rPr>
            </w:pPr>
            <w:r>
              <w:rPr>
                <w:rFonts w:ascii="Arial" w:cs="Arial" w:eastAsia="Arial" w:hAnsi="Arial"/>
                <w:sz w:val="13"/>
                <w:szCs w:val="13"/>
                <w:color w:val="auto"/>
                <w:w w:val="87"/>
              </w:rPr>
              <w:t>Foreign Currency Loans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center"/>
              <w:ind w:left="397"/>
              <w:spacing w:after="0"/>
              <w:rPr>
                <w:sz w:val="20"/>
                <w:szCs w:val="20"/>
                <w:color w:val="auto"/>
              </w:rPr>
            </w:pPr>
            <w:r>
              <w:rPr>
                <w:rFonts w:ascii="Arial" w:cs="Arial" w:eastAsia="Arial" w:hAnsi="Arial"/>
                <w:sz w:val="13"/>
                <w:szCs w:val="13"/>
                <w:b w:val="1"/>
                <w:bCs w:val="1"/>
                <w:i w:val="1"/>
                <w:iCs w:val="1"/>
                <w:color w:val="auto"/>
                <w:w w:val="84"/>
              </w:rPr>
              <w:t>(Nuevos Soles million)</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3"/>
                <w:szCs w:val="13"/>
                <w:i w:val="1"/>
                <w:iCs w:val="1"/>
                <w:color w:val="auto"/>
                <w:w w:val="91"/>
              </w:rPr>
              <w:t>(US$ million)</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2Q07</w:t>
            </w: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1Q08</w:t>
            </w:r>
          </w:p>
        </w:tc>
        <w:tc>
          <w:tcPr>
            <w:tcW w:w="120" w:type="dxa"/>
            <w:vAlign w:val="bottom"/>
          </w:tcPr>
          <w:p>
            <w:pPr>
              <w:spacing w:after="0"/>
              <w:rPr>
                <w:sz w:val="13"/>
                <w:szCs w:val="13"/>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2Q08</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YoY</w:t>
            </w:r>
          </w:p>
        </w:tc>
        <w:tc>
          <w:tcPr>
            <w:tcW w:w="100" w:type="dxa"/>
            <w:vAlign w:val="bottom"/>
          </w:tcPr>
          <w:p>
            <w:pPr>
              <w:spacing w:after="0"/>
              <w:rPr>
                <w:sz w:val="13"/>
                <w:szCs w:val="13"/>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QoQ</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ā2Q07</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1Q08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2Q08</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YoY</w:t>
            </w:r>
          </w:p>
        </w:tc>
        <w:tc>
          <w:tcPr>
            <w:tcW w:w="120" w:type="dxa"/>
            <w:vAlign w:val="bottom"/>
          </w:tcPr>
          <w:p>
            <w:pPr>
              <w:spacing w:after="0"/>
              <w:rPr>
                <w:sz w:val="13"/>
                <w:szCs w:val="13"/>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QoQ</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Corporate</w:t>
            </w:r>
          </w:p>
        </w:tc>
        <w:tc>
          <w:tcPr>
            <w:tcW w:w="82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2,154.1</w:t>
            </w:r>
          </w:p>
        </w:tc>
        <w:tc>
          <w:tcPr>
            <w:tcW w:w="82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2,347.8</w:t>
            </w:r>
          </w:p>
        </w:tc>
        <w:tc>
          <w:tcPr>
            <w:tcW w:w="82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2,575.3</w:t>
            </w:r>
          </w:p>
        </w:tc>
        <w:tc>
          <w:tcPr>
            <w:tcW w:w="20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19.6%</w:t>
            </w:r>
          </w:p>
        </w:tc>
        <w:tc>
          <w:tcPr>
            <w:tcW w:w="78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9.7%</w:t>
            </w:r>
          </w:p>
        </w:tc>
        <w:tc>
          <w:tcPr>
            <w:tcW w:w="78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3"/>
                <w:szCs w:val="13"/>
                <w:color w:val="auto"/>
              </w:rPr>
              <w:t>1,781.2</w:t>
            </w:r>
          </w:p>
        </w:tc>
        <w:tc>
          <w:tcPr>
            <w:tcW w:w="800" w:type="dxa"/>
            <w:vAlign w:val="bottom"/>
            <w:tcBorders>
              <w:right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2,355.3</w:t>
            </w:r>
          </w:p>
        </w:tc>
        <w:tc>
          <w:tcPr>
            <w:tcW w:w="780" w:type="dxa"/>
            <w:vAlign w:val="bottom"/>
            <w:gridSpan w:val="2"/>
            <w:shd w:val="clear" w:color="auto" w:fill="CCFFCC"/>
          </w:tcPr>
          <w:p>
            <w:pPr>
              <w:jc w:val="right"/>
              <w:ind w:right="120"/>
              <w:spacing w:after="0" w:line="129" w:lineRule="exact"/>
              <w:rPr>
                <w:sz w:val="20"/>
                <w:szCs w:val="20"/>
                <w:color w:val="auto"/>
              </w:rPr>
            </w:pPr>
            <w:r>
              <w:rPr>
                <w:rFonts w:ascii="Arial" w:cs="Arial" w:eastAsia="Arial" w:hAnsi="Arial"/>
                <w:sz w:val="13"/>
                <w:szCs w:val="13"/>
                <w:color w:val="auto"/>
              </w:rPr>
              <w:t>2,462.9</w:t>
            </w:r>
          </w:p>
        </w:tc>
        <w:tc>
          <w:tcPr>
            <w:tcW w:w="18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38.3%</w:t>
            </w:r>
          </w:p>
        </w:tc>
        <w:tc>
          <w:tcPr>
            <w:tcW w:w="78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spacing w:after="0" w:line="135" w:lineRule="exact"/>
              <w:rPr>
                <w:sz w:val="20"/>
                <w:szCs w:val="20"/>
                <w:color w:val="auto"/>
              </w:rPr>
            </w:pPr>
            <w:r>
              <w:rPr>
                <w:rFonts w:ascii="Arial" w:cs="Arial" w:eastAsia="Arial" w:hAnsi="Arial"/>
                <w:sz w:val="13"/>
                <w:szCs w:val="13"/>
                <w:color w:val="auto"/>
              </w:rPr>
              <w:t>Middle Market</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818.5</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1,100.1</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1,177.7</w:t>
            </w:r>
          </w:p>
        </w:tc>
        <w:tc>
          <w:tcPr>
            <w:tcW w:w="2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1,417.4</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1,587.2</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1,753.7</w:t>
            </w:r>
          </w:p>
        </w:tc>
        <w:tc>
          <w:tcPr>
            <w:tcW w:w="1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Retail</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3,035.5</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4,477.4</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5,020.1</w:t>
            </w:r>
          </w:p>
        </w:tc>
        <w:tc>
          <w:tcPr>
            <w:tcW w:w="20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65.4%</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12.1%</w:t>
            </w:r>
          </w:p>
        </w:tc>
        <w:tc>
          <w:tcPr>
            <w:tcW w:w="7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1,509.6</w:t>
            </w:r>
          </w:p>
        </w:tc>
        <w:tc>
          <w:tcPr>
            <w:tcW w:w="800" w:type="dxa"/>
            <w:vAlign w:val="bottom"/>
            <w:tcBorders>
              <w:right w:val="single" w:sz="8" w:color="CCFFCC"/>
            </w:tcBorders>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1,747.7</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1,784.4</w:t>
            </w:r>
          </w:p>
        </w:tc>
        <w:tc>
          <w:tcPr>
            <w:tcW w:w="18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18.2%</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ind w:left="160"/>
              <w:spacing w:after="0" w:line="135" w:lineRule="exact"/>
              <w:rPr>
                <w:sz w:val="20"/>
                <w:szCs w:val="20"/>
                <w:color w:val="auto"/>
              </w:rPr>
            </w:pPr>
            <w:r>
              <w:rPr>
                <w:rFonts w:ascii="Arial" w:cs="Arial" w:eastAsia="Arial" w:hAnsi="Arial"/>
                <w:sz w:val="13"/>
                <w:szCs w:val="13"/>
                <w:color w:val="auto"/>
              </w:rPr>
              <w:t>SME</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1,118.4</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1,533.7</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1,703.7</w:t>
            </w:r>
          </w:p>
        </w:tc>
        <w:tc>
          <w:tcPr>
            <w:tcW w:w="2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52.3%</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11.1%</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414.3</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559.6</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572.2</w:t>
            </w:r>
          </w:p>
        </w:tc>
        <w:tc>
          <w:tcPr>
            <w:tcW w:w="1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38.1%</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Mortgages</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576.3</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1,036.7</w:t>
            </w:r>
          </w:p>
        </w:tc>
        <w:tc>
          <w:tcPr>
            <w:tcW w:w="8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1,180.9</w:t>
            </w:r>
          </w:p>
        </w:tc>
        <w:tc>
          <w:tcPr>
            <w:tcW w:w="20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104.9%</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13.9%</w:t>
            </w:r>
          </w:p>
        </w:tc>
        <w:tc>
          <w:tcPr>
            <w:tcW w:w="7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842.9</w:t>
            </w:r>
          </w:p>
        </w:tc>
        <w:tc>
          <w:tcPr>
            <w:tcW w:w="800" w:type="dxa"/>
            <w:vAlign w:val="bottom"/>
            <w:tcBorders>
              <w:right w:val="single" w:sz="8" w:color="CCFFCC"/>
            </w:tcBorders>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876.6</w:t>
            </w:r>
          </w:p>
        </w:tc>
        <w:tc>
          <w:tcPr>
            <w:tcW w:w="7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886.9</w:t>
            </w:r>
          </w:p>
        </w:tc>
        <w:tc>
          <w:tcPr>
            <w:tcW w:w="18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5.2%</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Pr>
          <w:p>
            <w:pPr>
              <w:ind w:left="160"/>
              <w:spacing w:after="0" w:line="135" w:lineRule="exact"/>
              <w:rPr>
                <w:sz w:val="20"/>
                <w:szCs w:val="20"/>
                <w:color w:val="auto"/>
              </w:rPr>
            </w:pPr>
            <w:r>
              <w:rPr>
                <w:rFonts w:ascii="Arial" w:cs="Arial" w:eastAsia="Arial" w:hAnsi="Arial"/>
                <w:sz w:val="13"/>
                <w:szCs w:val="13"/>
                <w:color w:val="auto"/>
              </w:rPr>
              <w:t>Consumer</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589.4</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983.8</w:t>
            </w: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1,171.6</w:t>
            </w:r>
          </w:p>
        </w:tc>
        <w:tc>
          <w:tcPr>
            <w:tcW w:w="2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98.8%</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19.1%</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201.8</w:t>
            </w:r>
          </w:p>
        </w:tc>
        <w:tc>
          <w:tcPr>
            <w:tcW w:w="8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250.8</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262.1</w:t>
            </w:r>
          </w:p>
        </w:tc>
        <w:tc>
          <w:tcPr>
            <w:tcW w:w="1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FFCC"/>
          </w:tcPr>
          <w:p>
            <w:pPr>
              <w:ind w:left="160"/>
              <w:spacing w:after="0"/>
              <w:rPr>
                <w:sz w:val="20"/>
                <w:szCs w:val="20"/>
                <w:color w:val="auto"/>
              </w:rPr>
            </w:pPr>
            <w:r>
              <w:rPr>
                <w:rFonts w:ascii="Arial" w:cs="Arial" w:eastAsia="Arial" w:hAnsi="Arial"/>
                <w:sz w:val="13"/>
                <w:szCs w:val="13"/>
                <w:color w:val="auto"/>
              </w:rPr>
              <w:t>Credit Cards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751.4</w:t>
            </w: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923.3</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963.9</w:t>
            </w:r>
          </w:p>
        </w:tc>
        <w:tc>
          <w:tcPr>
            <w:tcW w:w="20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28.3</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4.4</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50.5</w:t>
            </w:r>
          </w:p>
        </w:tc>
        <w:tc>
          <w:tcPr>
            <w:tcW w:w="800" w:type="dxa"/>
            <w:vAlign w:val="bottom"/>
            <w:tcBorders>
              <w:right w:val="single" w:sz="8" w:color="CCFFCC"/>
            </w:tcBorders>
            <w:shd w:val="clear" w:color="auto" w:fill="CCFFCC"/>
          </w:tcPr>
          <w:p>
            <w:pPr>
              <w:jc w:val="right"/>
              <w:ind w:right="57"/>
              <w:spacing w:after="0"/>
              <w:rPr>
                <w:sz w:val="20"/>
                <w:szCs w:val="20"/>
                <w:color w:val="auto"/>
              </w:rPr>
            </w:pPr>
            <w:r>
              <w:rPr>
                <w:rFonts w:ascii="Arial" w:cs="Arial" w:eastAsia="Arial" w:hAnsi="Arial"/>
                <w:sz w:val="13"/>
                <w:szCs w:val="13"/>
                <w:color w:val="auto"/>
              </w:rPr>
              <w:t>60.8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63.1</w:t>
            </w:r>
          </w:p>
        </w:tc>
        <w:tc>
          <w:tcPr>
            <w:tcW w:w="18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24.8</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3.8</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44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440" w:type="dxa"/>
            <w:vAlign w:val="bottom"/>
            <w:shd w:val="clear" w:color="auto" w:fill="CCFFCC"/>
          </w:tcPr>
          <w:p>
            <w:pPr>
              <w:spacing w:after="0"/>
              <w:rPr>
                <w:sz w:val="20"/>
                <w:szCs w:val="20"/>
                <w:color w:val="auto"/>
              </w:rPr>
            </w:pPr>
            <w:r>
              <w:rPr>
                <w:rFonts w:ascii="Arial" w:cs="Arial" w:eastAsia="Arial" w:hAnsi="Arial"/>
                <w:sz w:val="13"/>
                <w:szCs w:val="13"/>
                <w:color w:val="auto"/>
              </w:rPr>
              <w:t>Consolidated total loans*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6,038.7</w:t>
            </w:r>
          </w:p>
        </w:tc>
        <w:tc>
          <w:tcPr>
            <w:tcW w:w="120" w:type="dxa"/>
            <w:vAlign w:val="bottom"/>
            <w:shd w:val="clear" w:color="auto" w:fill="CCFFCC"/>
          </w:tcPr>
          <w:p>
            <w:pPr>
              <w:spacing w:after="0"/>
              <w:rPr>
                <w:sz w:val="14"/>
                <w:szCs w:val="14"/>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7,949.6</w:t>
            </w:r>
          </w:p>
        </w:tc>
        <w:tc>
          <w:tcPr>
            <w:tcW w:w="1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8,804.4</w:t>
            </w:r>
          </w:p>
        </w:tc>
        <w:tc>
          <w:tcPr>
            <w:tcW w:w="20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45.8</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10.8</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5,292.5</w:t>
            </w:r>
          </w:p>
        </w:tc>
        <w:tc>
          <w:tcPr>
            <w:tcW w:w="800" w:type="dxa"/>
            <w:vAlign w:val="bottom"/>
            <w:tcBorders>
              <w:right w:val="single" w:sz="8" w:color="CCFFCC"/>
            </w:tcBorders>
            <w:shd w:val="clear" w:color="auto" w:fill="CCFFCC"/>
          </w:tcPr>
          <w:p>
            <w:pPr>
              <w:jc w:val="right"/>
              <w:ind w:right="57"/>
              <w:spacing w:after="0"/>
              <w:rPr>
                <w:sz w:val="20"/>
                <w:szCs w:val="20"/>
                <w:color w:val="auto"/>
              </w:rPr>
            </w:pPr>
            <w:r>
              <w:rPr>
                <w:rFonts w:ascii="Arial" w:cs="Arial" w:eastAsia="Arial" w:hAnsi="Arial"/>
                <w:sz w:val="13"/>
                <w:szCs w:val="13"/>
                <w:color w:val="auto"/>
              </w:rPr>
              <w:t>6,251.1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6,580.4</w:t>
            </w:r>
          </w:p>
        </w:tc>
        <w:tc>
          <w:tcPr>
            <w:tcW w:w="180" w:type="dxa"/>
            <w:vAlign w:val="bottom"/>
            <w:shd w:val="clear" w:color="auto" w:fill="CCFFCC"/>
          </w:tcPr>
          <w:p>
            <w:pPr>
              <w:spacing w:after="0"/>
              <w:rPr>
                <w:sz w:val="14"/>
                <w:szCs w:val="14"/>
                <w:color w:val="auto"/>
              </w:rPr>
            </w:pPr>
          </w:p>
        </w:tc>
        <w:tc>
          <w:tcPr>
            <w:tcW w:w="60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24.3</w:t>
            </w:r>
            <w:r>
              <w:rPr>
                <w:rFonts w:ascii="Arial" w:cs="Arial" w:eastAsia="Arial" w:hAnsi="Arial"/>
                <w:sz w:val="18"/>
                <w:szCs w:val="18"/>
                <w:color w:val="auto"/>
                <w:vertAlign w:val="superscript"/>
              </w:rPr>
              <w:t>%</w:t>
            </w:r>
          </w:p>
        </w:tc>
        <w:tc>
          <w:tcPr>
            <w:tcW w:w="780" w:type="dxa"/>
            <w:vAlign w:val="bottom"/>
            <w:gridSpan w:val="2"/>
            <w:shd w:val="clear" w:color="auto" w:fill="CCFFCC"/>
          </w:tcPr>
          <w:p>
            <w:pPr>
              <w:jc w:val="right"/>
              <w:spacing w:after="0" w:line="162" w:lineRule="exact"/>
              <w:rPr>
                <w:sz w:val="20"/>
                <w:szCs w:val="20"/>
                <w:color w:val="auto"/>
              </w:rPr>
            </w:pPr>
            <w:r>
              <w:rPr>
                <w:rFonts w:ascii="Arial" w:cs="Arial" w:eastAsia="Arial" w:hAnsi="Arial"/>
                <w:sz w:val="10"/>
                <w:szCs w:val="10"/>
                <w:color w:val="auto"/>
              </w:rPr>
              <w:t>5.3</w:t>
            </w:r>
            <w:r>
              <w:rPr>
                <w:rFonts w:ascii="Arial" w:cs="Arial" w:eastAsia="Arial" w:hAnsi="Arial"/>
                <w:sz w:val="18"/>
                <w:szCs w:val="18"/>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0" w:hanging="132"/>
        <w:spacing w:after="0"/>
        <w:tabs>
          <w:tab w:leader="none" w:pos="1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w:t>
      </w:r>
    </w:p>
    <w:p>
      <w:pPr>
        <w:spacing w:after="0" w:line="23" w:lineRule="exact"/>
        <w:rPr>
          <w:rFonts w:ascii="Arial" w:cs="Arial" w:eastAsia="Arial" w:hAnsi="Arial"/>
          <w:sz w:val="18"/>
          <w:szCs w:val="18"/>
          <w:i w:val="1"/>
          <w:iCs w:val="1"/>
          <w:color w:val="auto"/>
        </w:rPr>
      </w:pPr>
    </w:p>
    <w:p>
      <w:pPr>
        <w:ind w:left="66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corporate segment grew 4.6% in foreign currency, which accounted for 74% of all segment loans. Loans in local currency also grew a very strong 9.7% QoQ, compared to a moderate decrease last quarter.</w:t>
      </w:r>
    </w:p>
    <w:p>
      <w:pPr>
        <w:ind w:left="660" w:hanging="328"/>
        <w:spacing w:after="0" w:line="250"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middle market banking business, where 81% of loans are in foreign currency, also grew 10.5% QoQ in dollars, while local currency loans expanded 7.1% QoQ.</w:t>
      </w:r>
    </w:p>
    <w:p>
      <w:pPr>
        <w:jc w:val="both"/>
        <w:ind w:left="660" w:hanging="328"/>
        <w:spacing w:after="0" w:line="255"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retail segment revealed a more diverse expansion as approximately half of the retail portfolio is denominated in either of the two currencies with strong growth in nuevos soles (up 12.1%) while dollar denominated loans grew only moderately at 2.1%. This evolution is in line with criteria for foreign exchange risk control with our clients.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loan market share remains strong despite significant competition, as new international financial organizations joined this market to challenge our bank’s leadership. BCP reached a 31.5% market share to September 2008, similar to the previous quarter and slightly lower than in December 2007 (32.2%). This slide is the result of a stricter and disciplined pricing methodology that transferred increased funding costs to borrowers in all segments, while our competitors delayed such price adjustments to gain market share.</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By bank segment, Corporate Banking’s market share reveals BCP’s strong positioning, with 46.9% to August 2008. Middle Market Banking accomplished 33.7% market share to August 2008, or slightly less than previously as a consequence of a strong market competition and our stricter pricing.</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share in the retail banking segment fell in 3Q08. Consumer loans fell 0.1% to 17.1%, while credit card loans dropped 0.8% to 17.8%. Loans to small and medium companies fell 1% to 16.7%, as our main competitor rose to the top position, displacing BCP to second place in this segment. Mortgage loans fell 0.6%, to 39.5% though remaining as the market’s leader. Though this reflects a small set-back for BCP, it also evidences the strong and aggressive competition within a very dynamic market and our firm decision to adjust pricing to the increased funding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Dollarization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De-dollarization of BCP assets to September 2008 did not move significantly compared to prior quarters, reflecting the preference for the US Dollar in view of its volatility. We present below the evolution of local and foreign currency BCP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151765</wp:posOffset>
            </wp:positionV>
            <wp:extent cx="3275965" cy="2109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7596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II.2 Deposits and Mutual Funds</w:t>
      </w:r>
    </w:p>
    <w:p>
      <w:pPr>
        <w:spacing w:after="0" w:line="2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Deposits grew 0.7% QoQ and 30.0% YoY and remained the Bank’s main funding source and the least sensitive to interest rate increases. BCP’s mutual funds totalled 47.5% market share despite 13.2% retrenchment in the amount of funds under management due to redemptions and drop in valuations</w:t>
      </w:r>
      <w:r>
        <w:rPr>
          <w:rFonts w:ascii="Arial" w:cs="Arial" w:eastAsia="Arial" w:hAnsi="Arial"/>
          <w:sz w:val="16"/>
          <w:szCs w:val="16"/>
          <w:i w:val="1"/>
          <w:iCs w:val="1"/>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Deposits and Obligations</w:t>
            </w: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3Q08</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2Q08</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3Q07</w:t>
            </w: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3Q08/3Q07</w:t>
            </w:r>
          </w:p>
        </w:tc>
        <w:tc>
          <w:tcPr>
            <w:tcW w:w="128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w w:val="93"/>
              </w:rPr>
              <w:t>3Q08/2Q08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Non-interest bearing deposits</w:t>
            </w:r>
          </w:p>
        </w:tc>
        <w:tc>
          <w:tcPr>
            <w:tcW w:w="2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2,874,202</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2,905,401</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2,345,124</w:t>
            </w:r>
          </w:p>
        </w:tc>
        <w:tc>
          <w:tcPr>
            <w:tcW w:w="1280" w:type="dxa"/>
            <w:vAlign w:val="bottom"/>
            <w:gridSpan w:val="2"/>
            <w:shd w:val="clear" w:color="auto" w:fill="CCFFCC"/>
          </w:tcPr>
          <w:p>
            <w:pPr>
              <w:ind w:left="880"/>
              <w:spacing w:after="0" w:line="142" w:lineRule="exact"/>
              <w:rPr>
                <w:sz w:val="20"/>
                <w:szCs w:val="20"/>
                <w:color w:val="auto"/>
              </w:rPr>
            </w:pPr>
            <w:r>
              <w:rPr>
                <w:rFonts w:ascii="Arial" w:cs="Arial" w:eastAsia="Arial" w:hAnsi="Arial"/>
                <w:sz w:val="14"/>
                <w:szCs w:val="14"/>
                <w:color w:val="auto"/>
                <w:w w:val="95"/>
              </w:rPr>
              <w:t>22.6%</w:t>
            </w:r>
          </w:p>
        </w:tc>
        <w:tc>
          <w:tcPr>
            <w:tcW w:w="12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Demand deposits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962,343</w:t>
            </w:r>
          </w:p>
        </w:tc>
        <w:tc>
          <w:tcPr>
            <w:tcW w:w="10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966,662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1,045,651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Saving deposits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2,748,290</w:t>
            </w: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2,603,344</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2,130,387</w:t>
            </w:r>
          </w:p>
        </w:tc>
        <w:tc>
          <w:tcPr>
            <w:tcW w:w="1280" w:type="dxa"/>
            <w:vAlign w:val="bottom"/>
            <w:gridSpan w:val="2"/>
            <w:shd w:val="clear" w:color="auto" w:fill="CCFFCC"/>
          </w:tcPr>
          <w:p>
            <w:pPr>
              <w:ind w:left="880"/>
              <w:spacing w:after="0" w:line="149" w:lineRule="exact"/>
              <w:rPr>
                <w:sz w:val="20"/>
                <w:szCs w:val="20"/>
                <w:color w:val="auto"/>
              </w:rPr>
            </w:pPr>
            <w:r>
              <w:rPr>
                <w:rFonts w:ascii="Arial" w:cs="Arial" w:eastAsia="Arial" w:hAnsi="Arial"/>
                <w:sz w:val="14"/>
                <w:szCs w:val="14"/>
                <w:color w:val="auto"/>
                <w:w w:val="95"/>
              </w:rPr>
              <w:t>29.0%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tcPr>
          <w:p>
            <w:pPr>
              <w:spacing w:after="0" w:line="149" w:lineRule="exact"/>
              <w:rPr>
                <w:sz w:val="20"/>
                <w:szCs w:val="20"/>
                <w:color w:val="auto"/>
              </w:rPr>
            </w:pPr>
            <w:r>
              <w:rPr>
                <w:rFonts w:ascii="Arial" w:cs="Arial" w:eastAsia="Arial" w:hAnsi="Arial"/>
                <w:sz w:val="14"/>
                <w:szCs w:val="14"/>
                <w:color w:val="auto"/>
              </w:rPr>
              <w:t>Time deposits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5,754,903</w:t>
            </w:r>
          </w:p>
        </w:tc>
        <w:tc>
          <w:tcPr>
            <w:tcW w:w="1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5,740,312</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3,909,406</w:t>
            </w:r>
          </w:p>
        </w:tc>
        <w:tc>
          <w:tcPr>
            <w:tcW w:w="1280" w:type="dxa"/>
            <w:vAlign w:val="bottom"/>
            <w:gridSpan w:val="2"/>
          </w:tcPr>
          <w:p>
            <w:pPr>
              <w:ind w:left="880"/>
              <w:spacing w:after="0" w:line="149" w:lineRule="exact"/>
              <w:rPr>
                <w:sz w:val="20"/>
                <w:szCs w:val="20"/>
                <w:color w:val="auto"/>
              </w:rPr>
            </w:pPr>
            <w:r>
              <w:rPr>
                <w:rFonts w:ascii="Arial" w:cs="Arial" w:eastAsia="Arial" w:hAnsi="Arial"/>
                <w:sz w:val="14"/>
                <w:szCs w:val="14"/>
                <w:color w:val="auto"/>
                <w:w w:val="95"/>
              </w:rPr>
              <w:t>47.2%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Severance indemnity deposits (CTS)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928,891</w:t>
            </w:r>
          </w:p>
        </w:tc>
        <w:tc>
          <w:tcPr>
            <w:tcW w:w="10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969,594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793,205</w:t>
            </w:r>
          </w:p>
        </w:tc>
        <w:tc>
          <w:tcPr>
            <w:tcW w:w="1280" w:type="dxa"/>
            <w:vAlign w:val="bottom"/>
            <w:gridSpan w:val="2"/>
            <w:shd w:val="clear" w:color="auto" w:fill="CCFFCC"/>
          </w:tcPr>
          <w:p>
            <w:pPr>
              <w:ind w:left="880"/>
              <w:spacing w:after="0" w:line="149" w:lineRule="exact"/>
              <w:rPr>
                <w:sz w:val="20"/>
                <w:szCs w:val="20"/>
                <w:color w:val="auto"/>
              </w:rPr>
            </w:pPr>
            <w:r>
              <w:rPr>
                <w:rFonts w:ascii="Arial" w:cs="Arial" w:eastAsia="Arial" w:hAnsi="Arial"/>
                <w:sz w:val="14"/>
                <w:szCs w:val="14"/>
                <w:color w:val="auto"/>
                <w:w w:val="95"/>
              </w:rPr>
              <w:t>17.1%</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Interest payable</w:t>
            </w:r>
          </w:p>
        </w:tc>
        <w:tc>
          <w:tcPr>
            <w:tcW w:w="1140" w:type="dxa"/>
            <w:vAlign w:val="bottom"/>
          </w:tcPr>
          <w:p>
            <w:pPr>
              <w:jc w:val="right"/>
              <w:spacing w:after="0"/>
              <w:rPr>
                <w:sz w:val="20"/>
                <w:szCs w:val="20"/>
                <w:color w:val="auto"/>
              </w:rPr>
            </w:pPr>
            <w:r>
              <w:rPr>
                <w:rFonts w:ascii="Arial" w:cs="Arial" w:eastAsia="Arial" w:hAnsi="Arial"/>
                <w:sz w:val="14"/>
                <w:szCs w:val="14"/>
                <w:color w:val="auto"/>
              </w:rPr>
              <w:t>71,776</w:t>
            </w: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66,095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39,407</w:t>
            </w:r>
          </w:p>
        </w:tc>
        <w:tc>
          <w:tcPr>
            <w:tcW w:w="1280" w:type="dxa"/>
            <w:vAlign w:val="bottom"/>
            <w:gridSpan w:val="2"/>
          </w:tcPr>
          <w:p>
            <w:pPr>
              <w:ind w:left="880"/>
              <w:spacing w:after="0" w:line="176" w:lineRule="exact"/>
              <w:rPr>
                <w:sz w:val="20"/>
                <w:szCs w:val="20"/>
                <w:color w:val="auto"/>
              </w:rPr>
            </w:pPr>
            <w:r>
              <w:rPr>
                <w:rFonts w:ascii="Arial" w:cs="Arial" w:eastAsia="Arial" w:hAnsi="Arial"/>
                <w:sz w:val="12"/>
                <w:szCs w:val="12"/>
                <w:color w:val="auto"/>
              </w:rPr>
              <w:t>82.1</w:t>
            </w:r>
            <w:r>
              <w:rPr>
                <w:rFonts w:ascii="Arial" w:cs="Arial" w:eastAsia="Arial" w:hAnsi="Arial"/>
                <w:sz w:val="20"/>
                <w:szCs w:val="20"/>
                <w:color w:val="auto"/>
                <w:vertAlign w:val="superscript"/>
              </w:rPr>
              <w:t>%</w:t>
            </w:r>
          </w:p>
        </w:tc>
        <w:tc>
          <w:tcPr>
            <w:tcW w:w="128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8.6</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Total customer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13,340,405</w:t>
            </w:r>
          </w:p>
        </w:tc>
        <w:tc>
          <w:tcPr>
            <w:tcW w:w="10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13,251,408</w:t>
            </w:r>
          </w:p>
        </w:tc>
        <w:tc>
          <w:tcPr>
            <w:tcW w:w="1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10,263,180</w:t>
            </w:r>
          </w:p>
        </w:tc>
        <w:tc>
          <w:tcPr>
            <w:tcW w:w="1120" w:type="dxa"/>
            <w:vAlign w:val="bottom"/>
            <w:shd w:val="clear" w:color="auto" w:fill="CCFFCC"/>
          </w:tcPr>
          <w:p>
            <w:pPr>
              <w:ind w:left="880"/>
              <w:spacing w:after="0"/>
              <w:rPr>
                <w:sz w:val="20"/>
                <w:szCs w:val="20"/>
                <w:color w:val="auto"/>
              </w:rPr>
            </w:pPr>
            <w:r>
              <w:rPr>
                <w:rFonts w:ascii="Arial" w:cs="Arial" w:eastAsia="Arial" w:hAnsi="Arial"/>
                <w:sz w:val="14"/>
                <w:szCs w:val="14"/>
                <w:b w:val="1"/>
                <w:bCs w:val="1"/>
                <w:color w:val="auto"/>
                <w:w w:val="80"/>
              </w:rPr>
              <w:t>30.0</w:t>
            </w: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0.7</w:t>
            </w:r>
          </w:p>
        </w:tc>
        <w:tc>
          <w:tcPr>
            <w:tcW w:w="1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Mutual funds in Perú</w:t>
            </w:r>
          </w:p>
        </w:tc>
        <w:tc>
          <w:tcPr>
            <w:tcW w:w="1140" w:type="dxa"/>
            <w:vAlign w:val="bottom"/>
          </w:tcPr>
          <w:p>
            <w:pPr>
              <w:jc w:val="right"/>
              <w:spacing w:after="0"/>
              <w:rPr>
                <w:sz w:val="20"/>
                <w:szCs w:val="20"/>
                <w:color w:val="auto"/>
              </w:rPr>
            </w:pPr>
            <w:r>
              <w:rPr>
                <w:rFonts w:ascii="Arial" w:cs="Arial" w:eastAsia="Arial" w:hAnsi="Arial"/>
                <w:sz w:val="14"/>
                <w:szCs w:val="14"/>
                <w:color w:val="auto"/>
              </w:rPr>
              <w:t>2,105,890</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2,315,170</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1,884,009</w:t>
            </w:r>
          </w:p>
        </w:tc>
        <w:tc>
          <w:tcPr>
            <w:tcW w:w="1280" w:type="dxa"/>
            <w:vAlign w:val="bottom"/>
            <w:gridSpan w:val="2"/>
          </w:tcPr>
          <w:p>
            <w:pPr>
              <w:ind w:left="880"/>
              <w:spacing w:after="0" w:line="169" w:lineRule="exact"/>
              <w:rPr>
                <w:sz w:val="20"/>
                <w:szCs w:val="20"/>
                <w:color w:val="auto"/>
              </w:rPr>
            </w:pPr>
            <w:r>
              <w:rPr>
                <w:rFonts w:ascii="Arial" w:cs="Arial" w:eastAsia="Arial" w:hAnsi="Arial"/>
                <w:sz w:val="11"/>
                <w:szCs w:val="11"/>
                <w:color w:val="auto"/>
              </w:rPr>
              <w:t>11.8</w:t>
            </w:r>
            <w:r>
              <w:rPr>
                <w:rFonts w:ascii="Arial" w:cs="Arial" w:eastAsia="Arial" w:hAnsi="Arial"/>
                <w:sz w:val="19"/>
                <w:szCs w:val="19"/>
                <w:color w:val="auto"/>
                <w:vertAlign w:val="superscript"/>
              </w:rPr>
              <w:t>%</w:t>
            </w:r>
          </w:p>
        </w:tc>
        <w:tc>
          <w:tcPr>
            <w:tcW w:w="1280" w:type="dxa"/>
            <w:vAlign w:val="bottom"/>
            <w:gridSpan w:val="2"/>
          </w:tcPr>
          <w:p>
            <w:pPr>
              <w:jc w:val="right"/>
              <w:spacing w:after="0" w:line="169" w:lineRule="exact"/>
              <w:rPr>
                <w:sz w:val="20"/>
                <w:szCs w:val="20"/>
                <w:color w:val="auto"/>
              </w:rPr>
            </w:pPr>
            <w:r>
              <w:rPr>
                <w:rFonts w:ascii="Arial" w:cs="Arial" w:eastAsia="Arial" w:hAnsi="Arial"/>
                <w:sz w:val="11"/>
                <w:szCs w:val="11"/>
                <w:color w:val="auto"/>
              </w:rPr>
              <w:t>-9.0</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Mutual funds in Bolivia</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100,141</w:t>
            </w:r>
          </w:p>
        </w:tc>
        <w:tc>
          <w:tcPr>
            <w:tcW w:w="100" w:type="dxa"/>
            <w:vAlign w:val="bottom"/>
            <w:shd w:val="clear" w:color="auto" w:fill="CCFFCC"/>
          </w:tcPr>
          <w:p>
            <w:pPr>
              <w:spacing w:after="0"/>
              <w:rPr>
                <w:sz w:val="14"/>
                <w:szCs w:val="14"/>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88,702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65,739</w:t>
            </w:r>
          </w:p>
        </w:tc>
        <w:tc>
          <w:tcPr>
            <w:tcW w:w="1120" w:type="dxa"/>
            <w:vAlign w:val="bottom"/>
            <w:shd w:val="clear" w:color="auto" w:fill="CCFFCC"/>
          </w:tcPr>
          <w:p>
            <w:pPr>
              <w:ind w:left="880"/>
              <w:spacing w:after="0"/>
              <w:rPr>
                <w:sz w:val="20"/>
                <w:szCs w:val="20"/>
                <w:color w:val="auto"/>
              </w:rPr>
            </w:pPr>
            <w:r>
              <w:rPr>
                <w:rFonts w:ascii="Arial" w:cs="Arial" w:eastAsia="Arial" w:hAnsi="Arial"/>
                <w:sz w:val="14"/>
                <w:szCs w:val="14"/>
                <w:color w:val="auto"/>
                <w:w w:val="80"/>
              </w:rPr>
              <w:t>52.3</w:t>
            </w: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12.9</w:t>
            </w:r>
          </w:p>
        </w:tc>
        <w:tc>
          <w:tcPr>
            <w:tcW w:w="140" w:type="dxa"/>
            <w:vAlign w:val="bottom"/>
            <w:shd w:val="clear" w:color="auto" w:fill="CCFFCC"/>
          </w:tcPr>
          <w:p>
            <w:pP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Total customer funds</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13,340,405</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13,251,408</w:t>
            </w:r>
          </w:p>
        </w:tc>
        <w:tc>
          <w:tcPr>
            <w:tcW w:w="12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10,263,180</w:t>
            </w:r>
          </w:p>
        </w:tc>
        <w:tc>
          <w:tcPr>
            <w:tcW w:w="1280" w:type="dxa"/>
            <w:vAlign w:val="bottom"/>
            <w:gridSpan w:val="2"/>
          </w:tcPr>
          <w:p>
            <w:pPr>
              <w:ind w:left="880"/>
              <w:spacing w:after="0" w:line="169" w:lineRule="exact"/>
              <w:rPr>
                <w:sz w:val="20"/>
                <w:szCs w:val="20"/>
                <w:color w:val="auto"/>
              </w:rPr>
            </w:pPr>
            <w:r>
              <w:rPr>
                <w:rFonts w:ascii="Arial" w:cs="Arial" w:eastAsia="Arial" w:hAnsi="Arial"/>
                <w:sz w:val="11"/>
                <w:szCs w:val="11"/>
                <w:b w:val="1"/>
                <w:bCs w:val="1"/>
                <w:color w:val="auto"/>
              </w:rPr>
              <w:t>30.0</w:t>
            </w:r>
            <w:r>
              <w:rPr>
                <w:rFonts w:ascii="Arial" w:cs="Arial" w:eastAsia="Arial" w:hAnsi="Arial"/>
                <w:sz w:val="19"/>
                <w:szCs w:val="19"/>
                <w:b w:val="1"/>
                <w:bCs w:val="1"/>
                <w:color w:val="auto"/>
                <w:vertAlign w:val="superscript"/>
              </w:rPr>
              <w:t>%</w:t>
            </w:r>
          </w:p>
        </w:tc>
        <w:tc>
          <w:tcPr>
            <w:tcW w:w="128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auto"/>
              </w:rPr>
              <w:t>0.7</w:t>
            </w:r>
            <w:r>
              <w:rPr>
                <w:rFonts w:ascii="Arial" w:cs="Arial" w:eastAsia="Arial" w:hAnsi="Arial"/>
                <w:sz w:val="19"/>
                <w:szCs w:val="19"/>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Deposits and other BCP sources of funding (Debt to banks and correspondent banks, bonds and subordinated debt, among others) remained practically stagnant. It is noteworthy that 73% of BCP funding comes from deposits and only about 5% originates in short-term international interbank loans, all of which have renewed without significant trouble. Despite strong uncertainty among international banks to lend abroad, BCP has kept its lines open and has not yet used them completely. Most such credit facilities are short term. In addition, the 90-180 day short-term debt tenure has been rescheduled to 180 to 360 day terms.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Savings and term deposits grew 5.6% and 0.3% respectively, while severance payment (CTS) deposits as well as checking accounts fell as a consequence of increase market competition to raise funds and greater customer sensitivity to interests earned by their deposits. The small growth in deposits takes place against a background of strong volatility in capital markets. It is important to recall deposits remain a low cost source of funds, since 57% of these deposits bear low interest or not at all. In addition, the retail banking segment is also significant as a source of funds. Approximately 47% of deposits come from this banking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163195</wp:posOffset>
            </wp:positionV>
            <wp:extent cx="4056380" cy="22212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5638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BCP’s market share of deposits reached 38.8% to September 2008, showing no significant variation from December 2007.</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leadership is clear in all types of deposits, with the strongest share (51.8%) for severance compensation (CTS) deposits beyond above our nearest competitor’s 19.7%. BCP’s share of demand deposits reached 45% in local currency and 40.2% in foreign currency, while savings deposits reached 35.7% and 41.6% in nuevos soles and dollars respectively. Finally, time deposits’ share reached 21.5% and 45.6% in local and foreign currency, respectively.</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its Credifondo subsidiary, BCP remained as a leader of the mutual funds business, with a total US$ 2,010 million worth of funds under management, though this figure is 13.2% lower than in June 2008. Such changes accounted for loss of value of assets managed by mutual funds as a result of the financial crisis that impacted on local capital markets by a reduction of the value in the portfolio under management, and some migration of mutual funds to bank deposits. Credifondo reached a 47.5% market share in September 2008, higher than last June’s 44.6%. This increase is all the more significant given the above mentioned current uncertainty.</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show below the evolution of deposits by type of currency. A reversal of the de-dollarization process becomes evident in September, due to sensitivity towards the exchange rate volatility since the US currency is still a refuge currency in times of crisis, and because of our own interest in capturing more US Dollar deposits to match our increasing dollar position.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2361565</wp:posOffset>
            </wp:positionH>
            <wp:positionV relativeFrom="page">
              <wp:posOffset>88900</wp:posOffset>
            </wp:positionV>
            <wp:extent cx="5042535" cy="2204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4253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NIM dropped 36 base points as a result of restructured profit-yielding assets towards increased legal reserve provisioning mandated by Peru’s Central Reserve Bank and increased bank deposits, particularly in US dollars, aimed at reducing Sol-denominated positions, which in turn yielded lower returns. Also contributing was the higher cost of funding.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Net interest income</w:t>
            </w: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Change</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US$ 000</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3Q08</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2Q08</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3Q07</w:t>
            </w:r>
          </w:p>
        </w:tc>
        <w:tc>
          <w:tcPr>
            <w:tcW w:w="1460" w:type="dxa"/>
            <w:vAlign w:val="bottom"/>
            <w:gridSpan w:val="3"/>
          </w:tcPr>
          <w:p>
            <w:pPr>
              <w:ind w:left="220"/>
              <w:spacing w:after="0"/>
              <w:rPr>
                <w:sz w:val="20"/>
                <w:szCs w:val="20"/>
                <w:color w:val="auto"/>
              </w:rPr>
            </w:pPr>
            <w:r>
              <w:rPr>
                <w:rFonts w:ascii="Arial" w:cs="Arial" w:eastAsia="Arial" w:hAnsi="Arial"/>
                <w:sz w:val="14"/>
                <w:szCs w:val="14"/>
                <w:b w:val="1"/>
                <w:bCs w:val="1"/>
                <w:color w:val="auto"/>
              </w:rPr>
              <w:t>3Q08/3Q07</w:t>
            </w:r>
          </w:p>
        </w:tc>
        <w:tc>
          <w:tcPr>
            <w:tcW w:w="11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9"/>
              </w:rPr>
              <w:t>3Q08/2Q08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322,921</w:t>
            </w:r>
          </w:p>
        </w:tc>
        <w:tc>
          <w:tcPr>
            <w:tcW w:w="1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b w:val="1"/>
                <w:bCs w:val="1"/>
                <w:color w:val="auto"/>
              </w:rPr>
              <w:t>319,420</w:t>
            </w:r>
          </w:p>
        </w:tc>
        <w:tc>
          <w:tcPr>
            <w:tcW w:w="128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b w:val="1"/>
                <w:bCs w:val="1"/>
                <w:color w:val="auto"/>
              </w:rPr>
              <w:t>240,181</w:t>
            </w:r>
          </w:p>
        </w:tc>
        <w:tc>
          <w:tcPr>
            <w:tcW w:w="12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34.4%</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loans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246,814</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228,892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183,127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w:t>
            </w:r>
          </w:p>
        </w:tc>
        <w:tc>
          <w:tcPr>
            <w:tcW w:w="1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Interest and dividends on investments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4,323</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 with banks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17,129</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15,170</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18,985</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1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trading securities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55,584</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61,253</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35,521</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56.5%</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interest income</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3,391</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9,782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2,549</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33.1%</w:t>
            </w:r>
          </w:p>
        </w:tc>
        <w:tc>
          <w:tcPr>
            <w:tcW w:w="1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144,633</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131,061</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97,426</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48.5%</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deposits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103,790</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98,104</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69,241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w:t>
            </w:r>
          </w:p>
        </w:tc>
        <w:tc>
          <w:tcPr>
            <w:tcW w:w="1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on borrowed funds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17,400</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16,782</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13,515</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28.7%</w:t>
            </w:r>
          </w:p>
        </w:tc>
        <w:tc>
          <w:tcPr>
            <w:tcW w:w="1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15,019</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13,378</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8,698</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w:t>
            </w:r>
          </w:p>
        </w:tc>
        <w:tc>
          <w:tcPr>
            <w:tcW w:w="180" w:type="dxa"/>
            <w:vAlign w:val="bottom"/>
          </w:tcPr>
          <w:p>
            <w:pPr>
              <w:spacing w:after="0"/>
              <w:rPr>
                <w:sz w:val="12"/>
                <w:szCs w:val="12"/>
                <w:color w:val="auto"/>
              </w:rPr>
            </w:pPr>
          </w:p>
        </w:tc>
        <w:tc>
          <w:tcPr>
            <w:tcW w:w="1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Other interest expense</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8,424</w:t>
            </w: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2,797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5,972</w:t>
            </w:r>
          </w:p>
        </w:tc>
        <w:tc>
          <w:tcPr>
            <w:tcW w:w="1280" w:type="dxa"/>
            <w:vAlign w:val="bottom"/>
            <w:gridSpan w:val="2"/>
            <w:shd w:val="clear" w:color="auto" w:fill="CCFFCC"/>
          </w:tcPr>
          <w:p>
            <w:pPr>
              <w:jc w:val="right"/>
              <w:spacing w:after="0" w:line="176" w:lineRule="exact"/>
              <w:rPr>
                <w:sz w:val="20"/>
                <w:szCs w:val="20"/>
                <w:color w:val="auto"/>
              </w:rPr>
            </w:pPr>
            <w:r>
              <w:rPr>
                <w:rFonts w:ascii="Arial" w:cs="Arial" w:eastAsia="Arial" w:hAnsi="Arial"/>
                <w:sz w:val="12"/>
                <w:szCs w:val="12"/>
                <w:color w:val="auto"/>
              </w:rPr>
              <w:t>41.1</w:t>
            </w:r>
            <w:r>
              <w:rPr>
                <w:rFonts w:ascii="Arial" w:cs="Arial" w:eastAsia="Arial" w:hAnsi="Arial"/>
                <w:sz w:val="20"/>
                <w:szCs w:val="20"/>
                <w:color w:val="auto"/>
                <w:vertAlign w:val="superscript"/>
              </w:rPr>
              <w:t>%</w:t>
            </w:r>
          </w:p>
        </w:tc>
        <w:tc>
          <w:tcPr>
            <w:tcW w:w="18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spacing w:after="0" w:line="176" w:lineRule="exact"/>
              <w:rPr>
                <w:sz w:val="20"/>
                <w:szCs w:val="20"/>
                <w:color w:val="auto"/>
              </w:rPr>
            </w:pPr>
            <w:r>
              <w:rPr>
                <w:rFonts w:ascii="Arial" w:cs="Arial" w:eastAsia="Arial" w:hAnsi="Arial"/>
                <w:sz w:val="12"/>
                <w:szCs w:val="12"/>
                <w:color w:val="auto"/>
              </w:rPr>
              <w:t>201.2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178,288</w:t>
            </w:r>
          </w:p>
        </w:tc>
        <w:tc>
          <w:tcPr>
            <w:tcW w:w="1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188,359</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142,755</w:t>
            </w:r>
          </w:p>
        </w:tc>
        <w:tc>
          <w:tcPr>
            <w:tcW w:w="128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auto"/>
              </w:rPr>
              <w:t>24.9</w:t>
            </w:r>
            <w:r>
              <w:rPr>
                <w:rFonts w:ascii="Arial" w:cs="Arial" w:eastAsia="Arial" w:hAnsi="Arial"/>
                <w:sz w:val="19"/>
                <w:szCs w:val="19"/>
                <w:b w:val="1"/>
                <w:bCs w:val="1"/>
                <w:color w:val="auto"/>
                <w:vertAlign w:val="superscript"/>
              </w:rPr>
              <w:t>%</w:t>
            </w:r>
          </w:p>
        </w:tc>
        <w:tc>
          <w:tcPr>
            <w:tcW w:w="180" w:type="dxa"/>
            <w:vAlign w:val="bottom"/>
          </w:tcPr>
          <w:p>
            <w:pPr>
              <w:spacing w:after="0"/>
              <w:rPr>
                <w:sz w:val="14"/>
                <w:szCs w:val="14"/>
                <w:color w:val="auto"/>
              </w:rPr>
            </w:pPr>
          </w:p>
        </w:tc>
        <w:tc>
          <w:tcPr>
            <w:tcW w:w="110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auto"/>
              </w:rPr>
              <w:t>-5.3</w:t>
            </w:r>
            <w:r>
              <w:rPr>
                <w:rFonts w:ascii="Arial" w:cs="Arial" w:eastAsia="Arial" w:hAnsi="Arial"/>
                <w:sz w:val="19"/>
                <w:szCs w:val="19"/>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Average interest earning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16,568,839</w:t>
            </w:r>
          </w:p>
        </w:tc>
        <w:tc>
          <w:tcPr>
            <w:tcW w:w="14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16,168,832</w:t>
            </w:r>
          </w:p>
        </w:tc>
        <w:tc>
          <w:tcPr>
            <w:tcW w:w="16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11,843,193</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39.9</w:t>
            </w: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9"/>
              </w:rPr>
              <w:t>%</w:t>
            </w:r>
          </w:p>
        </w:tc>
        <w:tc>
          <w:tcPr>
            <w:tcW w:w="180" w:type="dxa"/>
            <w:vAlign w:val="bottom"/>
            <w:shd w:val="clear" w:color="auto" w:fill="CCFFCC"/>
          </w:tcPr>
          <w:p>
            <w:pPr>
              <w:spacing w:after="0"/>
              <w:rPr>
                <w:sz w:val="14"/>
                <w:szCs w:val="14"/>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w:t>
            </w:r>
          </w:p>
        </w:tc>
        <w:tc>
          <w:tcPr>
            <w:tcW w:w="14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Net interest margin*</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4.30%</w:t>
            </w:r>
          </w:p>
        </w:tc>
        <w:tc>
          <w:tcPr>
            <w:tcW w:w="1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4.66%</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4.82%</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Interest on loans that reflects the evolution and growth of the bank business remained strong and grew 7.8% QoQ, slightly higher even than loan growth (measured as daily average balances), that reached 6.6% QoQ. This would improve NIM reflecting higher returns from loans, principally in the retail segment. However, larger legal reserve requirements and higher liquidity levels pushed the amount of liquid assets deposited at BCR by 23%, whereas more profitable liquid assets such us CDs of BCRP were reduced, resulting in low nominal rates and the consequent negative impact on NIM. On the other hand, large deposits at BCR, which yield low returns in both local and foreign currency, increased their share of total interest earning assets, resulting in net interest income growing only 1.1% in 3Q08, and ultimately a lower NIM than in the previous quarter.</w:t>
      </w:r>
    </w:p>
    <w:p>
      <w:pPr>
        <w:spacing w:after="0" w:line="2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expenses on the other hand expanded 10.4% because of higher funding costs, mainly on deposits, our main source of funding which increased from 2.99% in 2Q08 to 3.12% average funding cost of total deposits in 3Q08. Such higher cost of funding had to a lesser extent an impact from the liquidity crisis in international markets. A combination of such low growth of interest income and high growth of interest expenses resulted in 5.3% QoQ lower net interest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The result of the above-described fluctuations was NIM’s flip down to 4.30% in 3Q08 from 4.66% in 2Q08.</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isolate the impact of the restructured asset mix on NIM, the following table shows a simulated NIM for the lending business which includes increased funding cost but excludes the cost of increased legal reserves, which is captured by the restructured profit-yielding asset mix.</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re-composition of loan portfolio is undoubtedly a positive event and the isolated NIM calculation shows a raising NIM (from 6.8% to 7%) during the last 3 quarters, where higher yielding loans offsets the higher direct cost of funding, except in this 3Q08 (6.9%) when the cost of funding was exacerbated. However, once we include the impact of the re-allocation of interest earning assets, NIM’s decline becomes evident. This implies that the fall in NIM is rather a response to diminishing returns from liquid assets due to legal reserve requirements, foreign exchange position and liquidity management decisions, rather than due to compressed lending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163195</wp:posOffset>
            </wp:positionV>
            <wp:extent cx="4142105" cy="1946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42105"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Provisioning grew 48.1% QoQ after larger provisioning in the commercial and consumer segments. At 0.78%, the portfolio quality indicator remains strong.</w:t>
      </w:r>
    </w:p>
    <w:p>
      <w:pPr>
        <w:sectPr>
          <w:pgSz w:w="11900" w:h="16838" w:orient="portrait"/>
          <w:cols w:equalWidth="0" w:num="1">
            <w:col w:w="11420"/>
          </w:cols>
          <w:pgMar w:left="240" w:top="976" w:right="239" w:bottom="1440" w:gutter="0" w:footer="0" w:header="0"/>
        </w:sect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Provisión for loan losses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87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Provisions</w:t>
      </w:r>
    </w:p>
    <w:p>
      <w:pPr>
        <w:spacing w:after="0"/>
        <w:rPr>
          <w:sz w:val="20"/>
          <w:szCs w:val="20"/>
          <w:color w:val="auto"/>
        </w:rPr>
      </w:pPr>
      <w:r>
        <w:rPr>
          <w:rFonts w:ascii="Arial" w:cs="Arial" w:eastAsia="Arial" w:hAnsi="Arial"/>
          <w:sz w:val="14"/>
          <w:szCs w:val="14"/>
          <w:color w:val="auto"/>
        </w:rPr>
        <w:t>Loan loss recoveries</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provisions, net of recoveries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loans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 for loan losses (RLL)</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Bcp's Charge-Off amount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due loans (PDL)</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PDL/Total loans</w:t>
      </w:r>
    </w:p>
    <w:p>
      <w:pPr>
        <w:spacing w:after="0"/>
        <w:rPr>
          <w:sz w:val="20"/>
          <w:szCs w:val="20"/>
          <w:color w:val="auto"/>
        </w:rPr>
      </w:pPr>
      <w:r>
        <w:rPr>
          <w:rFonts w:ascii="Arial" w:cs="Arial" w:eastAsia="Arial" w:hAnsi="Arial"/>
          <w:sz w:val="14"/>
          <w:szCs w:val="14"/>
          <w:color w:val="auto"/>
        </w:rPr>
        <w:t>Coverage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869"/>
              <w:spacing w:after="0"/>
              <w:rPr>
                <w:sz w:val="20"/>
                <w:szCs w:val="20"/>
                <w:color w:val="auto"/>
              </w:rPr>
            </w:pPr>
            <w:r>
              <w:rPr>
                <w:rFonts w:ascii="Arial" w:cs="Arial" w:eastAsia="Arial" w:hAnsi="Arial"/>
                <w:sz w:val="14"/>
                <w:szCs w:val="14"/>
                <w:b w:val="1"/>
                <w:bCs w:val="1"/>
                <w:color w:val="auto"/>
                <w:w w:val="93"/>
              </w:rPr>
              <w:t>Change</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3Q08</w:t>
            </w:r>
          </w:p>
        </w:tc>
        <w:tc>
          <w:tcPr>
            <w:tcW w:w="120" w:type="dxa"/>
            <w:vAlign w:val="bottom"/>
            <w:gridSpan w:val="2"/>
          </w:tcPr>
          <w:p>
            <w:pPr>
              <w:spacing w:after="0"/>
              <w:rPr>
                <w:sz w:val="14"/>
                <w:szCs w:val="14"/>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2Q08</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3Q07</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3Q08/3Q07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9"/>
              </w:rPr>
              <w:t>3Q08/2Q08</w:t>
            </w:r>
          </w:p>
        </w:tc>
        <w:tc>
          <w:tcPr>
            <w:tcW w:w="140" w:type="dxa"/>
            <w:vAlign w:val="bottom"/>
          </w:tcPr>
          <w:p>
            <w:pPr>
              <w:spacing w:after="0"/>
              <w:rPr>
                <w:sz w:val="14"/>
                <w:szCs w:val="14"/>
                <w:color w:val="auto"/>
              </w:rPr>
            </w:pPr>
          </w:p>
        </w:tc>
      </w:tr>
      <w:tr>
        <w:trPr>
          <w:trHeight w:val="123"/>
        </w:trPr>
        <w:tc>
          <w:tcPr>
            <w:tcW w:w="1140" w:type="dxa"/>
            <w:vAlign w:val="bottom"/>
          </w:tcPr>
          <w:p>
            <w:pPr>
              <w:jc w:val="right"/>
              <w:spacing w:after="0" w:line="123" w:lineRule="exact"/>
              <w:rPr>
                <w:sz w:val="20"/>
                <w:szCs w:val="20"/>
                <w:color w:val="auto"/>
              </w:rPr>
            </w:pPr>
            <w:r>
              <w:rPr>
                <w:rFonts w:ascii="Arial" w:cs="Arial" w:eastAsia="Arial" w:hAnsi="Arial"/>
                <w:sz w:val="14"/>
                <w:szCs w:val="14"/>
                <w:color w:val="auto"/>
              </w:rPr>
              <w:t>(24,040)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spacing w:after="0" w:line="123" w:lineRule="exact"/>
              <w:rPr>
                <w:sz w:val="20"/>
                <w:szCs w:val="20"/>
                <w:color w:val="auto"/>
              </w:rPr>
            </w:pPr>
            <w:r>
              <w:rPr>
                <w:rFonts w:ascii="Arial" w:cs="Arial" w:eastAsia="Arial" w:hAnsi="Arial"/>
                <w:sz w:val="14"/>
                <w:szCs w:val="14"/>
                <w:color w:val="auto"/>
              </w:rPr>
              <w:t>(16,230)</w:t>
            </w:r>
          </w:p>
        </w:tc>
        <w:tc>
          <w:tcPr>
            <w:tcW w:w="120" w:type="dxa"/>
            <w:vAlign w:val="bottom"/>
          </w:tcPr>
          <w:p>
            <w:pPr>
              <w:spacing w:after="0"/>
              <w:rPr>
                <w:sz w:val="10"/>
                <w:szCs w:val="10"/>
                <w:color w:val="auto"/>
              </w:rPr>
            </w:pPr>
          </w:p>
        </w:tc>
        <w:tc>
          <w:tcPr>
            <w:tcW w:w="1140" w:type="dxa"/>
            <w:vAlign w:val="bottom"/>
          </w:tcPr>
          <w:p>
            <w:pPr>
              <w:jc w:val="right"/>
              <w:spacing w:after="0" w:line="123" w:lineRule="exact"/>
              <w:rPr>
                <w:sz w:val="20"/>
                <w:szCs w:val="20"/>
                <w:color w:val="auto"/>
              </w:rPr>
            </w:pPr>
            <w:r>
              <w:rPr>
                <w:rFonts w:ascii="Arial" w:cs="Arial" w:eastAsia="Arial" w:hAnsi="Arial"/>
                <w:sz w:val="14"/>
                <w:szCs w:val="14"/>
                <w:color w:val="auto"/>
              </w:rPr>
              <w:t>(17,464)</w:t>
            </w:r>
          </w:p>
        </w:tc>
        <w:tc>
          <w:tcPr>
            <w:tcW w:w="120" w:type="dxa"/>
            <w:vAlign w:val="bottom"/>
          </w:tcPr>
          <w:p>
            <w:pPr>
              <w:spacing w:after="0"/>
              <w:rPr>
                <w:sz w:val="10"/>
                <w:szCs w:val="10"/>
                <w:color w:val="auto"/>
              </w:rPr>
            </w:pPr>
          </w:p>
        </w:tc>
        <w:tc>
          <w:tcPr>
            <w:tcW w:w="1280" w:type="dxa"/>
            <w:vAlign w:val="bottom"/>
            <w:gridSpan w:val="2"/>
          </w:tcPr>
          <w:p>
            <w:pPr>
              <w:ind w:left="880"/>
              <w:spacing w:after="0" w:line="123" w:lineRule="exact"/>
              <w:rPr>
                <w:sz w:val="20"/>
                <w:szCs w:val="20"/>
                <w:color w:val="auto"/>
              </w:rPr>
            </w:pPr>
            <w:r>
              <w:rPr>
                <w:rFonts w:ascii="Arial" w:cs="Arial" w:eastAsia="Arial" w:hAnsi="Arial"/>
                <w:sz w:val="14"/>
                <w:szCs w:val="14"/>
                <w:color w:val="auto"/>
                <w:w w:val="95"/>
              </w:rPr>
              <w:t>37.7%</w:t>
            </w:r>
          </w:p>
        </w:tc>
        <w:tc>
          <w:tcPr>
            <w:tcW w:w="180" w:type="dxa"/>
            <w:vAlign w:val="bottom"/>
          </w:tcPr>
          <w:p>
            <w:pPr>
              <w:spacing w:after="0"/>
              <w:rPr>
                <w:sz w:val="10"/>
                <w:szCs w:val="10"/>
                <w:color w:val="auto"/>
              </w:rPr>
            </w:pPr>
          </w:p>
        </w:tc>
        <w:tc>
          <w:tcPr>
            <w:tcW w:w="110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48.1%</w:t>
            </w:r>
          </w:p>
        </w:tc>
      </w:tr>
      <w:tr>
        <w:trPr>
          <w:trHeight w:val="194"/>
        </w:trPr>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6,424</w:t>
            </w:r>
          </w:p>
        </w:tc>
        <w:tc>
          <w:tcPr>
            <w:tcW w:w="100" w:type="dxa"/>
            <w:vAlign w:val="bottom"/>
          </w:tcPr>
          <w:p>
            <w:pPr>
              <w:spacing w:after="0"/>
              <w:rPr>
                <w:sz w:val="16"/>
                <w:szCs w:val="16"/>
                <w:color w:val="auto"/>
              </w:rPr>
            </w:pP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5,951</w:t>
            </w:r>
          </w:p>
        </w:tc>
        <w:tc>
          <w:tcPr>
            <w:tcW w:w="1260" w:type="dxa"/>
            <w:vAlign w:val="bottom"/>
            <w:gridSpan w:val="2"/>
          </w:tcPr>
          <w:p>
            <w:pPr>
              <w:jc w:val="right"/>
              <w:ind w:right="79"/>
              <w:spacing w:after="0"/>
              <w:rPr>
                <w:sz w:val="20"/>
                <w:szCs w:val="20"/>
                <w:color w:val="auto"/>
              </w:rPr>
            </w:pPr>
            <w:r>
              <w:rPr>
                <w:rFonts w:ascii="Arial" w:cs="Arial" w:eastAsia="Arial" w:hAnsi="Arial"/>
                <w:sz w:val="14"/>
                <w:szCs w:val="14"/>
                <w:color w:val="auto"/>
              </w:rPr>
              <w:t>8,223</w:t>
            </w:r>
          </w:p>
        </w:tc>
        <w:tc>
          <w:tcPr>
            <w:tcW w:w="1280" w:type="dxa"/>
            <w:vAlign w:val="bottom"/>
            <w:gridSpan w:val="2"/>
          </w:tcPr>
          <w:p>
            <w:pPr>
              <w:ind w:left="820"/>
              <w:spacing w:after="0" w:line="194" w:lineRule="exact"/>
              <w:rPr>
                <w:sz w:val="20"/>
                <w:szCs w:val="20"/>
                <w:color w:val="auto"/>
              </w:rPr>
            </w:pPr>
            <w:r>
              <w:rPr>
                <w:rFonts w:ascii="Arial" w:cs="Arial" w:eastAsia="Arial" w:hAnsi="Arial"/>
                <w:sz w:val="12"/>
                <w:szCs w:val="12"/>
                <w:color w:val="auto"/>
              </w:rPr>
              <w:t>-21.9</w:t>
            </w:r>
            <w:r>
              <w:rPr>
                <w:rFonts w:ascii="Arial" w:cs="Arial" w:eastAsia="Arial" w:hAnsi="Arial"/>
                <w:sz w:val="22"/>
                <w:szCs w:val="22"/>
                <w:color w:val="auto"/>
                <w:vertAlign w:val="superscript"/>
              </w:rPr>
              <w:t>%</w:t>
            </w:r>
          </w:p>
        </w:tc>
        <w:tc>
          <w:tcPr>
            <w:tcW w:w="18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8.0</w:t>
            </w:r>
            <w:r>
              <w:rPr>
                <w:rFonts w:ascii="Arial" w:cs="Arial" w:eastAsia="Arial" w:hAnsi="Arial"/>
                <w:sz w:val="22"/>
                <w:szCs w:val="22"/>
                <w:color w:val="auto"/>
                <w:vertAlign w:val="superscript"/>
              </w:rPr>
              <w:t>%</w:t>
            </w:r>
          </w:p>
        </w:tc>
      </w:tr>
      <w:tr>
        <w:trPr>
          <w:trHeight w:val="169"/>
        </w:trPr>
        <w:tc>
          <w:tcPr>
            <w:tcW w:w="116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(17,616</w:t>
            </w:r>
          </w:p>
        </w:tc>
        <w:tc>
          <w:tcPr>
            <w:tcW w:w="100" w:type="dxa"/>
            <w:vAlign w:val="bottom"/>
          </w:tcPr>
          <w:p>
            <w:pPr>
              <w:jc w:val="right"/>
              <w:ind w:right="75"/>
              <w:spacing w:after="0"/>
              <w:rPr>
                <w:sz w:val="20"/>
                <w:szCs w:val="20"/>
                <w:color w:val="auto"/>
              </w:rPr>
            </w:pPr>
            <w:r>
              <w:rPr>
                <w:rFonts w:ascii="Arial" w:cs="Arial" w:eastAsia="Arial" w:hAnsi="Arial"/>
                <w:sz w:val="1"/>
                <w:szCs w:val="1"/>
                <w:b w:val="1"/>
                <w:bCs w:val="1"/>
                <w:color w:val="auto"/>
                <w:w w:val="4294967281"/>
              </w:rPr>
              <w:t>)</w:t>
            </w: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(10,280</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1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(9,241</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1120" w:type="dxa"/>
            <w:vAlign w:val="bottom"/>
            <w:tcBorders>
              <w:top w:val="single" w:sz="8" w:color="auto"/>
            </w:tcBorders>
          </w:tcPr>
          <w:p>
            <w:pPr>
              <w:ind w:left="880"/>
              <w:spacing w:after="0" w:line="129" w:lineRule="exact"/>
              <w:rPr>
                <w:sz w:val="20"/>
                <w:szCs w:val="20"/>
                <w:color w:val="auto"/>
              </w:rPr>
            </w:pPr>
            <w:r>
              <w:rPr>
                <w:rFonts w:ascii="Arial" w:cs="Arial" w:eastAsia="Arial" w:hAnsi="Arial"/>
                <w:sz w:val="14"/>
                <w:szCs w:val="14"/>
                <w:b w:val="1"/>
                <w:bCs w:val="1"/>
                <w:color w:val="auto"/>
                <w:w w:val="80"/>
              </w:rPr>
              <w:t>90.6</w:t>
            </w:r>
          </w:p>
        </w:tc>
        <w:tc>
          <w:tcPr>
            <w:tcW w:w="16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71.4</w:t>
            </w:r>
          </w:p>
        </w:tc>
        <w:tc>
          <w:tcPr>
            <w:tcW w:w="140" w:type="dxa"/>
            <w:vAlign w:val="bottom"/>
          </w:tcPr>
          <w:p>
            <w:pPr>
              <w:jc w:val="right"/>
              <w:spacing w:after="0" w:line="122" w:lineRule="exact"/>
              <w:rPr>
                <w:sz w:val="20"/>
                <w:szCs w:val="20"/>
                <w:color w:val="auto"/>
              </w:rPr>
            </w:pPr>
            <w:r>
              <w:rPr>
                <w:rFonts w:ascii="Arial" w:cs="Arial" w:eastAsia="Arial" w:hAnsi="Arial"/>
                <w:sz w:val="14"/>
                <w:szCs w:val="14"/>
                <w:b w:val="1"/>
                <w:bCs w:val="1"/>
                <w:color w:val="auto"/>
                <w:w w:val="96"/>
              </w:rPr>
              <w:t>%</w:t>
            </w:r>
          </w:p>
        </w:tc>
      </w:tr>
      <w:tr>
        <w:trPr>
          <w:trHeight w:val="169"/>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9,836,170</w:t>
            </w:r>
          </w:p>
        </w:tc>
        <w:tc>
          <w:tcPr>
            <w:tcW w:w="20" w:type="dxa"/>
            <w:vAlign w:val="bottom"/>
            <w:tcBorders>
              <w:top w:val="single" w:sz="8" w:color="CCFFCC"/>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9,197,916</w:t>
            </w:r>
          </w:p>
        </w:tc>
        <w:tc>
          <w:tcPr>
            <w:tcW w:w="120" w:type="dxa"/>
            <w:vAlign w:val="bottom"/>
            <w:tcBorders>
              <w:top w:val="single" w:sz="8" w:color="CCFFCC"/>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7,450,674</w:t>
            </w:r>
          </w:p>
        </w:tc>
        <w:tc>
          <w:tcPr>
            <w:tcW w:w="120" w:type="dxa"/>
            <w:vAlign w:val="bottom"/>
            <w:tcBorders>
              <w:top w:val="single" w:sz="8" w:color="CCFFCC"/>
            </w:tcBorders>
          </w:tcPr>
          <w:p>
            <w:pPr>
              <w:spacing w:after="0"/>
              <w:rPr>
                <w:sz w:val="14"/>
                <w:szCs w:val="14"/>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b w:val="1"/>
                <w:bCs w:val="1"/>
                <w:color w:val="auto"/>
                <w:w w:val="80"/>
              </w:rPr>
              <w:t>32.0</w:t>
            </w:r>
          </w:p>
        </w:tc>
        <w:tc>
          <w:tcPr>
            <w:tcW w:w="160" w:type="dxa"/>
            <w:vAlign w:val="bottom"/>
            <w:tcBorders>
              <w:top w:val="single" w:sz="8" w:color="CCFFCC"/>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140" w:type="dxa"/>
            <w:vAlign w:val="bottom"/>
            <w:tcBorders>
              <w:top w:val="single" w:sz="8" w:color="CCFFCC"/>
            </w:tcBorders>
          </w:tcPr>
          <w:p>
            <w:pPr>
              <w:jc w:val="right"/>
              <w:spacing w:after="0"/>
              <w:rPr>
                <w:sz w:val="20"/>
                <w:szCs w:val="20"/>
                <w:color w:val="auto"/>
              </w:rPr>
            </w:pPr>
            <w:r>
              <w:rPr>
                <w:rFonts w:ascii="Arial" w:cs="Arial" w:eastAsia="Arial" w:hAnsi="Arial"/>
                <w:sz w:val="14"/>
                <w:szCs w:val="14"/>
                <w:b w:val="1"/>
                <w:bCs w:val="1"/>
                <w:color w:val="auto"/>
                <w:w w:val="96"/>
              </w:rPr>
              <w:t>%</w:t>
            </w:r>
          </w:p>
        </w:tc>
      </w:tr>
      <w:tr>
        <w:trPr>
          <w:trHeight w:val="169"/>
        </w:trPr>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229,071</w:t>
            </w:r>
          </w:p>
        </w:tc>
        <w:tc>
          <w:tcPr>
            <w:tcW w:w="20" w:type="dxa"/>
            <w:vAlign w:val="bottom"/>
            <w:tcBorders>
              <w:bottom w:val="single" w:sz="8" w:color="CCFFCC"/>
            </w:tcBorders>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217,569</w:t>
            </w:r>
          </w:p>
        </w:tc>
        <w:tc>
          <w:tcPr>
            <w:tcW w:w="120" w:type="dxa"/>
            <w:vAlign w:val="bottom"/>
            <w:tcBorders>
              <w:bottom w:val="single" w:sz="8" w:color="CCFFCC"/>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202,877</w:t>
            </w:r>
          </w:p>
        </w:tc>
        <w:tc>
          <w:tcPr>
            <w:tcW w:w="120" w:type="dxa"/>
            <w:vAlign w:val="bottom"/>
            <w:tcBorders>
              <w:bottom w:val="single" w:sz="8" w:color="CCFFCC"/>
            </w:tcBorders>
          </w:tcPr>
          <w:p>
            <w:pPr>
              <w:spacing w:after="0"/>
              <w:rPr>
                <w:sz w:val="14"/>
                <w:szCs w:val="14"/>
                <w:color w:val="auto"/>
              </w:rPr>
            </w:pPr>
          </w:p>
        </w:tc>
        <w:tc>
          <w:tcPr>
            <w:tcW w:w="1120" w:type="dxa"/>
            <w:vAlign w:val="bottom"/>
            <w:tcBorders>
              <w:bottom w:val="single" w:sz="8" w:color="auto"/>
            </w:tcBorders>
          </w:tcPr>
          <w:p>
            <w:pPr>
              <w:ind w:left="880"/>
              <w:spacing w:after="0" w:line="129" w:lineRule="exact"/>
              <w:rPr>
                <w:sz w:val="20"/>
                <w:szCs w:val="20"/>
                <w:color w:val="auto"/>
              </w:rPr>
            </w:pPr>
            <w:r>
              <w:rPr>
                <w:rFonts w:ascii="Arial" w:cs="Arial" w:eastAsia="Arial" w:hAnsi="Arial"/>
                <w:sz w:val="14"/>
                <w:szCs w:val="14"/>
                <w:b w:val="1"/>
                <w:bCs w:val="1"/>
                <w:color w:val="auto"/>
                <w:w w:val="80"/>
              </w:rPr>
              <w:t>12.9</w:t>
            </w:r>
          </w:p>
        </w:tc>
        <w:tc>
          <w:tcPr>
            <w:tcW w:w="160" w:type="dxa"/>
            <w:vAlign w:val="bottom"/>
            <w:tcBorders>
              <w:bottom w:val="single" w:sz="8" w:color="CCFFCC"/>
            </w:tcBorders>
          </w:tcPr>
          <w:p>
            <w:pPr>
              <w:jc w:val="center"/>
              <w:spacing w:after="0" w:line="12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5.3</w:t>
            </w:r>
          </w:p>
        </w:tc>
        <w:tc>
          <w:tcPr>
            <w:tcW w:w="140" w:type="dxa"/>
            <w:vAlign w:val="bottom"/>
            <w:tcBorders>
              <w:bottom w:val="single" w:sz="8" w:color="CCFFCC"/>
            </w:tcBorders>
          </w:tcPr>
          <w:p>
            <w:pPr>
              <w:jc w:val="right"/>
              <w:spacing w:after="0" w:line="122" w:lineRule="exact"/>
              <w:rPr>
                <w:sz w:val="20"/>
                <w:szCs w:val="20"/>
                <w:color w:val="auto"/>
              </w:rPr>
            </w:pPr>
            <w:r>
              <w:rPr>
                <w:rFonts w:ascii="Arial" w:cs="Arial" w:eastAsia="Arial" w:hAnsi="Arial"/>
                <w:sz w:val="14"/>
                <w:szCs w:val="14"/>
                <w:b w:val="1"/>
                <w:bCs w:val="1"/>
                <w:color w:val="auto"/>
                <w:w w:val="96"/>
              </w:rPr>
              <w:t>%</w:t>
            </w:r>
          </w:p>
        </w:tc>
      </w:tr>
      <w:tr>
        <w:trPr>
          <w:trHeight w:val="169"/>
        </w:trPr>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11,929</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10,513</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8,274</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w w:val="80"/>
              </w:rPr>
              <w:t>44.2</w:t>
            </w:r>
          </w:p>
        </w:tc>
        <w:tc>
          <w:tcPr>
            <w:tcW w:w="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r>
      <w:tr>
        <w:trPr>
          <w:trHeight w:val="169"/>
        </w:trPr>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76,569</w:t>
            </w:r>
          </w:p>
        </w:tc>
        <w:tc>
          <w:tcPr>
            <w:tcW w:w="20" w:type="dxa"/>
            <w:vAlign w:val="bottom"/>
            <w:tcBorders>
              <w:bottom w:val="single" w:sz="8" w:color="CCFFCC"/>
            </w:tcBorders>
          </w:tcPr>
          <w:p>
            <w:pPr>
              <w:spacing w:after="0"/>
              <w:rPr>
                <w:sz w:val="14"/>
                <w:szCs w:val="14"/>
                <w:color w:val="auto"/>
              </w:rPr>
            </w:pPr>
          </w:p>
        </w:tc>
        <w:tc>
          <w:tcPr>
            <w:tcW w:w="100" w:type="dxa"/>
            <w:vAlign w:val="bottom"/>
            <w:tcBorders>
              <w:bottom w:val="single" w:sz="8" w:color="CCFFCC"/>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68,264</w:t>
            </w:r>
          </w:p>
        </w:tc>
        <w:tc>
          <w:tcPr>
            <w:tcW w:w="120" w:type="dxa"/>
            <w:vAlign w:val="bottom"/>
            <w:tcBorders>
              <w:bottom w:val="single" w:sz="8" w:color="CCFFCC"/>
            </w:tcBorders>
          </w:tcPr>
          <w:p>
            <w:pPr>
              <w:spacing w:after="0"/>
              <w:rPr>
                <w:sz w:val="14"/>
                <w:szCs w:val="14"/>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67,478</w:t>
            </w:r>
          </w:p>
        </w:tc>
        <w:tc>
          <w:tcPr>
            <w:tcW w:w="120" w:type="dxa"/>
            <w:vAlign w:val="bottom"/>
            <w:tcBorders>
              <w:bottom w:val="single" w:sz="8" w:color="CCFFCC"/>
            </w:tcBorders>
          </w:tcPr>
          <w:p>
            <w:pPr>
              <w:spacing w:after="0"/>
              <w:rPr>
                <w:sz w:val="14"/>
                <w:szCs w:val="14"/>
                <w:color w:val="auto"/>
              </w:rPr>
            </w:pPr>
          </w:p>
        </w:tc>
        <w:tc>
          <w:tcPr>
            <w:tcW w:w="1120" w:type="dxa"/>
            <w:vAlign w:val="bottom"/>
            <w:tcBorders>
              <w:bottom w:val="single" w:sz="8" w:color="auto"/>
            </w:tcBorders>
          </w:tcPr>
          <w:p>
            <w:pPr>
              <w:ind w:left="880"/>
              <w:spacing w:after="0" w:line="129" w:lineRule="exact"/>
              <w:rPr>
                <w:sz w:val="20"/>
                <w:szCs w:val="20"/>
                <w:color w:val="auto"/>
              </w:rPr>
            </w:pPr>
            <w:r>
              <w:rPr>
                <w:rFonts w:ascii="Arial" w:cs="Arial" w:eastAsia="Arial" w:hAnsi="Arial"/>
                <w:sz w:val="14"/>
                <w:szCs w:val="14"/>
                <w:b w:val="1"/>
                <w:bCs w:val="1"/>
                <w:color w:val="auto"/>
                <w:w w:val="80"/>
              </w:rPr>
              <w:t>13.5</w:t>
            </w:r>
          </w:p>
        </w:tc>
        <w:tc>
          <w:tcPr>
            <w:tcW w:w="160" w:type="dxa"/>
            <w:vAlign w:val="bottom"/>
            <w:tcBorders>
              <w:bottom w:val="single" w:sz="8" w:color="CCFFCC"/>
            </w:tcBorders>
          </w:tcPr>
          <w:p>
            <w:pPr>
              <w:jc w:val="center"/>
              <w:spacing w:after="0" w:line="12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12.2</w:t>
            </w:r>
          </w:p>
        </w:tc>
        <w:tc>
          <w:tcPr>
            <w:tcW w:w="140" w:type="dxa"/>
            <w:vAlign w:val="bottom"/>
            <w:tcBorders>
              <w:bottom w:val="single" w:sz="8" w:color="CCFFCC"/>
            </w:tcBorders>
          </w:tcPr>
          <w:p>
            <w:pPr>
              <w:jc w:val="right"/>
              <w:spacing w:after="0" w:line="122" w:lineRule="exact"/>
              <w:rPr>
                <w:sz w:val="20"/>
                <w:szCs w:val="20"/>
                <w:color w:val="auto"/>
              </w:rPr>
            </w:pPr>
            <w:r>
              <w:rPr>
                <w:rFonts w:ascii="Arial" w:cs="Arial" w:eastAsia="Arial" w:hAnsi="Arial"/>
                <w:sz w:val="14"/>
                <w:szCs w:val="14"/>
                <w:b w:val="1"/>
                <w:bCs w:val="1"/>
                <w:color w:val="auto"/>
                <w:w w:val="96"/>
              </w:rPr>
              <w:t>%</w:t>
            </w:r>
          </w:p>
        </w:tc>
      </w:tr>
      <w:tr>
        <w:trPr>
          <w:trHeight w:val="123"/>
        </w:trPr>
        <w:tc>
          <w:tcPr>
            <w:tcW w:w="126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0.78%</w:t>
            </w:r>
          </w:p>
        </w:tc>
        <w:tc>
          <w:tcPr>
            <w:tcW w:w="12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0.74%</w:t>
            </w:r>
          </w:p>
        </w:tc>
        <w:tc>
          <w:tcPr>
            <w:tcW w:w="126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0.91%</w:t>
            </w: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82"/>
        </w:trPr>
        <w:tc>
          <w:tcPr>
            <w:tcW w:w="1260" w:type="dxa"/>
            <w:vAlign w:val="bottom"/>
            <w:gridSpan w:val="3"/>
          </w:tcPr>
          <w:p>
            <w:pPr>
              <w:jc w:val="right"/>
              <w:spacing w:after="0"/>
              <w:rPr>
                <w:sz w:val="20"/>
                <w:szCs w:val="20"/>
                <w:color w:val="auto"/>
              </w:rPr>
            </w:pPr>
            <w:r>
              <w:rPr>
                <w:rFonts w:ascii="Arial" w:cs="Arial" w:eastAsia="Arial" w:hAnsi="Arial"/>
                <w:sz w:val="14"/>
                <w:szCs w:val="14"/>
                <w:color w:val="auto"/>
              </w:rPr>
              <w:t>299.17%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318.72%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300.65%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-1012190</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-103505</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-797560</wp:posOffset>
            </wp:positionV>
            <wp:extent cx="7246620"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-557530</wp:posOffset>
            </wp:positionV>
            <wp:extent cx="724662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-317500</wp:posOffset>
            </wp:positionV>
            <wp:extent cx="724662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340"/>
          </w:cols>
          <w:pgMar w:left="240" w:top="976" w:right="239" w:bottom="1440" w:gutter="0" w:footer="0" w:header="0"/>
          <w:type w:val="continuous"/>
        </w:sectPr>
      </w:pP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provisioning reached US$ 24.0 million in 3Q08 in line with expectations, though 48.1% higher than last quarter, since 2Q08 recorded higher provision reversals as the portfolio quality in the corporate sector continued improving. Nevertheless, the planned increase in provisions results from larger volumes in commercial segment (Corporate, Middle Market and SME), and higher provisioning for the consumer segment following stricter policies and increased volumes. Past due loans grew slightly from US$ 68.2 million in June 2008 to US$ 76.6 million in September 2008, leading to slight growth in the past due indicator that rose from 0.74% to 0.78% over that period. It is worth mentioning provisioning and increased past due loans do not reveal a quality decline of loans but are rather a response to business evolution and a larger portfolio. Coverage for past due loans rose from US$ 217.8 million in June 2008 to US$ 229.1 million in September 2008.</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Revenues from collection of the written-off portfolio rose 8%, together with larger collection revenues this quarter, reflecting the Bank’s sound collection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151765</wp:posOffset>
            </wp:positionV>
            <wp:extent cx="3104515" cy="2272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0451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Non-financial revenues fell 7.4% as a consequence of losses from sales of securities amidst the international financial turbulence that hit the local capital market, and lower revenues from foreign exchange transactions against a backdrop of reduced dollar volatility.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3Q08/3Q07</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3Q08/2Q08</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87,042</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85,228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75,146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24,497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31,389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13,526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(3,128)</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-303.5%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-184.1%</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1,778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113,308</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122,347</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91,987</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23.2%</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income grew only 2.1% this quarter despite an increase of the volume of transactions. The monthly average number of transactions this quarter grew from 35.3 million transactions to 37.0 million in 3Q08, or a 4.8% QoQ expansion accounted for by more point of sales nationwide. Growth in transactions at Agentes BCP, own and third party cash dispensers and BCP point of sales are noteworthy.</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Nevertheless, quarterly 2.1% growth in </w:t>
      </w:r>
      <w:r>
        <w:rPr>
          <w:rFonts w:ascii="Arial" w:cs="Arial" w:eastAsia="Arial" w:hAnsi="Arial"/>
          <w:sz w:val="18"/>
          <w:szCs w:val="18"/>
          <w:i w:val="1"/>
          <w:iCs w:val="1"/>
          <w:color w:val="auto"/>
        </w:rPr>
        <w:t>fee income</w:t>
      </w:r>
      <w:r>
        <w:rPr>
          <w:rFonts w:ascii="Arial" w:cs="Arial" w:eastAsia="Arial" w:hAnsi="Arial"/>
          <w:sz w:val="18"/>
          <w:szCs w:val="18"/>
          <w:color w:val="auto"/>
        </w:rPr>
        <w:t xml:space="preserve"> is a consequence of strong growth in some items, like commissions earned from commercial loans (+93.9%), commissions earned from consulting in corporate finance (+24.4%), debit cards (+15.0%), contingencies (guarantees and collaterals), which grew 14.4%, among others, while other line-items including commissions from stock market transactions and commissions earned from BCP Bolivia fell significantly.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 de Transactions per channel</w:t>
            </w:r>
          </w:p>
        </w:tc>
        <w:tc>
          <w:tcPr>
            <w:tcW w:w="2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Change %</w:t>
            </w:r>
          </w:p>
        </w:tc>
        <w:tc>
          <w:tcPr>
            <w:tcW w:w="140" w:type="dxa"/>
            <w:vAlign w:val="bottom"/>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Average 3Q08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Average 2Q08</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Average 3Q07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3Q08/3Q07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3Q08/2Q08</w:t>
            </w:r>
          </w:p>
        </w:tc>
        <w:tc>
          <w:tcPr>
            <w:tcW w:w="140" w:type="dxa"/>
            <w:vAlign w:val="bottom"/>
          </w:tcPr>
          <w:p>
            <w:pPr>
              <w:spacing w:after="0"/>
              <w:rPr>
                <w:sz w:val="22"/>
                <w:szCs w:val="22"/>
                <w:color w:val="auto"/>
              </w:rPr>
            </w:pPr>
          </w:p>
        </w:tc>
      </w:tr>
      <w:tr>
        <w:trPr>
          <w:trHeight w:val="169"/>
        </w:trPr>
        <w:tc>
          <w:tcPr>
            <w:tcW w:w="4920" w:type="dxa"/>
            <w:vAlign w:val="bottom"/>
            <w:shd w:val="clear" w:color="auto" w:fill="CCFFCC"/>
          </w:tcPr>
          <w:p>
            <w:pPr>
              <w:spacing w:after="0"/>
              <w:rPr>
                <w:sz w:val="20"/>
                <w:szCs w:val="20"/>
                <w:color w:val="auto"/>
              </w:rPr>
            </w:pPr>
            <w:r>
              <w:rPr>
                <w:rFonts w:ascii="Arial" w:cs="Arial" w:eastAsia="Arial" w:hAnsi="Arial"/>
                <w:sz w:val="14"/>
                <w:szCs w:val="14"/>
                <w:color w:val="auto"/>
              </w:rPr>
              <w:t>Teller</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10,040,941</w:t>
            </w:r>
          </w:p>
        </w:tc>
        <w:tc>
          <w:tcPr>
            <w:tcW w:w="10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9,091,066</w:t>
            </w:r>
          </w:p>
        </w:tc>
        <w:tc>
          <w:tcPr>
            <w:tcW w:w="1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8,827,670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13.7%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10.4%</w:t>
            </w: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ATMs Via BCP</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6,241,016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5,376,097</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4,919,609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26.9%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16.1%</w:t>
            </w:r>
          </w:p>
        </w:tc>
      </w:tr>
      <w:tr>
        <w:trPr>
          <w:trHeight w:val="176"/>
        </w:trPr>
        <w:tc>
          <w:tcPr>
            <w:tcW w:w="4920" w:type="dxa"/>
            <w:vAlign w:val="bottom"/>
            <w:shd w:val="clear" w:color="auto" w:fill="CCFFCC"/>
          </w:tcPr>
          <w:p>
            <w:pPr>
              <w:spacing w:after="0"/>
              <w:rPr>
                <w:sz w:val="20"/>
                <w:szCs w:val="20"/>
                <w:color w:val="auto"/>
              </w:rPr>
            </w:pPr>
            <w:r>
              <w:rPr>
                <w:rFonts w:ascii="Arial" w:cs="Arial" w:eastAsia="Arial" w:hAnsi="Arial"/>
                <w:sz w:val="14"/>
                <w:szCs w:val="14"/>
                <w:color w:val="auto"/>
              </w:rPr>
              <w:t>Balance Inquiries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2,375,573</w:t>
            </w: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2,249,668</w:t>
            </w:r>
          </w:p>
        </w:tc>
        <w:tc>
          <w:tcPr>
            <w:tcW w:w="12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2,206,366</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7.7%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5.6%</w:t>
            </w: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Telephone Banking</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1,193,366</w:t>
            </w: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1,126,113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1,042,139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14.5%</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6.0%</w:t>
            </w:r>
          </w:p>
        </w:tc>
      </w:tr>
      <w:tr>
        <w:trPr>
          <w:trHeight w:val="176"/>
        </w:trPr>
        <w:tc>
          <w:tcPr>
            <w:tcW w:w="4920" w:type="dxa"/>
            <w:vAlign w:val="bottom"/>
            <w:shd w:val="clear" w:color="auto" w:fill="CCFFCC"/>
          </w:tcPr>
          <w:p>
            <w:pPr>
              <w:spacing w:after="0"/>
              <w:rPr>
                <w:sz w:val="20"/>
                <w:szCs w:val="20"/>
                <w:color w:val="auto"/>
              </w:rPr>
            </w:pPr>
            <w:r>
              <w:rPr>
                <w:rFonts w:ascii="Arial" w:cs="Arial" w:eastAsia="Arial" w:hAnsi="Arial"/>
                <w:sz w:val="14"/>
                <w:szCs w:val="14"/>
                <w:color w:val="auto"/>
              </w:rPr>
              <w:t>Internet Banking Via BCP</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8,598,560</w:t>
            </w: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7,448,052</w:t>
            </w:r>
          </w:p>
        </w:tc>
        <w:tc>
          <w:tcPr>
            <w:tcW w:w="12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6,657,470</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15.4%</w:t>
            </w: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Agente BCP</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1,942,643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1,248,203</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838,410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131.7%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55.6%</w:t>
            </w:r>
          </w:p>
        </w:tc>
      </w:tr>
      <w:tr>
        <w:trPr>
          <w:trHeight w:val="176"/>
        </w:trPr>
        <w:tc>
          <w:tcPr>
            <w:tcW w:w="4920" w:type="dxa"/>
            <w:vAlign w:val="bottom"/>
            <w:shd w:val="clear" w:color="auto" w:fill="CCFFCC"/>
          </w:tcPr>
          <w:p>
            <w:pPr>
              <w:spacing w:after="0"/>
              <w:rPr>
                <w:sz w:val="20"/>
                <w:szCs w:val="20"/>
                <w:color w:val="auto"/>
              </w:rPr>
            </w:pPr>
            <w:r>
              <w:rPr>
                <w:rFonts w:ascii="Arial" w:cs="Arial" w:eastAsia="Arial" w:hAnsi="Arial"/>
                <w:sz w:val="14"/>
                <w:szCs w:val="14"/>
                <w:color w:val="auto"/>
              </w:rPr>
              <w:t>Telecrédito</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3,345,913</w:t>
            </w: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2,884,387</w:t>
            </w:r>
          </w:p>
        </w:tc>
        <w:tc>
          <w:tcPr>
            <w:tcW w:w="12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3,046,225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16.0%</w:t>
            </w:r>
          </w:p>
        </w:tc>
      </w:tr>
      <w:tr>
        <w:trPr>
          <w:trHeight w:val="176"/>
        </w:trPr>
        <w:tc>
          <w:tcPr>
            <w:tcW w:w="4920" w:type="dxa"/>
            <w:vAlign w:val="bottom"/>
          </w:tcPr>
          <w:p>
            <w:pPr>
              <w:spacing w:after="0"/>
              <w:rPr>
                <w:sz w:val="20"/>
                <w:szCs w:val="20"/>
                <w:color w:val="auto"/>
              </w:rPr>
            </w:pPr>
            <w:r>
              <w:rPr>
                <w:rFonts w:ascii="Arial" w:cs="Arial" w:eastAsia="Arial" w:hAnsi="Arial"/>
                <w:sz w:val="14"/>
                <w:szCs w:val="14"/>
                <w:color w:val="auto"/>
              </w:rPr>
              <w:t>Direct Debit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308,098</w:t>
            </w:r>
          </w:p>
        </w:tc>
        <w:tc>
          <w:tcPr>
            <w:tcW w:w="10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341,265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294,257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-9.7%</w:t>
            </w:r>
          </w:p>
        </w:tc>
      </w:tr>
      <w:tr>
        <w:trPr>
          <w:trHeight w:val="176"/>
        </w:trPr>
        <w:tc>
          <w:tcPr>
            <w:tcW w:w="4920" w:type="dxa"/>
            <w:vAlign w:val="bottom"/>
            <w:shd w:val="clear" w:color="auto" w:fill="CCFFCC"/>
          </w:tcPr>
          <w:p>
            <w:pPr>
              <w:spacing w:after="0"/>
              <w:rPr>
                <w:sz w:val="20"/>
                <w:szCs w:val="20"/>
                <w:color w:val="auto"/>
              </w:rPr>
            </w:pPr>
            <w:r>
              <w:rPr>
                <w:rFonts w:ascii="Arial" w:cs="Arial" w:eastAsia="Arial" w:hAnsi="Arial"/>
                <w:sz w:val="14"/>
                <w:szCs w:val="14"/>
                <w:color w:val="auto"/>
              </w:rPr>
              <w:t>Points of Sale P.O.S.</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2,746,508</w:t>
            </w: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2,466,764</w:t>
            </w:r>
          </w:p>
        </w:tc>
        <w:tc>
          <w:tcPr>
            <w:tcW w:w="12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2,238,747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11.3%</w:t>
            </w:r>
          </w:p>
        </w:tc>
      </w:tr>
      <w:tr>
        <w:trPr>
          <w:trHeight w:val="203"/>
        </w:trPr>
        <w:tc>
          <w:tcPr>
            <w:tcW w:w="4920" w:type="dxa"/>
            <w:vAlign w:val="bottom"/>
          </w:tcPr>
          <w:p>
            <w:pPr>
              <w:spacing w:after="0"/>
              <w:rPr>
                <w:sz w:val="20"/>
                <w:szCs w:val="20"/>
                <w:color w:val="auto"/>
              </w:rPr>
            </w:pPr>
            <w:r>
              <w:rPr>
                <w:rFonts w:ascii="Arial" w:cs="Arial" w:eastAsia="Arial" w:hAnsi="Arial"/>
                <w:sz w:val="14"/>
                <w:szCs w:val="14"/>
                <w:color w:val="auto"/>
              </w:rPr>
              <w:t>Other ATMs network</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203,957</w:t>
            </w:r>
          </w:p>
        </w:tc>
        <w:tc>
          <w:tcPr>
            <w:tcW w:w="10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173,343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159,411</w:t>
            </w:r>
          </w:p>
        </w:tc>
        <w:tc>
          <w:tcPr>
            <w:tcW w:w="128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27.9</w:t>
            </w:r>
            <w:r>
              <w:rPr>
                <w:rFonts w:ascii="Arial" w:cs="Arial" w:eastAsia="Arial" w:hAnsi="Arial"/>
                <w:sz w:val="23"/>
                <w:szCs w:val="23"/>
                <w:color w:val="auto"/>
                <w:vertAlign w:val="superscript"/>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17.7</w:t>
            </w:r>
            <w:r>
              <w:rPr>
                <w:rFonts w:ascii="Arial" w:cs="Arial" w:eastAsia="Arial" w:hAnsi="Arial"/>
                <w:sz w:val="23"/>
                <w:szCs w:val="23"/>
                <w:color w:val="auto"/>
                <w:vertAlign w:val="superscript"/>
              </w:rPr>
              <w:t>%</w:t>
            </w:r>
          </w:p>
        </w:tc>
      </w:tr>
      <w:tr>
        <w:trPr>
          <w:trHeight w:val="20"/>
        </w:trPr>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6"/>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b w:val="1"/>
                <w:bCs w:val="1"/>
                <w:color w:val="auto"/>
              </w:rPr>
              <w:t>Total transactions</w:t>
            </w:r>
          </w:p>
        </w:tc>
        <w:tc>
          <w:tcPr>
            <w:tcW w:w="200" w:type="dxa"/>
            <w:vAlign w:val="bottom"/>
            <w:tcBorders>
              <w:bottom w:val="single" w:sz="8" w:color="CCFFCC"/>
            </w:tcBorders>
            <w:shd w:val="clear" w:color="auto" w:fill="CCFFCC"/>
          </w:tcPr>
          <w:p>
            <w:pPr>
              <w:spacing w:after="0"/>
              <w:rPr>
                <w:sz w:val="15"/>
                <w:szCs w:val="15"/>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36,996,576</w:t>
            </w:r>
          </w:p>
        </w:tc>
        <w:tc>
          <w:tcPr>
            <w:tcW w:w="100" w:type="dxa"/>
            <w:vAlign w:val="bottom"/>
            <w:tcBorders>
              <w:bottom w:val="single" w:sz="8" w:color="CCFFCC"/>
            </w:tcBorders>
            <w:shd w:val="clear" w:color="auto" w:fill="CCFFCC"/>
          </w:tcPr>
          <w:p>
            <w:pPr>
              <w:spacing w:after="0"/>
              <w:rPr>
                <w:sz w:val="15"/>
                <w:szCs w:val="15"/>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32,404,959</w:t>
            </w:r>
          </w:p>
        </w:tc>
        <w:tc>
          <w:tcPr>
            <w:tcW w:w="120" w:type="dxa"/>
            <w:vAlign w:val="bottom"/>
            <w:tcBorders>
              <w:bottom w:val="single" w:sz="8" w:color="CCFFCC"/>
            </w:tcBorders>
            <w:shd w:val="clear" w:color="auto" w:fill="CCFFCC"/>
          </w:tcPr>
          <w:p>
            <w:pPr>
              <w:spacing w:after="0"/>
              <w:rPr>
                <w:sz w:val="15"/>
                <w:szCs w:val="15"/>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30,230,305</w:t>
            </w:r>
          </w:p>
        </w:tc>
        <w:tc>
          <w:tcPr>
            <w:tcW w:w="1120" w:type="dxa"/>
            <w:vAlign w:val="bottom"/>
            <w:tcBorders>
              <w:bottom w:val="single" w:sz="8" w:color="CCFFCC"/>
            </w:tcBorders>
            <w:shd w:val="clear" w:color="auto" w:fill="CCFFCC"/>
          </w:tcPr>
          <w:p>
            <w:pPr>
              <w:ind w:left="880"/>
              <w:spacing w:after="0"/>
              <w:rPr>
                <w:sz w:val="20"/>
                <w:szCs w:val="20"/>
                <w:color w:val="auto"/>
              </w:rPr>
            </w:pPr>
            <w:r>
              <w:rPr>
                <w:rFonts w:ascii="Arial" w:cs="Arial" w:eastAsia="Arial" w:hAnsi="Arial"/>
                <w:sz w:val="14"/>
                <w:szCs w:val="14"/>
                <w:b w:val="1"/>
                <w:bCs w:val="1"/>
                <w:color w:val="auto"/>
                <w:w w:val="80"/>
              </w:rPr>
              <w:t>22.4</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14.2</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b w:val="1"/>
                <w:bCs w:val="1"/>
                <w:color w:val="auto"/>
                <w:w w:val="96"/>
              </w:rPr>
              <w:t>%</w:t>
            </w:r>
          </w:p>
        </w:tc>
      </w:tr>
      <w:tr>
        <w:trPr>
          <w:trHeight w:val="20"/>
        </w:trPr>
        <w:tc>
          <w:tcPr>
            <w:tcW w:w="49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jc w:val="both"/>
        <w:spacing w:after="0" w:line="342" w:lineRule="auto"/>
        <w:rPr>
          <w:sz w:val="20"/>
          <w:szCs w:val="20"/>
          <w:color w:val="auto"/>
        </w:rPr>
      </w:pPr>
      <w:r>
        <w:rPr>
          <w:rFonts w:ascii="Arial" w:cs="Arial" w:eastAsia="Arial" w:hAnsi="Arial"/>
          <w:sz w:val="16"/>
          <w:szCs w:val="16"/>
          <w:color w:val="auto"/>
        </w:rPr>
        <w:t>We show below the evolution of our service channels, revealing strong growth among Agentes BCP, a low cost channel that has increased people’s access to the banking system. From January to September, 44 new branches had been planned. To September 2008, the total number of such new branches was 37.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Balance as of</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color w:val="auto"/>
              </w:rPr>
              <w:t>Change %</w:t>
            </w:r>
          </w:p>
        </w:tc>
        <w:tc>
          <w:tcPr>
            <w:tcW w:w="160" w:type="dxa"/>
            <w:vAlign w:val="bottom"/>
          </w:tcPr>
          <w:p>
            <w:pPr>
              <w:spacing w:after="0"/>
              <w:rPr>
                <w:sz w:val="20"/>
                <w:szCs w:val="20"/>
                <w:color w:val="auto"/>
              </w:rPr>
            </w:pPr>
          </w:p>
        </w:tc>
      </w:tr>
      <w:tr>
        <w:trPr>
          <w:trHeight w:val="264"/>
        </w:trPr>
        <w:tc>
          <w:tcPr>
            <w:tcW w:w="510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Sep-08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Jun-08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Sep-07</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Sep 08/ Sep 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Sep 08/ Jun 08</w:t>
            </w:r>
          </w:p>
        </w:tc>
        <w:tc>
          <w:tcPr>
            <w:tcW w:w="160" w:type="dxa"/>
            <w:vAlign w:val="bottom"/>
          </w:tcPr>
          <w:p>
            <w:pPr>
              <w:spacing w:after="0"/>
              <w:rPr>
                <w:sz w:val="22"/>
                <w:szCs w:val="22"/>
                <w:color w:val="auto"/>
              </w:rPr>
            </w:pPr>
          </w:p>
        </w:tc>
      </w:tr>
      <w:tr>
        <w:trPr>
          <w:trHeight w:val="237"/>
        </w:trPr>
        <w:tc>
          <w:tcPr>
            <w:tcW w:w="510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w:t>
            </w:r>
          </w:p>
        </w:tc>
        <w:tc>
          <w:tcPr>
            <w:tcW w:w="130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0"/>
              </w:rPr>
              <w:t>22.0%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16.4%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50"/>
        </w:trPr>
        <w:tc>
          <w:tcPr>
            <w:tcW w:w="5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Agentes BCP</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1,720</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1,017</w:t>
            </w:r>
          </w:p>
        </w:tc>
        <w:tc>
          <w:tcPr>
            <w:tcW w:w="130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0"/>
              </w:rPr>
              <w:t>69.1%</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26.7%</w:t>
            </w:r>
          </w:p>
        </w:tc>
      </w:tr>
      <w:tr>
        <w:trPr>
          <w:trHeight w:val="20"/>
        </w:trPr>
        <w:tc>
          <w:tcPr>
            <w:tcW w:w="5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44.0%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gains on foreign exchange transactions </w:t>
      </w:r>
      <w:r>
        <w:rPr>
          <w:rFonts w:ascii="Arial" w:cs="Arial" w:eastAsia="Arial" w:hAnsi="Arial"/>
          <w:sz w:val="18"/>
          <w:szCs w:val="18"/>
          <w:color w:val="auto"/>
        </w:rPr>
        <w:t>fell 22% this quarter. This drop is accounted for by the reduced volatility as compared to the previous quarter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uncertainty among economic agents who sought shelter in the US currency, thus leading to less flipping from one currency to the other and resulting smaller earnings.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earnings on sales of securities </w:t>
      </w:r>
      <w:r>
        <w:rPr>
          <w:rFonts w:ascii="Arial" w:cs="Arial" w:eastAsia="Arial" w:hAnsi="Arial"/>
          <w:sz w:val="18"/>
          <w:szCs w:val="18"/>
          <w:color w:val="auto"/>
        </w:rPr>
        <w:t>drop significantly from US$ 3.7 million earnings in 2Q08 to US$ 3.1 million losses in 3Q08. This is a consequence of</w:t>
      </w:r>
      <w:r>
        <w:rPr>
          <w:rFonts w:ascii="Arial" w:cs="Arial" w:eastAsia="Arial" w:hAnsi="Arial"/>
          <w:sz w:val="18"/>
          <w:szCs w:val="18"/>
          <w:i w:val="1"/>
          <w:iCs w:val="1"/>
          <w:color w:val="auto"/>
        </w:rPr>
        <w:t xml:space="preserve"> </w:t>
      </w:r>
      <w:r>
        <w:rPr>
          <w:rFonts w:ascii="Arial" w:cs="Arial" w:eastAsia="Arial" w:hAnsi="Arial"/>
          <w:sz w:val="18"/>
          <w:szCs w:val="18"/>
          <w:color w:val="auto"/>
        </w:rPr>
        <w:t>larger losses from securities’ fluctuations in 3Q08 as a result of the ongoing financial crisis. Nevertheless, such losses were partly mitigated by profits from sales of securities, principally BCR certificate of deposits and earnings from permanent investments, all of which combined to yield the above-mentioned net loss.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Although the cumulative efficiency indicator improved to 47.8% to September 2008 compared to 49.10% one year ago, the 3Q08 ratio deteriorated strongly to 52.29% as a result of 5% lower operating income and 13.5% QoQ higher operating expenses.</w:t>
      </w:r>
    </w:p>
    <w:p>
      <w:pPr>
        <w:spacing w:after="0" w:line="22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i w:val="1"/>
          <w:iCs w:val="1"/>
          <w:color w:val="auto"/>
        </w:rPr>
        <w:t xml:space="preserve">Salaries and employees benefits </w:t>
      </w:r>
      <w:r>
        <w:rPr>
          <w:rFonts w:ascii="Arial" w:cs="Arial" w:eastAsia="Arial" w:hAnsi="Arial"/>
          <w:sz w:val="18"/>
          <w:szCs w:val="18"/>
          <w:color w:val="auto"/>
        </w:rPr>
        <w:t>expenses grew 16.2% resulting from higher variable compensation in the Retail Banking sector, and larger provisioning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expected profit sharing. Likewise, BCP’s payroll grew 4% QoQ, a consequence of more branches and others points of sale, as forecasted for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half this year.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4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US$ 000</w:t>
            </w:r>
          </w:p>
        </w:tc>
        <w:tc>
          <w:tcPr>
            <w:tcW w:w="200" w:type="dxa"/>
            <w:vAlign w:val="bottom"/>
          </w:tcPr>
          <w:p>
            <w:pPr>
              <w:spacing w:after="0"/>
              <w:rPr>
                <w:sz w:val="22"/>
                <w:szCs w:val="22"/>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3Q08</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2Q08</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3Q07</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3Q08/3Q07</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3Q08/2Q08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2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83,496</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71,871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59,669</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56,266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50,669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42,485</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32.4%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amortizacion</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11,800</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10,978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9,627</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11,915</w:t>
            </w:r>
          </w:p>
        </w:tc>
        <w:tc>
          <w:tcPr>
            <w:tcW w:w="1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12,177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8,033</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48.3%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163,477</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145,695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119,814</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36.4%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Operating expenses (excludes "other expenses")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151,562</w:t>
            </w: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133,518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111,781</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35.6%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289,827</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304,976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231,428</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25.2%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4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2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43.78%</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48.30%</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i w:val="1"/>
          <w:iCs w:val="1"/>
          <w:color w:val="auto"/>
        </w:rPr>
        <w:t xml:space="preserve">Administration and general </w:t>
      </w:r>
      <w:r>
        <w:rPr>
          <w:rFonts w:ascii="Arial" w:cs="Arial" w:eastAsia="Arial" w:hAnsi="Arial"/>
          <w:sz w:val="18"/>
          <w:szCs w:val="18"/>
          <w:color w:val="auto"/>
        </w:rPr>
        <w:t>expenses rose 11.0% QoQ, mainly due to larger software and computer system maintenance, consulting and advisory,</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transport. This growth was partly mitigated by lower marketing (advertising and campaigns) expenditures. Our network expansion plan and IT support investments are underway and will require additional funds during this year’s last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show below the detailed administrative expenses and the corresponding quarterly changes: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00" w:type="dxa"/>
            <w:vAlign w:val="bottom"/>
          </w:tcPr>
          <w:p>
            <w:pPr>
              <w:spacing w:after="0"/>
              <w:rPr>
                <w:sz w:val="20"/>
                <w:szCs w:val="20"/>
                <w:color w:val="auto"/>
              </w:rPr>
            </w:pPr>
            <w:r>
              <w:rPr>
                <w:rFonts w:ascii="Arial" w:cs="Arial" w:eastAsia="Arial" w:hAnsi="Arial"/>
                <w:sz w:val="18"/>
                <w:szCs w:val="18"/>
                <w:b w:val="1"/>
                <w:bCs w:val="1"/>
                <w:color w:val="auto"/>
              </w:rPr>
              <w:t>Administrative Expenses</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 %</w:t>
            </w:r>
          </w:p>
        </w:tc>
        <w:tc>
          <w:tcPr>
            <w:tcW w:w="220" w:type="dxa"/>
            <w:vAlign w:val="bottom"/>
          </w:tcPr>
          <w:p>
            <w:pPr>
              <w:spacing w:after="0"/>
              <w:rPr>
                <w:sz w:val="22"/>
                <w:szCs w:val="22"/>
                <w:color w:val="auto"/>
              </w:rPr>
            </w:pPr>
          </w:p>
        </w:tc>
      </w:tr>
      <w:tr>
        <w:trPr>
          <w:trHeight w:val="264"/>
        </w:trPr>
        <w:tc>
          <w:tcPr>
            <w:tcW w:w="3600" w:type="dxa"/>
            <w:vAlign w:val="bottom"/>
          </w:tcPr>
          <w:p>
            <w:pPr>
              <w:spacing w:after="0"/>
              <w:rPr>
                <w:sz w:val="20"/>
                <w:szCs w:val="20"/>
                <w:color w:val="auto"/>
              </w:rPr>
            </w:pPr>
            <w:r>
              <w:rPr>
                <w:rFonts w:ascii="Arial" w:cs="Arial" w:eastAsia="Arial" w:hAnsi="Arial"/>
                <w:sz w:val="18"/>
                <w:szCs w:val="18"/>
                <w:color w:val="auto"/>
              </w:rPr>
              <w:t>US$ (000)</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3Q08</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2Q08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3Q07</w:t>
            </w:r>
          </w:p>
        </w:tc>
        <w:tc>
          <w:tcPr>
            <w:tcW w:w="120" w:type="dxa"/>
            <w:vAlign w:val="bottom"/>
          </w:tcPr>
          <w:p>
            <w:pPr>
              <w:spacing w:after="0"/>
              <w:rPr>
                <w:sz w:val="22"/>
                <w:szCs w:val="22"/>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3Q08/3Q07</w:t>
            </w:r>
          </w:p>
        </w:tc>
        <w:tc>
          <w:tcPr>
            <w:tcW w:w="200" w:type="dxa"/>
            <w:vAlign w:val="bottom"/>
          </w:tcPr>
          <w:p>
            <w:pPr>
              <w:spacing w:after="0"/>
              <w:rPr>
                <w:sz w:val="22"/>
                <w:szCs w:val="22"/>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3Q08/2Q08</w:t>
            </w:r>
          </w:p>
        </w:tc>
        <w:tc>
          <w:tcPr>
            <w:tcW w:w="220" w:type="dxa"/>
            <w:vAlign w:val="bottom"/>
          </w:tcPr>
          <w:p>
            <w:pPr>
              <w:spacing w:after="0"/>
              <w:rPr>
                <w:sz w:val="22"/>
                <w:szCs w:val="22"/>
                <w:color w:val="auto"/>
              </w:rPr>
            </w:pPr>
          </w:p>
        </w:tc>
      </w:tr>
      <w:tr>
        <w:trPr>
          <w:trHeight w:val="237"/>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Marketing</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6,683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5,032</w:t>
            </w:r>
          </w:p>
        </w:tc>
        <w:tc>
          <w:tcPr>
            <w:tcW w:w="2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6,985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32.8%</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Transportation</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4,834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4,458</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4,008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Systems</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3,506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6,892</w:t>
            </w:r>
          </w:p>
        </w:tc>
        <w:tc>
          <w:tcPr>
            <w:tcW w:w="2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3,926</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-49.1%</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Maintenance</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2,660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2,444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1,880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Consulting</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2,207</w:t>
            </w:r>
          </w:p>
        </w:tc>
        <w:tc>
          <w:tcPr>
            <w:tcW w:w="2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Communications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2,497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1,996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14,682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14,195</w:t>
            </w:r>
          </w:p>
        </w:tc>
        <w:tc>
          <w:tcPr>
            <w:tcW w:w="2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12,337</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Property taxes and others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4,876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5,487</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4,512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r>
      <w:tr>
        <w:trPr>
          <w:trHeight w:val="243"/>
        </w:trPr>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Other subsidiaries and eliminations, net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8,572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5,308</w:t>
            </w:r>
          </w:p>
        </w:tc>
        <w:tc>
          <w:tcPr>
            <w:tcW w:w="2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4,461</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92.1%</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61.5%</w:t>
            </w:r>
          </w:p>
        </w:tc>
      </w:tr>
      <w:tr>
        <w:trPr>
          <w:trHeight w:val="243"/>
        </w:trPr>
        <w:tc>
          <w:tcPr>
            <w:tcW w:w="3600" w:type="dxa"/>
            <w:vAlign w:val="bottom"/>
          </w:tcPr>
          <w:p>
            <w:pPr>
              <w:spacing w:after="0"/>
              <w:rPr>
                <w:sz w:val="20"/>
                <w:szCs w:val="20"/>
                <w:color w:val="auto"/>
              </w:rPr>
            </w:pPr>
            <w:r>
              <w:rPr>
                <w:rFonts w:ascii="Arial" w:cs="Arial" w:eastAsia="Arial" w:hAnsi="Arial"/>
                <w:sz w:val="18"/>
                <w:szCs w:val="18"/>
                <w:b w:val="1"/>
                <w:bCs w:val="1"/>
                <w:color w:val="auto"/>
              </w:rPr>
              <w:t>Total Administrative Expenses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50,669</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48,520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42,631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fell 2.2% QoQ, mainly accounted for by the reversal of provisioning for the SAR program, resulting from value loss of the Credicorp share in</w:t>
      </w:r>
      <w:r>
        <w:rPr>
          <w:rFonts w:ascii="Arial" w:cs="Arial" w:eastAsia="Arial" w:hAnsi="Arial"/>
          <w:sz w:val="18"/>
          <w:szCs w:val="18"/>
          <w:i w:val="1"/>
          <w:iCs w:val="1"/>
          <w:color w:val="auto"/>
        </w:rPr>
        <w:t xml:space="preserve"> </w:t>
      </w:r>
      <w:r>
        <w:rPr>
          <w:rFonts w:ascii="Arial" w:cs="Arial" w:eastAsia="Arial" w:hAnsi="Arial"/>
          <w:sz w:val="18"/>
          <w:szCs w:val="18"/>
          <w:color w:val="auto"/>
        </w:rPr>
        <w:t>3Q08.</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operating costs (excluding “other expenses”) grew 13.5%, while revenues from operations fell 5.0%, resulting in significant declines in BCP’s efficiency ratio, which rose from 43.8% in 2Q08 to 52.29% in 3Q08. The accumulated indicator reaches 47.8%, still an improvement for the YTD compared to 49.10% last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II.7 Shareholders’ Equity and Regulatory Capital</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BCP’s consolidated net equity reached US$ 1,319 million as of September 2008, or 5.2% higher QoQ. In 3Q08 ROAE reached 28.93% higher than 2Q08’s 25.49% but significantly lower than 1Q08 and 3Q07. These changes respond to the translation effect which created volatility in quarterly figures. ROE’s fall in 3Q08, however, is a result of lower operating profits generated by higher legal reserves, a smaller position in Soles, which implies strong opportunity cost and more expensive funding. However, even at this level, BCP’s business returns are clearly high.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2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8"/>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Shareholders' equity</w:t>
            </w: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8"/>
              </w:rPr>
              <w:t>Quarter</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0" w:type="dxa"/>
            <w:vAlign w:val="bottom"/>
            <w:gridSpan w:val="3"/>
          </w:tcPr>
          <w:p>
            <w:pPr>
              <w:spacing w:after="0"/>
              <w:rPr>
                <w:sz w:val="20"/>
                <w:szCs w:val="20"/>
                <w:color w:val="auto"/>
              </w:rPr>
            </w:pPr>
            <w:r>
              <w:rPr>
                <w:rFonts w:ascii="Arial" w:cs="Arial" w:eastAsia="Arial" w:hAnsi="Arial"/>
                <w:sz w:val="14"/>
                <w:szCs w:val="14"/>
                <w:color w:val="auto"/>
              </w:rPr>
              <w:t>US$000</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3Q08</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2Q08</w:t>
            </w: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3Q07</w:t>
            </w:r>
          </w:p>
        </w:tc>
        <w:tc>
          <w:tcPr>
            <w:tcW w:w="1480" w:type="dxa"/>
            <w:vAlign w:val="bottom"/>
            <w:gridSpan w:val="3"/>
          </w:tcPr>
          <w:p>
            <w:pPr>
              <w:ind w:left="220"/>
              <w:spacing w:after="0"/>
              <w:rPr>
                <w:sz w:val="20"/>
                <w:szCs w:val="20"/>
                <w:color w:val="auto"/>
              </w:rPr>
            </w:pPr>
            <w:r>
              <w:rPr>
                <w:rFonts w:ascii="Arial" w:cs="Arial" w:eastAsia="Arial" w:hAnsi="Arial"/>
                <w:sz w:val="14"/>
                <w:szCs w:val="14"/>
                <w:b w:val="1"/>
                <w:bCs w:val="1"/>
                <w:color w:val="auto"/>
              </w:rPr>
              <w:t>3Q08/3Q07</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3Q08/2Q08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439,474</w:t>
            </w:r>
          </w:p>
        </w:tc>
        <w:tc>
          <w:tcPr>
            <w:tcW w:w="1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color w:val="auto"/>
              </w:rPr>
              <w:t>439,474</w:t>
            </w:r>
          </w:p>
        </w:tc>
        <w:tc>
          <w:tcPr>
            <w:tcW w:w="128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color w:val="auto"/>
              </w:rPr>
              <w:t>364,706</w:t>
            </w:r>
          </w:p>
        </w:tc>
        <w:tc>
          <w:tcPr>
            <w:tcW w:w="128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20.5%</w:t>
            </w:r>
          </w:p>
        </w:tc>
        <w:tc>
          <w:tcPr>
            <w:tcW w:w="2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Reserves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388,062</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388,062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282,189</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w:t>
            </w:r>
          </w:p>
        </w:tc>
        <w:tc>
          <w:tcPr>
            <w:tcW w:w="20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Unrealized Gains and Losses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43,352</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70,819</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56,412</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-23.2%</w:t>
            </w:r>
          </w:p>
        </w:tc>
        <w:tc>
          <w:tcPr>
            <w:tcW w:w="2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Retained Earnings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111,994</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111,994</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96,245</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200" w:type="dxa"/>
            <w:vAlign w:val="bottom"/>
          </w:tcPr>
          <w:p>
            <w:pPr>
              <w:spacing w:after="0"/>
              <w:rPr>
                <w:sz w:val="12"/>
                <w:szCs w:val="12"/>
                <w:color w:val="auto"/>
              </w:rPr>
            </w:pPr>
          </w:p>
        </w:tc>
        <w:tc>
          <w:tcPr>
            <w:tcW w:w="10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Income for the year</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336,897</w:t>
            </w: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243,814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245,454</w:t>
            </w:r>
          </w:p>
        </w:tc>
        <w:tc>
          <w:tcPr>
            <w:tcW w:w="1280" w:type="dxa"/>
            <w:vAlign w:val="bottom"/>
            <w:gridSpan w:val="2"/>
            <w:shd w:val="clear" w:color="auto" w:fill="CCFFCC"/>
          </w:tcPr>
          <w:p>
            <w:pPr>
              <w:jc w:val="right"/>
              <w:ind w:right="40"/>
              <w:spacing w:after="0" w:line="176" w:lineRule="exact"/>
              <w:rPr>
                <w:sz w:val="20"/>
                <w:szCs w:val="20"/>
                <w:color w:val="auto"/>
              </w:rPr>
            </w:pPr>
            <w:r>
              <w:rPr>
                <w:rFonts w:ascii="Arial" w:cs="Arial" w:eastAsia="Arial" w:hAnsi="Arial"/>
                <w:sz w:val="12"/>
                <w:szCs w:val="12"/>
                <w:color w:val="auto"/>
              </w:rPr>
              <w:t>37.3</w:t>
            </w:r>
            <w:r>
              <w:rPr>
                <w:rFonts w:ascii="Arial" w:cs="Arial" w:eastAsia="Arial" w:hAnsi="Arial"/>
                <w:sz w:val="20"/>
                <w:szCs w:val="20"/>
                <w:color w:val="auto"/>
                <w:vertAlign w:val="superscript"/>
              </w:rPr>
              <w:t>%</w:t>
            </w:r>
          </w:p>
        </w:tc>
        <w:tc>
          <w:tcPr>
            <w:tcW w:w="20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20"/>
              <w:spacing w:after="0" w:line="176" w:lineRule="exact"/>
              <w:rPr>
                <w:sz w:val="20"/>
                <w:szCs w:val="20"/>
                <w:color w:val="auto"/>
              </w:rPr>
            </w:pPr>
            <w:r>
              <w:rPr>
                <w:rFonts w:ascii="Arial" w:cs="Arial" w:eastAsia="Arial" w:hAnsi="Arial"/>
                <w:sz w:val="12"/>
                <w:szCs w:val="12"/>
                <w:color w:val="auto"/>
              </w:rPr>
              <w:t>38.2</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1,319,779</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1,254,163</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1,045,006</w:t>
            </w:r>
          </w:p>
        </w:tc>
        <w:tc>
          <w:tcPr>
            <w:tcW w:w="160" w:type="dxa"/>
            <w:vAlign w:val="bottom"/>
          </w:tcPr>
          <w:p>
            <w:pPr>
              <w:spacing w:after="0"/>
              <w:rPr>
                <w:sz w:val="14"/>
                <w:szCs w:val="14"/>
                <w:color w:val="auto"/>
              </w:rPr>
            </w:pPr>
          </w:p>
        </w:tc>
        <w:tc>
          <w:tcPr>
            <w:tcW w:w="128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auto"/>
              </w:rPr>
              <w:t>26.3</w:t>
            </w:r>
            <w:r>
              <w:rPr>
                <w:rFonts w:ascii="Arial" w:cs="Arial" w:eastAsia="Arial" w:hAnsi="Arial"/>
                <w:sz w:val="19"/>
                <w:szCs w:val="19"/>
                <w:b w:val="1"/>
                <w:bCs w:val="1"/>
                <w:color w:val="auto"/>
                <w:vertAlign w:val="superscript"/>
              </w:rPr>
              <w:t>%</w:t>
            </w:r>
          </w:p>
        </w:tc>
        <w:tc>
          <w:tcPr>
            <w:tcW w:w="200" w:type="dxa"/>
            <w:vAlign w:val="bottom"/>
          </w:tcPr>
          <w:p>
            <w:pPr>
              <w:spacing w:after="0"/>
              <w:rPr>
                <w:sz w:val="14"/>
                <w:szCs w:val="14"/>
                <w:color w:val="auto"/>
              </w:rPr>
            </w:pPr>
          </w:p>
        </w:tc>
        <w:tc>
          <w:tcPr>
            <w:tcW w:w="108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auto"/>
              </w:rPr>
              <w:t>5.2</w:t>
            </w:r>
            <w:r>
              <w:rPr>
                <w:rFonts w:ascii="Arial" w:cs="Arial" w:eastAsia="Arial" w:hAnsi="Arial"/>
                <w:sz w:val="19"/>
                <w:szCs w:val="19"/>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8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Return on average equity (ROAE)</w:t>
            </w:r>
          </w:p>
        </w:tc>
        <w:tc>
          <w:tcPr>
            <w:tcW w:w="12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28.93%</w:t>
            </w:r>
          </w:p>
        </w:tc>
        <w:tc>
          <w:tcPr>
            <w:tcW w:w="130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b w:val="1"/>
                <w:bCs w:val="1"/>
                <w:color w:val="auto"/>
              </w:rPr>
              <w:t>25.49%</w:t>
            </w:r>
          </w:p>
        </w:tc>
        <w:tc>
          <w:tcPr>
            <w:tcW w:w="128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b w:val="1"/>
                <w:bCs w:val="1"/>
                <w:color w:val="auto"/>
              </w:rPr>
              <w:t>36.13%</w:t>
            </w: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jc w:val="both"/>
        <w:spacing w:after="0" w:line="308" w:lineRule="auto"/>
        <w:rPr>
          <w:sz w:val="20"/>
          <w:szCs w:val="20"/>
          <w:color w:val="auto"/>
        </w:rPr>
      </w:pPr>
      <w:r>
        <w:rPr>
          <w:rFonts w:ascii="Arial" w:cs="Arial" w:eastAsia="Arial" w:hAnsi="Arial"/>
          <w:sz w:val="17"/>
          <w:szCs w:val="17"/>
          <w:color w:val="auto"/>
        </w:rPr>
        <w:t>As of September 2008, BCP’s non-consolidated cash equity ratio to risk weighted assets reached 12.25% (8.17 multiple), slightly below last June’s 13.5% (7.41 multiple). This indicator exceeds the system’s regulatory minimum (9.1%) and our even more conservative in-house threshold (11.5%).</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Likewise, more earnings were retained for capitalization to further strengthen the Bank’s equity. Earnings withheld reached US$ 134.4 million to September 2008, similar to last June’s. It is also worth mentioning an increase in market risk equity requirements resulting from higher exchange risk in view of the present market conditions which have increased exposure and risk to fluctuating foreign currency values.</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Finally, Tier I reached US$ 982 million. Risk weighted assets include US$ 151.2 million of identified market risk, which requires US$ 13.8 million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regulatory capital includes US$ 289 million subordinated debt.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80" w:type="dxa"/>
            <w:vAlign w:val="bottom"/>
            <w:gridSpan w:val="4"/>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Balance as of</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Sep. 08</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 08</w:t>
            </w: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Sep. 07</w:t>
            </w:r>
          </w:p>
        </w:tc>
        <w:tc>
          <w:tcPr>
            <w:tcW w:w="800" w:type="dxa"/>
            <w:vAlign w:val="bottom"/>
          </w:tcPr>
          <w:p>
            <w:pPr>
              <w:jc w:val="center"/>
              <w:ind w:left="251"/>
              <w:spacing w:after="0" w:line="119" w:lineRule="exact"/>
              <w:rPr>
                <w:sz w:val="20"/>
                <w:szCs w:val="20"/>
                <w:color w:val="auto"/>
              </w:rPr>
            </w:pPr>
            <w:r>
              <w:rPr>
                <w:rFonts w:ascii="Arial" w:cs="Arial" w:eastAsia="Arial" w:hAnsi="Arial"/>
                <w:sz w:val="13"/>
                <w:szCs w:val="13"/>
                <w:b w:val="1"/>
                <w:bCs w:val="1"/>
                <w:color w:val="auto"/>
                <w:w w:val="96"/>
              </w:rPr>
              <w:t>Sep 08/</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288"/>
              <w:spacing w:after="0" w:line="119" w:lineRule="exact"/>
              <w:rPr>
                <w:sz w:val="20"/>
                <w:szCs w:val="20"/>
                <w:color w:val="auto"/>
              </w:rPr>
            </w:pPr>
            <w:r>
              <w:rPr>
                <w:rFonts w:ascii="Arial" w:cs="Arial" w:eastAsia="Arial" w:hAnsi="Arial"/>
                <w:sz w:val="13"/>
                <w:szCs w:val="13"/>
                <w:b w:val="1"/>
                <w:bCs w:val="1"/>
                <w:color w:val="auto"/>
              </w:rPr>
              <w:t>Sep 08/</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gridSpan w:val="4"/>
          </w:tcPr>
          <w:p>
            <w:pPr>
              <w:spacing w:after="0"/>
              <w:rPr>
                <w:sz w:val="20"/>
                <w:szCs w:val="20"/>
                <w:color w:val="auto"/>
              </w:rPr>
            </w:pPr>
            <w:r>
              <w:rPr>
                <w:rFonts w:ascii="Arial" w:cs="Arial" w:eastAsia="Arial" w:hAnsi="Arial"/>
                <w:sz w:val="14"/>
                <w:szCs w:val="14"/>
                <w:color w:val="auto"/>
              </w:rPr>
              <w:t>US$ (000)</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0" w:type="dxa"/>
            <w:vAlign w:val="bottom"/>
          </w:tcPr>
          <w:p>
            <w:pPr>
              <w:jc w:val="center"/>
              <w:ind w:left="251"/>
              <w:spacing w:after="0"/>
              <w:rPr>
                <w:sz w:val="20"/>
                <w:szCs w:val="20"/>
                <w:color w:val="auto"/>
              </w:rPr>
            </w:pPr>
            <w:r>
              <w:rPr>
                <w:rFonts w:ascii="Arial" w:cs="Arial" w:eastAsia="Arial" w:hAnsi="Arial"/>
                <w:sz w:val="14"/>
                <w:szCs w:val="14"/>
                <w:b w:val="1"/>
                <w:bCs w:val="1"/>
                <w:color w:val="auto"/>
                <w:w w:val="88"/>
              </w:rPr>
              <w:t>Sep 07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 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4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Capital Stock, net</w:t>
            </w:r>
          </w:p>
        </w:tc>
        <w:tc>
          <w:tcPr>
            <w:tcW w:w="2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506,817</w:t>
            </w:r>
          </w:p>
        </w:tc>
        <w:tc>
          <w:tcPr>
            <w:tcW w:w="12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508,526</w:t>
            </w:r>
          </w:p>
        </w:tc>
        <w:tc>
          <w:tcPr>
            <w:tcW w:w="12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416,892</w:t>
            </w: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21.6%</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color w:val="auto"/>
              </w:rPr>
              <w:t>Legal and Other capital reserves</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446,366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447,870</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336,315</w:t>
            </w:r>
          </w:p>
        </w:tc>
        <w:tc>
          <w:tcPr>
            <w:tcW w:w="8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32.7%</w:t>
            </w:r>
          </w:p>
        </w:tc>
        <w:tc>
          <w:tcPr>
            <w:tcW w:w="26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Net income capitalized</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134,409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134,862</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71,860</w:t>
            </w: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87.0%</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color w:val="auto"/>
              </w:rPr>
              <w:t>Investment in Subsidiaries and others</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194,526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171,869</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154,650</w:t>
            </w:r>
          </w:p>
        </w:tc>
        <w:tc>
          <w:tcPr>
            <w:tcW w:w="8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26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Goodwill</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8,320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8,098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5,659</w:t>
            </w: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47.0%</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color w:val="auto"/>
              </w:rPr>
              <w:t>Generic Contingency loss reserves</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103,338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95,643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76,312</w:t>
            </w:r>
          </w:p>
        </w:tc>
        <w:tc>
          <w:tcPr>
            <w:tcW w:w="8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35.4%</w:t>
            </w:r>
          </w:p>
        </w:tc>
        <w:tc>
          <w:tcPr>
            <w:tcW w:w="26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Subordinated Debt</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289,099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292,164</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136,674</w:t>
            </w: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w w:val="88"/>
              </w:rPr>
              <w:t>111.5%</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Regulatory Capital</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1,277,182</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1,299,099</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877,745</w:t>
            </w:r>
          </w:p>
        </w:tc>
        <w:tc>
          <w:tcPr>
            <w:tcW w:w="8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45.5%</w:t>
            </w: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Tier 1 (1)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982,008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997,226</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742,083</w:t>
            </w: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32.3%</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color w:val="auto"/>
              </w:rPr>
              <w:t>Tier 2 (2)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295,174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301,873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135,661</w:t>
            </w:r>
          </w:p>
        </w:tc>
        <w:tc>
          <w:tcPr>
            <w:tcW w:w="80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8"/>
              </w:rPr>
              <w:t>117.6%</w:t>
            </w:r>
          </w:p>
        </w:tc>
        <w:tc>
          <w:tcPr>
            <w:tcW w:w="26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Risk-weighted assets (Credit risk)</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10,277,314</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9,579,085</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7,578,961</w:t>
            </w:r>
          </w:p>
        </w:tc>
        <w:tc>
          <w:tcPr>
            <w:tcW w:w="12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35.6%</w:t>
            </w:r>
          </w:p>
        </w:tc>
        <w:tc>
          <w:tcPr>
            <w:tcW w:w="26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 Risk</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13,744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4,180</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16,864</w:t>
            </w:r>
          </w:p>
        </w:tc>
        <w:tc>
          <w:tcPr>
            <w:tcW w:w="80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-18.5%</w:t>
            </w: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228.8%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Borders>
              <w:bottom w:val="single" w:sz="8" w:color="auto"/>
            </w:tcBorders>
            <w:shd w:val="clear" w:color="auto" w:fill="CCFFCC"/>
          </w:tcPr>
          <w:p>
            <w:pPr>
              <w:spacing w:after="0" w:line="135" w:lineRule="exact"/>
              <w:rPr>
                <w:sz w:val="20"/>
                <w:szCs w:val="20"/>
                <w:color w:val="auto"/>
              </w:rPr>
            </w:pPr>
            <w:r>
              <w:rPr>
                <w:rFonts w:ascii="Arial" w:cs="Arial" w:eastAsia="Arial" w:hAnsi="Arial"/>
                <w:sz w:val="14"/>
                <w:szCs w:val="14"/>
                <w:b w:val="1"/>
                <w:bCs w:val="1"/>
                <w:color w:val="auto"/>
                <w:w w:val="92"/>
              </w:rPr>
              <w:t>Capital Ratios</w:t>
            </w:r>
          </w:p>
        </w:tc>
        <w:tc>
          <w:tcPr>
            <w:tcW w:w="4180" w:type="dxa"/>
            <w:vAlign w:val="bottom"/>
            <w:tcBorders>
              <w:bottom w:val="single" w:sz="8" w:color="CCFFCC"/>
            </w:tcBorders>
            <w:gridSpan w:val="2"/>
            <w:shd w:val="clear" w:color="auto" w:fill="CCFFCC"/>
          </w:tcPr>
          <w:p>
            <w:pPr>
              <w:spacing w:after="0"/>
              <w:rPr>
                <w:sz w:val="11"/>
                <w:szCs w:val="11"/>
                <w:color w:val="auto"/>
              </w:rPr>
            </w:pPr>
          </w:p>
        </w:tc>
        <w:tc>
          <w:tcPr>
            <w:tcW w:w="114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14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114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bottom w:val="single" w:sz="8" w:color="CCFFCC"/>
            </w:tcBorders>
            <w:shd w:val="clear" w:color="auto" w:fill="CCFFCC"/>
          </w:tcPr>
          <w:p>
            <w:pPr>
              <w:spacing w:after="0"/>
              <w:rPr>
                <w:sz w:val="11"/>
                <w:szCs w:val="11"/>
                <w:color w:val="auto"/>
              </w:rPr>
            </w:pPr>
          </w:p>
        </w:tc>
        <w:tc>
          <w:tcPr>
            <w:tcW w:w="320" w:type="dxa"/>
            <w:vAlign w:val="bottom"/>
            <w:tcBorders>
              <w:bottom w:val="single" w:sz="8" w:color="CCFFCC"/>
            </w:tcBorders>
            <w:shd w:val="clear" w:color="auto" w:fill="CCFFCC"/>
          </w:tcPr>
          <w:p>
            <w:pPr>
              <w:spacing w:after="0"/>
              <w:rPr>
                <w:sz w:val="11"/>
                <w:szCs w:val="11"/>
                <w:color w:val="auto"/>
              </w:rPr>
            </w:pPr>
          </w:p>
        </w:tc>
        <w:tc>
          <w:tcPr>
            <w:tcW w:w="160" w:type="dxa"/>
            <w:vAlign w:val="bottom"/>
            <w:tcBorders>
              <w:bottom w:val="single" w:sz="8" w:color="CCFFCC"/>
            </w:tcBorders>
            <w:shd w:val="clear" w:color="auto" w:fill="CCFFCC"/>
          </w:tcPr>
          <w:p>
            <w:pPr>
              <w:spacing w:after="0"/>
              <w:rPr>
                <w:sz w:val="11"/>
                <w:szCs w:val="11"/>
                <w:color w:val="auto"/>
              </w:rPr>
            </w:pPr>
          </w:p>
        </w:tc>
        <w:tc>
          <w:tcPr>
            <w:tcW w:w="260" w:type="dxa"/>
            <w:vAlign w:val="bottom"/>
            <w:tcBorders>
              <w:bottom w:val="single" w:sz="8" w:color="CCFFCC"/>
            </w:tcBorders>
            <w:shd w:val="clear" w:color="auto" w:fill="CCFFCC"/>
          </w:tcPr>
          <w:p>
            <w:pPr>
              <w:spacing w:after="0"/>
              <w:rPr>
                <w:sz w:val="11"/>
                <w:szCs w:val="11"/>
                <w:color w:val="auto"/>
              </w:rPr>
            </w:pPr>
          </w:p>
        </w:tc>
        <w:tc>
          <w:tcPr>
            <w:tcW w:w="88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gridSpan w:val="3"/>
          </w:tcPr>
          <w:p>
            <w:pPr>
              <w:spacing w:after="0" w:line="142" w:lineRule="exact"/>
              <w:rPr>
                <w:sz w:val="20"/>
                <w:szCs w:val="20"/>
                <w:color w:val="auto"/>
              </w:rPr>
            </w:pPr>
            <w:r>
              <w:rPr>
                <w:rFonts w:ascii="Arial" w:cs="Arial" w:eastAsia="Arial" w:hAnsi="Arial"/>
                <w:sz w:val="14"/>
                <w:szCs w:val="14"/>
                <w:color w:val="auto"/>
              </w:rPr>
              <w:t>Regulatory Capital as a percentage of risk-weighted</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assets</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12.25%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13.50%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11.30%</w:t>
            </w:r>
          </w:p>
        </w:tc>
        <w:tc>
          <w:tcPr>
            <w:tcW w:w="80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Ratio of risk-weighted assets to Regulatory Assets</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8.17</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7.41</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8.85</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Tier 1 = Capital + Reserves + Net income capitalized - Goodwill - (0.5 x Investment in Subsidiaries)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Tier 2 = Subordinated Debt + Generic Contingency loss reserves - (0.5 x Investment in Subsidiaries)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III. Banco de Crédito de Bolivia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Bolivian Financial System</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loans in the Bolivian banking system grew from U$ 3.05 billion in December 2007 to US$ 3.5 billion in September 2008, or 15.7% larger. The quality of loans has likewise improved slightly compared to 2007. In 2007 past due loans in the banking system reached 5.6% of all loans while in June 2008 they had fallen to 5.2% and in September further down to 5.0%. In addition, coverage in the banking system reached 111.3% in September 2008 compared to 110.7% last June.</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Deposits in the Bolivian banking system grew from US$ 4.236 billion in December 2007 to US$ 5.429 billion in September 2008 or 28.2% larger, reflecting the introduction of inflation-pegged deposits and increased deposits in domestic currency. Growth was split among demand deposits, which grew 30.8%, savings (40.2% up), and time deposits that expanded 16.4%.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BCP Bolivia - Results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3Q08, BCP Bolivia earned a net US$ 11.0 million, reflecting 8.5% QoQ and 55.5% YoY increases, principally as a consequence of larger net revenues from interest (9.2% QoQ and 37.3% YoY) and larger non-financial income (13.4% QoQ and 57.6% YoY).</w:t>
      </w:r>
    </w:p>
    <w:p>
      <w:pPr>
        <w:spacing w:after="0" w:line="2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conservative approach to credit risk management resulted in 2.0% delinquency (1.9% in 2Q08 and 2.5% in 3Q07) and coverage reaching 185.0% (206.1% in 2Q08 and 341.5% and 3Q07). These indicators place BPC Bolivia as a top performer in the Bolivian banking system where the corresponding ratios reached 5.0 and 111.3%, respectively. BCP Bolivia’s ROAE was 51.1%, lower than June 2008’s 52.4%. However, it remains at a significantly high level compared to market rates.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September 2008, BCP Bolivia’s total loan placements had reached US$ 499.8 million, i.e. 5.5% higher than June 2008’s US$ 472.1 million and 10.0% higher YoY. Larger quarterly loan growth reflect a more stable economy, i.e. positive GDP growth and lower CPI growth compared to previous months. Additionally, the changing international economic and financial scene has modified expectations concerning the US currency, somewhat reflected by increased local currency loans.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quarter Retail Banking grew 5.4% QoQ and 27.4% YoY, significantly impacting the Bank’s results as this business accounts for 48.7% of its total portfolio and is also the highest yielding segment. Meanwhile, Corporate Banking and Middle Market Banking represent 46.7% of the Bank’s loan portfolio with lower returns when compared to the Retail Banking.</w:t>
      </w:r>
    </w:p>
    <w:p>
      <w:pPr>
        <w:spacing w:after="0" w:line="2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fastest growing products QoQ in Retail Banking were Personal Cash loans (up 15.2%) and loans to SME which grew 10.2%. Together, they account for 31.9% of the retail portfolio. The mortgage segment, accounting for 47.9% of this portfolio, dropped 0.2% QoQ but grew 4.7% YoY.</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liabilities side, BCP Bolivia’s deposits grew 1.9% QoQ and 25.5% YoY. Savings deposits grew 4.0% QoQ and 38.3% YoY, followed by time deposits (1.6% QoQ and 5.8% YoY) and demand deposits which slipped 0.7% QoQ but expanded 25.7% YoY.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shareholders’ equity expanded 12.0% QoQ only, reflecting a drop of non-realized earnings (-15.6% QoQ) on the one hand and higher earnings in the year so far (53.4% YoY) on the other. Year over year, net shareholders’ equity expanded 30.1%.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Finally, BCP Bolivia maintained its 13.5% market share for loans and 14.0% for deposits, ranking third for combined loans and deposits in the entire Bolivian banking system. Additionally, BCP Bolivia has continued strengthening its position in strategic products and services by introducing innovative products and building market recognition as the bank ensuring the safest transactions. Moreover, the Bank has continued expanding its business model of Agentes BCP (points of sale), that has increased its market penetration in business segments not yet served by the banking system. To September 2008, BCP Bolivia operated 85 Agentes BCP.</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Banco de Crédito de Bolivia</w:t>
            </w: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3"/>
              </w:rPr>
              <w:t>Change</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US$ million</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3Q08</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2Q08</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3Q07</w:t>
            </w:r>
          </w:p>
        </w:tc>
        <w:tc>
          <w:tcPr>
            <w:tcW w:w="1460" w:type="dxa"/>
            <w:vAlign w:val="bottom"/>
            <w:gridSpan w:val="3"/>
          </w:tcPr>
          <w:p>
            <w:pPr>
              <w:ind w:left="220"/>
              <w:spacing w:after="0"/>
              <w:rPr>
                <w:sz w:val="20"/>
                <w:szCs w:val="20"/>
                <w:color w:val="auto"/>
              </w:rPr>
            </w:pPr>
            <w:r>
              <w:rPr>
                <w:rFonts w:ascii="Arial" w:cs="Arial" w:eastAsia="Arial" w:hAnsi="Arial"/>
                <w:sz w:val="14"/>
                <w:szCs w:val="14"/>
                <w:b w:val="1"/>
                <w:bCs w:val="1"/>
                <w:color w:val="auto"/>
              </w:rPr>
              <w:t>3Q08/3Q07</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6"/>
              </w:rPr>
              <w:t>3Q08/2Q08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Total loans</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499.8</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472.1</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454.5</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Past due loans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Loan loss reserves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-18.4</w:t>
            </w:r>
          </w:p>
        </w:tc>
        <w:tc>
          <w:tcPr>
            <w:tcW w:w="1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-20.6</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-52.3%</w:t>
            </w:r>
          </w:p>
        </w:tc>
        <w:tc>
          <w:tcPr>
            <w:tcW w:w="2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956.0</w:t>
            </w: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905.9</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761.3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w:t>
            </w:r>
          </w:p>
        </w:tc>
        <w:tc>
          <w:tcPr>
            <w:tcW w:w="20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Deposits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782.7</w:t>
            </w:r>
          </w:p>
        </w:tc>
        <w:tc>
          <w:tcPr>
            <w:tcW w:w="1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768.0</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623.8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25.5%</w:t>
            </w:r>
          </w:p>
        </w:tc>
        <w:tc>
          <w:tcPr>
            <w:tcW w:w="20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Shareholders net equity</w:t>
            </w:r>
          </w:p>
        </w:tc>
        <w:tc>
          <w:tcPr>
            <w:tcW w:w="1140" w:type="dxa"/>
            <w:vAlign w:val="bottom"/>
          </w:tcPr>
          <w:p>
            <w:pPr>
              <w:jc w:val="right"/>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75.2</w:t>
            </w:r>
          </w:p>
        </w:tc>
        <w:tc>
          <w:tcPr>
            <w:tcW w:w="126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30.2</w:t>
            </w:r>
            <w:r>
              <w:rPr>
                <w:rFonts w:ascii="Arial" w:cs="Arial" w:eastAsia="Arial" w:hAnsi="Arial"/>
                <w:sz w:val="20"/>
                <w:szCs w:val="20"/>
                <w:color w:val="auto"/>
                <w:vertAlign w:val="superscript"/>
              </w:rPr>
              <w:t>%</w:t>
            </w:r>
          </w:p>
        </w:tc>
        <w:tc>
          <w:tcPr>
            <w:tcW w:w="200" w:type="dxa"/>
            <w:vAlign w:val="bottom"/>
          </w:tcPr>
          <w:p>
            <w:pPr>
              <w:spacing w:after="0"/>
              <w:rPr>
                <w:sz w:val="15"/>
                <w:szCs w:val="15"/>
                <w:color w:val="auto"/>
              </w:rPr>
            </w:pPr>
          </w:p>
        </w:tc>
        <w:tc>
          <w:tcPr>
            <w:tcW w:w="1060" w:type="dxa"/>
            <w:vAlign w:val="bottom"/>
            <w:gridSpan w:val="2"/>
          </w:tcPr>
          <w:p>
            <w:pPr>
              <w:jc w:val="right"/>
              <w:spacing w:after="0" w:line="176" w:lineRule="exact"/>
              <w:rPr>
                <w:sz w:val="20"/>
                <w:szCs w:val="20"/>
                <w:color w:val="auto"/>
              </w:rPr>
            </w:pPr>
            <w:r>
              <w:rPr>
                <w:rFonts w:ascii="Arial" w:cs="Arial" w:eastAsia="Arial" w:hAnsi="Arial"/>
                <w:sz w:val="12"/>
                <w:szCs w:val="12"/>
                <w:color w:val="auto"/>
              </w:rPr>
              <w:t>12.0</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5120" w:type="dxa"/>
            <w:vAlign w:val="bottom"/>
            <w:gridSpan w:val="2"/>
            <w:shd w:val="clear" w:color="auto" w:fill="CCFFCC"/>
          </w:tcPr>
          <w:p>
            <w:pPr>
              <w:spacing w:after="0"/>
              <w:rPr>
                <w:sz w:val="20"/>
                <w:szCs w:val="20"/>
                <w:color w:val="auto"/>
              </w:rPr>
            </w:pPr>
            <w:r>
              <w:rPr>
                <w:rFonts w:ascii="Arial" w:cs="Arial" w:eastAsia="Arial" w:hAnsi="Arial"/>
                <w:sz w:val="14"/>
                <w:szCs w:val="14"/>
                <w:b w:val="1"/>
                <w:bCs w:val="1"/>
                <w:color w:val="auto"/>
              </w:rPr>
              <w:t>Net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FFCC"/>
          </w:tcPr>
          <w:p>
            <w:pPr>
              <w:spacing w:after="0"/>
              <w:rPr>
                <w:sz w:val="14"/>
                <w:szCs w:val="1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57.1</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shd w:val="clear" w:color="auto" w:fill="CCFFCC"/>
          </w:tcPr>
          <w:p>
            <w:pPr>
              <w:spacing w:after="0"/>
              <w:rPr>
                <w:sz w:val="14"/>
                <w:szCs w:val="14"/>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120" w:type="dxa"/>
            <w:vAlign w:val="bottom"/>
            <w:gridSpan w:val="2"/>
          </w:tcPr>
          <w:p>
            <w:pPr>
              <w:spacing w:after="0" w:line="142" w:lineRule="exact"/>
              <w:rPr>
                <w:sz w:val="20"/>
                <w:szCs w:val="20"/>
                <w:color w:val="auto"/>
              </w:rPr>
            </w:pPr>
            <w:r>
              <w:rPr>
                <w:rFonts w:ascii="Arial" w:cs="Arial" w:eastAsia="Arial" w:hAnsi="Arial"/>
                <w:sz w:val="14"/>
                <w:szCs w:val="14"/>
                <w:color w:val="auto"/>
              </w:rPr>
              <w:t>PDL / Total loans</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w:t>
            </w: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Coverage ratio of PDLs</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185.0%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206.1%</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182.3%</w:t>
            </w: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ROAE</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Branches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63</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Employees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1,553</w:t>
            </w:r>
          </w:p>
        </w:tc>
        <w:tc>
          <w:tcPr>
            <w:tcW w:w="1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1,535</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1,337</w:t>
            </w: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IV. Atlantic Security Holding Corporation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third quarter 2008, and despite the world financial crisis which certainly affected our offshore banking operations and administered portfolios, Atlantic Security Holding Corporation (ASHC) reported a relatively solid net income of USD 4.2 millions. Nevertheless, it does reflect a QoQ drop of 16% from US$ 5 million in 2Q08, when excluding the non recurring income in 2Q08 of US$ 22.1 derived from dividends received from its stock position in Credicorp shares (BAP’s treasury stock), which distorts growth numbers.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i w:val="1"/>
          <w:iCs w:val="1"/>
          <w:color w:val="auto"/>
        </w:rPr>
        <w:t>Core revenues</w:t>
      </w:r>
      <w:r>
        <w:rPr>
          <w:rFonts w:ascii="Arial" w:cs="Arial" w:eastAsia="Arial" w:hAnsi="Arial"/>
          <w:sz w:val="18"/>
          <w:szCs w:val="18"/>
          <w:color w:val="auto"/>
        </w:rPr>
        <w:t xml:space="preserve"> for 3Q08 reported US$8.1 Millions, which compared with the adjusted figure for 2Q08 reflects a QoQ drop of 4.7% and of 7.4% on a YoY basis, was basically affected by FX losses, as we will explain further down.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3Q08/3Q07</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3Q08/2Q08</w:t>
            </w:r>
          </w:p>
        </w:tc>
        <w:tc>
          <w:tcPr>
            <w:tcW w:w="10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-947.3</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8.1</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30.6</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-7.4</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-73.6</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color w:val="auto"/>
              </w:rPr>
              <w:t>Total provisions, net of recoveries</w:t>
            </w: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-403.2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-234.3</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3,720.5</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12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1,035.8</w:t>
            </w:r>
          </w:p>
        </w:tc>
      </w:tr>
      <w:tr>
        <w:trPr>
          <w:trHeight w:val="275"/>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w:t>
            </w:r>
          </w:p>
        </w:tc>
      </w:tr>
      <w:tr>
        <w:trPr>
          <w:trHeight w:val="237"/>
        </w:trPr>
        <w:tc>
          <w:tcPr>
            <w:tcW w:w="5040" w:type="dxa"/>
            <w:vAlign w:val="bottom"/>
            <w:tcBorders>
              <w:top w:val="single" w:sz="8" w:color="CCFFCC"/>
            </w:tcBorders>
            <w:gridSpan w:val="2"/>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27.1</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6.2</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-32.3</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-84.5</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color w:val="auto"/>
              </w:rPr>
              <w:t>Net income/share</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151.6</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151.2</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125.5</w:t>
            </w:r>
          </w:p>
        </w:tc>
        <w:tc>
          <w:tcPr>
            <w:tcW w:w="1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0.3</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Total investments available for sale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671.8</w:t>
            </w:r>
          </w:p>
        </w:tc>
        <w:tc>
          <w:tcPr>
            <w:tcW w:w="1140" w:type="dxa"/>
            <w:vAlign w:val="bottom"/>
          </w:tcPr>
          <w:p>
            <w:pPr>
              <w:jc w:val="right"/>
              <w:spacing w:after="0"/>
              <w:rPr>
                <w:sz w:val="20"/>
                <w:szCs w:val="20"/>
                <w:color w:val="auto"/>
              </w:rPr>
            </w:pPr>
            <w:r>
              <w:rPr>
                <w:rFonts w:ascii="Arial" w:cs="Arial" w:eastAsia="Arial" w:hAnsi="Arial"/>
                <w:sz w:val="18"/>
                <w:szCs w:val="18"/>
                <w:color w:val="auto"/>
              </w:rPr>
              <w:t>748.1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826.4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1,325.5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1,131.1</w:t>
            </w:r>
          </w:p>
        </w:tc>
        <w:tc>
          <w:tcPr>
            <w:tcW w:w="1140" w:type="dxa"/>
            <w:vAlign w:val="bottom"/>
          </w:tcPr>
          <w:p>
            <w:pPr>
              <w:jc w:val="right"/>
              <w:spacing w:after="0"/>
              <w:rPr>
                <w:sz w:val="20"/>
                <w:szCs w:val="20"/>
                <w:color w:val="auto"/>
              </w:rPr>
            </w:pPr>
            <w:r>
              <w:rPr>
                <w:rFonts w:ascii="Arial" w:cs="Arial" w:eastAsia="Arial" w:hAnsi="Arial"/>
                <w:sz w:val="18"/>
                <w:szCs w:val="18"/>
                <w:color w:val="auto"/>
              </w:rPr>
              <w:t>1,139.4</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1,256.8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180.0</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198.2</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208.8</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 Total loans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0.00</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Cover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15.52%</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fact, </w:t>
      </w:r>
      <w:r>
        <w:rPr>
          <w:rFonts w:ascii="Arial" w:cs="Arial" w:eastAsia="Arial" w:hAnsi="Arial"/>
          <w:sz w:val="17"/>
          <w:szCs w:val="17"/>
          <w:i w:val="1"/>
          <w:iCs w:val="1"/>
          <w:color w:val="auto"/>
        </w:rPr>
        <w:t>net interest income</w:t>
      </w:r>
      <w:r>
        <w:rPr>
          <w:rFonts w:ascii="Arial" w:cs="Arial" w:eastAsia="Arial" w:hAnsi="Arial"/>
          <w:sz w:val="17"/>
          <w:szCs w:val="17"/>
          <w:color w:val="auto"/>
        </w:rPr>
        <w:t xml:space="preserve"> reported an increase of 31.5% YoY and remained flat QoQ. Given the YoY declining interest rate scenario, this increase in net interest income reflects the favorable situation for the bank, generated by its current short term structure of deposits (which allows quick downwards re-pricing) and medium to long term structure of assets with higher locked-in interest rates. Notwithstanding, QoQ the net interest income presents similar levels as those reported in 2Q08 reflecting some stabilization of LIBOR rates during the first months of 3Q08. Furthermore, despite the reported volatility of LIBOR rates during the last weeks of 3Q08, the bank’s cost of funds remained unadjusted and consistent with prior periods.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Thus, as a result of the re-pricing flexibility of the asset / liability structure, </w:t>
      </w:r>
      <w:r>
        <w:rPr>
          <w:rFonts w:ascii="Arial" w:cs="Arial" w:eastAsia="Arial" w:hAnsi="Arial"/>
          <w:sz w:val="17"/>
          <w:szCs w:val="17"/>
          <w:i w:val="1"/>
          <w:iCs w:val="1"/>
          <w:color w:val="auto"/>
        </w:rPr>
        <w:t>net interest margin</w:t>
      </w:r>
      <w:r>
        <w:rPr>
          <w:rFonts w:ascii="Arial" w:cs="Arial" w:eastAsia="Arial" w:hAnsi="Arial"/>
          <w:sz w:val="17"/>
          <w:szCs w:val="17"/>
          <w:color w:val="auto"/>
        </w:rPr>
        <w:t xml:space="preserve"> (NIM) presents a QoQ increase from 1.98% to 2.06%</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Commissions and fee income </w:t>
      </w:r>
      <w:r>
        <w:rPr>
          <w:rFonts w:ascii="Arial" w:cs="Arial" w:eastAsia="Arial" w:hAnsi="Arial"/>
          <w:sz w:val="17"/>
          <w:szCs w:val="17"/>
          <w:color w:val="auto"/>
        </w:rPr>
        <w:t>reached US$ 2.2 million representing an increase of 2.5% when compared with 2Q08. When compared with 2Q07 this figure is</w:t>
      </w:r>
      <w:r>
        <w:rPr>
          <w:rFonts w:ascii="Arial" w:cs="Arial" w:eastAsia="Arial" w:hAnsi="Arial"/>
          <w:sz w:val="17"/>
          <w:szCs w:val="17"/>
          <w:i w:val="1"/>
          <w:iCs w:val="1"/>
          <w:color w:val="auto"/>
        </w:rPr>
        <w:t xml:space="preserve"> </w:t>
      </w:r>
      <w:r>
        <w:rPr>
          <w:rFonts w:ascii="Arial" w:cs="Arial" w:eastAsia="Arial" w:hAnsi="Arial"/>
          <w:sz w:val="17"/>
          <w:szCs w:val="17"/>
          <w:color w:val="auto"/>
        </w:rPr>
        <w:t>18.5% lower. This is explained by lower volumes YoY while management fees charged to customers for asset management products were lower as a direct result of dropdowns on performance yields and net asset value of managed funds which are the base for determining these profits.</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Thus, the impact on core revenues comes from </w:t>
      </w:r>
      <w:r>
        <w:rPr>
          <w:rFonts w:ascii="Arial" w:cs="Arial" w:eastAsia="Arial" w:hAnsi="Arial"/>
          <w:sz w:val="16"/>
          <w:szCs w:val="16"/>
          <w:i w:val="1"/>
          <w:iCs w:val="1"/>
          <w:color w:val="auto"/>
        </w:rPr>
        <w:t>foreign exchange transactions</w:t>
      </w:r>
      <w:r>
        <w:rPr>
          <w:rFonts w:ascii="Arial" w:cs="Arial" w:eastAsia="Arial" w:hAnsi="Arial"/>
          <w:sz w:val="16"/>
          <w:szCs w:val="16"/>
          <w:color w:val="auto"/>
        </w:rPr>
        <w:t>, which reported a US$ 387 thousand loss for the quarter. This loss arises from the un-hedged positions in euros and sterling pounds, currencies that have presented significant devaluation against the US dollar in the last months.</w:t>
      </w:r>
    </w:p>
    <w:p>
      <w:pPr>
        <w:sectPr>
          <w:pgSz w:w="11900" w:h="16838" w:orient="portrait"/>
          <w:cols w:equalWidth="0" w:num="1">
            <w:col w:w="11420"/>
          </w:cols>
          <w:pgMar w:left="240" w:top="945"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 xml:space="preserve">Net results of ASHC were however mostly affected by the high level of </w:t>
      </w:r>
      <w:r>
        <w:rPr>
          <w:rFonts w:ascii="Arial" w:cs="Arial" w:eastAsia="Arial" w:hAnsi="Arial"/>
          <w:sz w:val="18"/>
          <w:szCs w:val="18"/>
          <w:i w:val="1"/>
          <w:iCs w:val="1"/>
          <w:color w:val="auto"/>
        </w:rPr>
        <w:t>provisions net of recoveries</w:t>
      </w:r>
      <w:r>
        <w:rPr>
          <w:rFonts w:ascii="Arial" w:cs="Arial" w:eastAsia="Arial" w:hAnsi="Arial"/>
          <w:sz w:val="18"/>
          <w:szCs w:val="18"/>
          <w:color w:val="auto"/>
        </w:rPr>
        <w:t xml:space="preserve"> reported in 3Q08, which reached US$ 5.7 million reflecting the financial crisis. These reserves are the result of provisioning for the adverse market effect on the Bank’s proprietary investment portfolio, triggered by the current international financial markets’ turmoil. However, these were partially offset by provision reversals reported under </w:t>
      </w:r>
      <w:r>
        <w:rPr>
          <w:rFonts w:ascii="Arial" w:cs="Arial" w:eastAsia="Arial" w:hAnsi="Arial"/>
          <w:sz w:val="18"/>
          <w:szCs w:val="18"/>
          <w:i w:val="1"/>
          <w:iCs w:val="1"/>
          <w:color w:val="auto"/>
        </w:rPr>
        <w:t>Other Income</w:t>
      </w:r>
      <w:r>
        <w:rPr>
          <w:rFonts w:ascii="Arial" w:cs="Arial" w:eastAsia="Arial" w:hAnsi="Arial"/>
          <w:sz w:val="18"/>
          <w:szCs w:val="18"/>
          <w:color w:val="auto"/>
        </w:rPr>
        <w:t xml:space="preserve"> of US$ 2.5 million, leaving a real net negative impact on earnings of US$ 3.2 million. There is, however an additional effect from such adverse market valuations which resulted in unrealized losses of US$ 22 million, which do not affect ASHC’s income statement, but decrease its net worth position directly. This unrealized loss represents a relatively small impact, given the magnitude of the market “melt down”, of 2.9% of its on-balance sheet portfolio. Thus, a drop in shareholder’s equity from US$ 198 million to US$ 180 million was reported. It is noteworthy that the investment portfolio maintains a significant concentration of 76% on “safe” investment grade securities</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the other hand, a conservative decision to realize gains in some positions resulted in earnings of US$ 1.5 millions from the </w:t>
      </w:r>
      <w:r>
        <w:rPr>
          <w:rFonts w:ascii="Arial" w:cs="Arial" w:eastAsia="Arial" w:hAnsi="Arial"/>
          <w:sz w:val="18"/>
          <w:szCs w:val="18"/>
          <w:i w:val="1"/>
          <w:iCs w:val="1"/>
          <w:color w:val="auto"/>
        </w:rPr>
        <w:t>sale of securities</w:t>
      </w:r>
      <w:r>
        <w:rPr>
          <w:rFonts w:ascii="Arial" w:cs="Arial" w:eastAsia="Arial" w:hAnsi="Arial"/>
          <w:sz w:val="18"/>
          <w:szCs w:val="18"/>
          <w:color w:val="auto"/>
        </w:rPr>
        <w:t>, outperforming results in the compared quarters.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efficiency ratio</w:t>
      </w:r>
      <w:r>
        <w:rPr>
          <w:rFonts w:ascii="Arial" w:cs="Arial" w:eastAsia="Arial" w:hAnsi="Arial"/>
          <w:sz w:val="18"/>
          <w:szCs w:val="18"/>
          <w:color w:val="auto"/>
        </w:rPr>
        <w:t xml:space="preserve"> presented a distorted increase from 6.7% on 2Q08 to 17.7% in this 3Q08. This variation is the effect of dividends received during 2Q08 which lowered its ratio. Thus, when comparing the adjusted ratio of 2Q08 of 23.5% (excluding such dividend income) an improvement is observed given higher “other income” (explained by provision reversals), since operating expenses remained constant.</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assets decreased by 4.2% QoQ and 10.8 YoY. The YoY drop is explained by outgoing customers’ funds and migration of customers’ deposits to structured investment products managed off–balance sheet, motivated by higher yielding investments. During the last quarter, valuations of investments contributed to the drop in asset value. However, this diminishing trend started to revert due to customers’ funds received during this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Earning Assets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earning assets reached US$ 1.200 millions, as shown in the table below. This figure dropped 4.3% QoQ basis, while a YoY drop of 11.6% was observed. This drop results from the market value of the investment portfolio which has been affected by current economic events.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share of investment-grade securities in the investment portfolio is 76%, emphasizing ASB’s prudent investment policy of concentrating its portfolio in high credit quality investments. Although the size of the portfolio presents a reducing trend, its composition remains on similar levels to those of 3Q07.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 2008</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2Q 2008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3Q 2007</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3Q08 / 3Q07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3Q08 / 2Q08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626</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781</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8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00" w:type="dxa"/>
            <w:vAlign w:val="bottom"/>
            <w:gridSpan w:val="2"/>
          </w:tcPr>
          <w:p>
            <w:pPr>
              <w:spacing w:after="0"/>
              <w:rPr>
                <w:sz w:val="20"/>
                <w:szCs w:val="20"/>
                <w:color w:val="auto"/>
              </w:rPr>
            </w:pPr>
            <w:r>
              <w:rPr>
                <w:rFonts w:ascii="Arial" w:cs="Arial" w:eastAsia="Arial" w:hAnsi="Arial"/>
                <w:sz w:val="18"/>
                <w:szCs w:val="18"/>
                <w:color w:val="auto"/>
              </w:rPr>
              <w:t>Total interest-earning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 Excludes investments in equities and mutual funds.</w:t>
            </w:r>
          </w:p>
        </w:tc>
        <w:tc>
          <w:tcPr>
            <w:tcW w:w="114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1452245</wp:posOffset>
            </wp:positionH>
            <wp:positionV relativeFrom="page">
              <wp:posOffset>88900</wp:posOffset>
            </wp:positionV>
            <wp:extent cx="5951855" cy="2040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5185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 Business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management business includes, besides third party managed funds, customers’ deposits, and investments such as proprietary mutual funds and securities. The total of these funds has decreased by 3.2% QoQ and reports an increase of 2.3% YoY. The QoQ decrease is a result of general drop of market value of managed funds and securities on behalf of customers. As we concluded in the previous quarter, the management of third party funds in off-balance sheet accounts continues to command most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161925</wp:posOffset>
            </wp:positionV>
            <wp:extent cx="5642610" cy="2838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261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V1. Recent evolution of the private pension fund market</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3Q08, the private pension market followed a similar evolution as in previous periods. During this period, 68,000 transfers and 59,000, new affiliations took place to a total members’ number of 4.3 million at the end of this period.</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Weaker international and local financial markets had a significant impact on the value of funds managed on the system, resulting in a decrease of the portfolio under management of 15.6% compared to the previous quarter, with total funds dropping from US$ 21.2 billion in June 2008 to US$ 17.9 billion in September 2008.</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regards financial outcomes, the system’s total revenues were US$ 69.9 million in the third quarter of 2008, that is, 24% growth year over year. This increase is principally accounted for by the larger contribution base resulting from a lively domestic economy and growing formal jobs, also to a smaller extent by the appreciation of the local currency compared to 3Q07.</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System operations expenses reached US$ 46.2 million, turning into revenues for operation worth US$ 23.8 million (110% higher than the earnings from operations a year ago). Despite this bottom line operational results at the pension fund management companies (AFPs in Spanish), Peruvian accounting results revealed the impact of provisioning losses because of declining financial markets not included under IFRS (US$ 36.5 million per quarter). After taking account of other revenues and expenses and provisioning for taxes and profit sharing, the net balance earned by AFPs in this third quarter was a net loss reaching US$ 16.2 million.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Private Pension Fund System: Main Indicators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the end of the period:</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3Q08</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2Q08</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3Q07</w:t>
            </w:r>
          </w:p>
        </w:tc>
        <w:tc>
          <w:tcPr>
            <w:tcW w:w="160" w:type="dxa"/>
            <w:vAlign w:val="bottom"/>
          </w:tcPr>
          <w:p>
            <w:pPr>
              <w:spacing w:after="0"/>
              <w:rPr>
                <w:sz w:val="23"/>
                <w:szCs w:val="23"/>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Affiliates (thousand)</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4,260</w:t>
            </w:r>
          </w:p>
        </w:tc>
        <w:tc>
          <w:tcPr>
            <w:tcW w:w="220" w:type="dxa"/>
            <w:vAlign w:val="bottom"/>
            <w:shd w:val="clear" w:color="auto" w:fill="CCFFCC"/>
          </w:tcPr>
          <w:p>
            <w:pPr>
              <w:spacing w:after="0"/>
              <w:rPr>
                <w:sz w:val="20"/>
                <w:szCs w:val="20"/>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4,210</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4,049</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 Change (1)</w:t>
            </w:r>
          </w:p>
        </w:tc>
        <w:tc>
          <w:tcPr>
            <w:tcW w:w="220" w:type="dxa"/>
            <w:vAlign w:val="bottom"/>
          </w:tcPr>
          <w:p>
            <w:pPr>
              <w:spacing w:after="0"/>
              <w:rPr>
                <w:sz w:val="23"/>
                <w:szCs w:val="23"/>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69"/>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Sales force</w:t>
            </w:r>
          </w:p>
        </w:tc>
        <w:tc>
          <w:tcPr>
            <w:tcW w:w="22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1,942</w:t>
            </w:r>
          </w:p>
        </w:tc>
        <w:tc>
          <w:tcPr>
            <w:tcW w:w="22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1,930</w:t>
            </w:r>
          </w:p>
        </w:tc>
        <w:tc>
          <w:tcPr>
            <w:tcW w:w="20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Borders>
              <w:bottom w:val="single" w:sz="8" w:color="CCFFCC"/>
            </w:tcBorders>
            <w:shd w:val="clear" w:color="auto" w:fill="CCFFCC"/>
          </w:tcPr>
          <w:p>
            <w:pPr>
              <w:spacing w:after="0"/>
              <w:rPr>
                <w:sz w:val="22"/>
                <w:szCs w:val="22"/>
                <w:color w:val="auto"/>
              </w:rPr>
            </w:pPr>
          </w:p>
        </w:tc>
      </w:tr>
      <w:tr>
        <w:trPr>
          <w:trHeight w:val="23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Asset under management (US$ mm)</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21,285</w:t>
            </w:r>
          </w:p>
        </w:tc>
        <w:tc>
          <w:tcPr>
            <w:tcW w:w="20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20,286</w:t>
            </w:r>
          </w:p>
        </w:tc>
        <w:tc>
          <w:tcPr>
            <w:tcW w:w="160" w:type="dxa"/>
            <w:vAlign w:val="bottom"/>
            <w:tcBorders>
              <w:top w:val="single" w:sz="8" w:color="CCFFCC"/>
            </w:tcBorders>
          </w:tcPr>
          <w:p>
            <w:pPr>
              <w:spacing w:after="0"/>
              <w:rPr>
                <w:sz w:val="20"/>
                <w:szCs w:val="20"/>
                <w:color w:val="auto"/>
              </w:rPr>
            </w:pP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 Change (1)</w:t>
            </w:r>
          </w:p>
        </w:tc>
        <w:tc>
          <w:tcPr>
            <w:tcW w:w="22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-15.6%</w:t>
            </w:r>
          </w:p>
        </w:tc>
        <w:tc>
          <w:tcPr>
            <w:tcW w:w="15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w:t>
            </w:r>
          </w:p>
        </w:tc>
        <w:tc>
          <w:tcPr>
            <w:tcW w:w="15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r>
      <w:tr>
        <w:trPr>
          <w:trHeight w:val="23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Income (US$ mm)</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Borders>
              <w:top w:val="single" w:sz="8" w:color="CCFFCC"/>
            </w:tcBorders>
          </w:tcPr>
          <w:p>
            <w:pPr>
              <w:spacing w:after="0"/>
              <w:rPr>
                <w:sz w:val="20"/>
                <w:szCs w:val="20"/>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FFCC"/>
          </w:tcPr>
          <w:p>
            <w:pPr>
              <w:spacing w:after="0"/>
              <w:rPr>
                <w:sz w:val="21"/>
                <w:szCs w:val="21"/>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45.2</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44.7</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Operating income (US$ mm)</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Net Income (US$ mm)</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FFCC"/>
          </w:tcPr>
          <w:p>
            <w:pPr>
              <w:spacing w:after="0"/>
              <w:rPr>
                <w:sz w:val="21"/>
                <w:szCs w:val="21"/>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r>
      <w:tr>
        <w:trPr>
          <w:trHeight w:val="202"/>
        </w:trPr>
        <w:tc>
          <w:tcPr>
            <w:tcW w:w="6520" w:type="dxa"/>
            <w:vAlign w:val="bottom"/>
          </w:tcPr>
          <w:p>
            <w:pPr>
              <w:spacing w:after="0" w:line="201" w:lineRule="exact"/>
              <w:rPr>
                <w:sz w:val="20"/>
                <w:szCs w:val="20"/>
                <w:color w:val="auto"/>
              </w:rPr>
            </w:pPr>
            <w:r>
              <w:rPr>
                <w:rFonts w:ascii="Arial" w:cs="Arial" w:eastAsia="Arial" w:hAnsi="Arial"/>
                <w:sz w:val="18"/>
                <w:szCs w:val="18"/>
                <w:i w:val="1"/>
                <w:iCs w:val="1"/>
                <w:color w:val="auto"/>
              </w:rPr>
              <w:t>Source: Conasev, SBS:</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i w:val="1"/>
                <w:iCs w:val="1"/>
                <w:color w:val="auto"/>
              </w:rPr>
              <w:t>(1) Quarter Variation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right="3520"/>
        <w:spacing w:after="0" w:line="255" w:lineRule="auto"/>
        <w:rPr>
          <w:sz w:val="20"/>
          <w:szCs w:val="20"/>
          <w:color w:val="auto"/>
        </w:rPr>
      </w:pPr>
      <w:r>
        <w:rPr>
          <w:rFonts w:ascii="Arial" w:cs="Arial" w:eastAsia="Arial" w:hAnsi="Arial"/>
          <w:sz w:val="18"/>
          <w:szCs w:val="18"/>
          <w:i w:val="1"/>
          <w:iCs w:val="1"/>
          <w:color w:val="auto"/>
        </w:rPr>
        <w:t>In local Peruvian accounting, legal reserves are included in the income statement as opposed to the IFRS There is no infomation for results adjusted to international financial reporting standards for the Total System. The first and third quarter include double collection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V2. Prima AFP</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3Q08, commercial activities at PRIMA AFP improved slightly compared to the second quarter, though its productivity confirmed it as the system’s best AFP. During this quarter, PRIMA recruited 14,600 transfer and 11,575 new members.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Expanded commercial activity was related to the company’s announcement in August to raise its base management commission from 1.50% to 1.75%, with impact on revenues reflected starting January 2009. Such higher commissions, still the market’s lowest, is consistent with the overall value proposal PRIMA AFP brings to market, a fact widely recognized by its affiliates.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Company’s initiatives should also allow it to go through the initial transition months towards the new commission levels without further trouble. In 3Q08, PRIMA AFP captured the larger shares of system contribution (32.8%), as well as the largest market share for voluntary contributions (amounting for 45.7% of the total voluntary contribution to the system by end of September).</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Regarding investments, funds under PRIMA AFP management were not immune to the impact of the world financial crisis, a fact that was further reflected in portfolio losses.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Main quarterly indicators and market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PRIMA 3Q08</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System 3Q08</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 3Q08 %</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PRIMA 2Q08</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System 2Q08</w:t>
            </w:r>
          </w:p>
        </w:tc>
        <w:tc>
          <w:tcPr>
            <w:tcW w:w="100" w:type="dxa"/>
            <w:vAlign w:val="bottom"/>
          </w:tcPr>
          <w:p>
            <w:pPr>
              <w:spacing w:after="0"/>
              <w:rPr>
                <w:sz w:val="14"/>
                <w:szCs w:val="1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 2Q08 %</w:t>
            </w:r>
          </w:p>
        </w:tc>
        <w:tc>
          <w:tcPr>
            <w:tcW w:w="120" w:type="dxa"/>
            <w:vAlign w:val="bottom"/>
          </w:tcPr>
          <w:p>
            <w:pPr>
              <w:spacing w:after="0"/>
              <w:rPr>
                <w:sz w:val="14"/>
                <w:szCs w:val="14"/>
                <w:color w:val="auto"/>
              </w:rPr>
            </w:pPr>
          </w:p>
        </w:tc>
      </w:tr>
      <w:tr>
        <w:trPr>
          <w:trHeight w:val="142"/>
        </w:trPr>
        <w:tc>
          <w:tcPr>
            <w:tcW w:w="3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Affiliates (1)</w:t>
            </w:r>
          </w:p>
        </w:tc>
        <w:tc>
          <w:tcPr>
            <w:tcW w:w="12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1,040,568</w:t>
            </w:r>
          </w:p>
        </w:tc>
        <w:tc>
          <w:tcPr>
            <w:tcW w:w="12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4,259,889</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24.4%</w:t>
            </w:r>
          </w:p>
        </w:tc>
        <w:tc>
          <w:tcPr>
            <w:tcW w:w="1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1,035,703</w:t>
            </w:r>
          </w:p>
        </w:tc>
        <w:tc>
          <w:tcPr>
            <w:tcW w:w="1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4,209,831</w:t>
            </w:r>
          </w:p>
        </w:tc>
        <w:tc>
          <w:tcPr>
            <w:tcW w:w="1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24.6%</w:t>
            </w: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New affiliations (2)</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11,575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59,436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60,829</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r>
      <w:tr>
        <w:trPr>
          <w:trHeight w:val="149"/>
        </w:trPr>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Fund under management US$ mm (1)</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5,588</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17,969</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6,637</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21,285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31.2%</w:t>
            </w:r>
          </w:p>
        </w:tc>
      </w:tr>
      <w:tr>
        <w:trPr>
          <w:trHeight w:val="149"/>
        </w:trPr>
        <w:tc>
          <w:tcPr>
            <w:tcW w:w="3900" w:type="dxa"/>
            <w:vAlign w:val="bottom"/>
          </w:tcPr>
          <w:p>
            <w:pPr>
              <w:spacing w:after="0" w:line="149" w:lineRule="exact"/>
              <w:rPr>
                <w:sz w:val="20"/>
                <w:szCs w:val="20"/>
                <w:color w:val="auto"/>
              </w:rPr>
            </w:pPr>
            <w:r>
              <w:rPr>
                <w:rFonts w:ascii="Arial" w:cs="Arial" w:eastAsia="Arial" w:hAnsi="Arial"/>
                <w:sz w:val="14"/>
                <w:szCs w:val="14"/>
                <w:color w:val="auto"/>
              </w:rPr>
              <w:t>Collections US$ mm (3)</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128</w:t>
            </w:r>
          </w:p>
        </w:tc>
        <w:tc>
          <w:tcPr>
            <w:tcW w:w="10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r>
      <w:tr>
        <w:trPr>
          <w:trHeight w:val="149"/>
        </w:trPr>
        <w:tc>
          <w:tcPr>
            <w:tcW w:w="3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Voluntary Contributions US$ mm (4)</w:t>
            </w:r>
          </w:p>
        </w:tc>
        <w:tc>
          <w:tcPr>
            <w:tcW w:w="12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91</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199</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45.7%</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156</w:t>
            </w:r>
          </w:p>
        </w:tc>
        <w:tc>
          <w:tcPr>
            <w:tcW w:w="1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48.9%</w:t>
            </w:r>
          </w:p>
        </w:tc>
      </w:tr>
      <w:tr>
        <w:trPr>
          <w:trHeight w:val="182"/>
        </w:trPr>
        <w:tc>
          <w:tcPr>
            <w:tcW w:w="3900" w:type="dxa"/>
            <w:vAlign w:val="bottom"/>
          </w:tcPr>
          <w:p>
            <w:pPr>
              <w:spacing w:after="0"/>
              <w:rPr>
                <w:sz w:val="20"/>
                <w:szCs w:val="20"/>
                <w:color w:val="auto"/>
              </w:rPr>
            </w:pPr>
            <w:r>
              <w:rPr>
                <w:rFonts w:ascii="Arial" w:cs="Arial" w:eastAsia="Arial" w:hAnsi="Arial"/>
                <w:sz w:val="14"/>
                <w:szCs w:val="14"/>
                <w:color w:val="auto"/>
              </w:rPr>
              <w:t>RAM US$ mm (5)</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1,024,493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3,159,672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32.4%</w:t>
            </w:r>
          </w:p>
        </w:tc>
        <w:tc>
          <w:tcPr>
            <w:tcW w:w="114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1,058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32.0%</w:t>
            </w:r>
          </w:p>
        </w:tc>
      </w:tr>
    </w:tbl>
    <w:p>
      <w:pPr>
        <w:spacing w:after="0" w:line="22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Source: Superintencia de Banca y Seguros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 Include voluntary contributions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Stock level at the end of the period</w:t>
      </w:r>
    </w:p>
    <w:p>
      <w:pPr>
        <w:spacing w:after="0" w:line="9" w:lineRule="exact"/>
        <w:rPr>
          <w:rFonts w:ascii="Arial" w:cs="Arial" w:eastAsia="Arial" w:hAnsi="Arial"/>
          <w:sz w:val="18"/>
          <w:szCs w:val="18"/>
          <w:i w:val="1"/>
          <w:iCs w:val="1"/>
          <w:color w:val="auto"/>
        </w:rPr>
      </w:pPr>
    </w:p>
    <w:p>
      <w:pPr>
        <w:ind w:right="2860" w:firstLine="8"/>
        <w:spacing w:after="0" w:line="323" w:lineRule="auto"/>
        <w:tabs>
          <w:tab w:leader="none" w:pos="2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Monthly remuneration retained, earnings base calculation estimated by PRIMA on average earning during the last 4 months excluding double collection effect, special collections and voluntary contributions fees.Commercial results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AFP’s value proposal is characterized by delivery of appropriate information and quality service to its members, high profitability levels and the sound support of Crédito Group, Peru’s largest financial holding company. Moreover, and despite the higher commissions announced, PRIMA AFP’s rates are still the market’s lowest. This has allowed our company to engage in successful competition while counting only with the smallest sales force in the entire system.</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new and transfer members this quarter exceeded 26,000 (close to 14,600 transfers and 11,575 new members), above second quarter figure. Exit transfers remain at previous quarter levels and within company’s forecast. Net RAM result was positive this quarter.</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Funds under PRIMA AFP’s management reached US$ 5.6 billion or 31.1% of the system’s total funds to June 2008. This market share indicator has remained relatively stable throughout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Declining international financial markets impacted earnings from investments in the different funds during this period. Though pension fund investments are managed for the long term, short term fluctuations impact ongoing performance. Nevertheless, given the excellent returns of the previous years, in the most recent 24 months period, our funds could still report positive yields of 14.33% from fund 1, 21.97% from fund 2 and 41.24% from fund 3, thus ranking first for the 2 and 3 funds and second in fund 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We show below each fund’s share in the total portfolio under management to September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Funds under management as of September 2008</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Sep-08</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Jun-08</w:t>
            </w: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6.3%</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5.6%</w:t>
            </w:r>
          </w:p>
        </w:tc>
      </w:tr>
      <w:tr>
        <w:trPr>
          <w:trHeight w:val="243"/>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Fund 2</w:t>
            </w:r>
          </w:p>
        </w:tc>
        <w:tc>
          <w:tcPr>
            <w:tcW w:w="1080" w:type="dxa"/>
            <w:vAlign w:val="bottom"/>
          </w:tcPr>
          <w:p>
            <w:pPr>
              <w:jc w:val="right"/>
              <w:spacing w:after="0"/>
              <w:rPr>
                <w:sz w:val="20"/>
                <w:szCs w:val="20"/>
                <w:color w:val="auto"/>
              </w:rPr>
            </w:pPr>
            <w:r>
              <w:rPr>
                <w:rFonts w:ascii="Arial" w:cs="Arial" w:eastAsia="Arial" w:hAnsi="Arial"/>
                <w:sz w:val="18"/>
                <w:szCs w:val="18"/>
                <w:color w:val="auto"/>
              </w:rPr>
              <w:t>3 ,704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66.3%</w:t>
            </w:r>
          </w:p>
        </w:tc>
        <w:tc>
          <w:tcPr>
            <w:tcW w:w="1080" w:type="dxa"/>
            <w:vAlign w:val="bottom"/>
          </w:tcPr>
          <w:p>
            <w:pPr>
              <w:jc w:val="right"/>
              <w:spacing w:after="0"/>
              <w:rPr>
                <w:sz w:val="20"/>
                <w:szCs w:val="20"/>
                <w:color w:val="auto"/>
              </w:rPr>
            </w:pPr>
            <w:r>
              <w:rPr>
                <w:rFonts w:ascii="Arial" w:cs="Arial" w:eastAsia="Arial" w:hAnsi="Arial"/>
                <w:sz w:val="18"/>
                <w:szCs w:val="18"/>
                <w:color w:val="auto"/>
              </w:rPr>
              <w:t>4 ,300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64.8%</w:t>
            </w:r>
          </w:p>
        </w:tc>
      </w:tr>
      <w:tr>
        <w:trPr>
          <w:trHeight w:val="250"/>
        </w:trPr>
        <w:tc>
          <w:tcPr>
            <w:tcW w:w="1160" w:type="dxa"/>
            <w:vAlign w:val="bottom"/>
          </w:tcPr>
          <w:p>
            <w:pPr>
              <w:spacing w:after="0"/>
              <w:rPr>
                <w:sz w:val="21"/>
                <w:szCs w:val="21"/>
                <w:color w:val="auto"/>
              </w:rPr>
            </w:pPr>
          </w:p>
        </w:tc>
        <w:tc>
          <w:tcPr>
            <w:tcW w:w="4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Fund 3</w:t>
            </w: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1 ,530</w:t>
            </w:r>
          </w:p>
        </w:tc>
        <w:tc>
          <w:tcPr>
            <w:tcW w:w="1420" w:type="dxa"/>
            <w:vAlign w:val="bottom"/>
            <w:tcBorders>
              <w:bottom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27.4%</w:t>
            </w: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1 ,966</w:t>
            </w:r>
          </w:p>
        </w:tc>
        <w:tc>
          <w:tcPr>
            <w:tcW w:w="1420" w:type="dxa"/>
            <w:vAlign w:val="bottom"/>
            <w:tcBorders>
              <w:bottom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29.6%</w:t>
            </w:r>
          </w:p>
        </w:tc>
      </w:tr>
      <w:tr>
        <w:trPr>
          <w:trHeight w:val="20"/>
        </w:trPr>
        <w:tc>
          <w:tcPr>
            <w:tcW w:w="1160" w:type="dxa"/>
            <w:vAlign w:val="bottom"/>
          </w:tcPr>
          <w:p>
            <w:pPr>
              <w:spacing w:after="0" w:line="20" w:lineRule="exact"/>
              <w:rPr>
                <w:sz w:val="1"/>
                <w:szCs w:val="1"/>
                <w:color w:val="auto"/>
              </w:rPr>
            </w:pPr>
          </w:p>
        </w:tc>
        <w:tc>
          <w:tcPr>
            <w:tcW w:w="41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Total US$ mm</w:t>
            </w:r>
          </w:p>
        </w:tc>
        <w:tc>
          <w:tcPr>
            <w:tcW w:w="1080" w:type="dxa"/>
            <w:vAlign w:val="bottom"/>
          </w:tcPr>
          <w:p>
            <w:pPr>
              <w:jc w:val="right"/>
              <w:spacing w:after="0"/>
              <w:rPr>
                <w:sz w:val="20"/>
                <w:szCs w:val="20"/>
                <w:color w:val="auto"/>
              </w:rPr>
            </w:pPr>
            <w:r>
              <w:rPr>
                <w:rFonts w:ascii="Arial" w:cs="Arial" w:eastAsia="Arial" w:hAnsi="Arial"/>
                <w:sz w:val="18"/>
                <w:szCs w:val="18"/>
                <w:color w:val="auto"/>
              </w:rPr>
              <w:t>5 ,588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1080" w:type="dxa"/>
            <w:vAlign w:val="bottom"/>
          </w:tcPr>
          <w:p>
            <w:pPr>
              <w:jc w:val="right"/>
              <w:spacing w:after="0"/>
              <w:rPr>
                <w:sz w:val="20"/>
                <w:szCs w:val="20"/>
                <w:color w:val="auto"/>
              </w:rPr>
            </w:pPr>
            <w:r>
              <w:rPr>
                <w:rFonts w:ascii="Arial" w:cs="Arial" w:eastAsia="Arial" w:hAnsi="Arial"/>
                <w:sz w:val="18"/>
                <w:szCs w:val="18"/>
                <w:color w:val="auto"/>
              </w:rPr>
              <w:t>6 ,637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0</wp:posOffset>
            </wp:positionV>
            <wp:extent cx="30784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Superintendencia de Banca y Seguros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-130175</wp:posOffset>
            </wp:positionV>
            <wp:extent cx="3078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 the third quarter reached US$ 19.0 million, building on PRIMA AFP’s large number of contributing members, throughout this year. A comparison of revenues one year ago (3Q07: US$ 14.75 million) reveals a 29% increase. It is also worth mentioning the third quarter usually benefits from the impact of double collections from mid-year bonuses (company revenues are typically 60 to 70% higher in January and August as most members usually receive mid- and end- year bonuses mandated by Peruvian labor laws).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 the base compensation from which PRIMA AFP’s earnings are computed remains as the system’s highest, with 32.4% market share. This estimate is calculated with publicly available revenue data and management fees earned by individual AFP.</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of voluntary contributions under management at the end of 3Q08 dropped a significant 36% compared to the previous quarter, all of which resulted from sliding international financial markets.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Total earnings -US$ Million</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68"/>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Total System Sep-</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PRIMA Sep-08</w:t>
            </w:r>
          </w:p>
        </w:tc>
        <w:tc>
          <w:tcPr>
            <w:tcW w:w="200" w:type="dxa"/>
            <w:vAlign w:val="bottom"/>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08</w:t>
            </w:r>
          </w:p>
        </w:tc>
        <w:tc>
          <w:tcPr>
            <w:tcW w:w="200" w:type="dxa"/>
            <w:vAlign w:val="bottom"/>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Prima % Share</w:t>
            </w:r>
          </w:p>
        </w:tc>
        <w:tc>
          <w:tcPr>
            <w:tcW w:w="180" w:type="dxa"/>
            <w:vAlign w:val="bottom"/>
          </w:tcPr>
          <w:p>
            <w:pPr>
              <w:spacing w:after="0"/>
              <w:rPr>
                <w:sz w:val="20"/>
                <w:szCs w:val="20"/>
                <w:color w:val="auto"/>
              </w:rPr>
            </w:pPr>
          </w:p>
        </w:tc>
      </w:tr>
      <w:tr>
        <w:trPr>
          <w:trHeight w:val="237"/>
        </w:trPr>
        <w:tc>
          <w:tcPr>
            <w:tcW w:w="1160" w:type="dxa"/>
            <w:vAlign w:val="bottom"/>
          </w:tcPr>
          <w:p>
            <w:pPr>
              <w:spacing w:after="0"/>
              <w:rPr>
                <w:sz w:val="20"/>
                <w:szCs w:val="20"/>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Income (1)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FFCC"/>
          </w:tcPr>
          <w:p>
            <w:pPr>
              <w:spacing w:after="0"/>
              <w:rPr>
                <w:sz w:val="20"/>
                <w:szCs w:val="20"/>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w:t>
            </w:r>
          </w:p>
        </w:tc>
        <w:tc>
          <w:tcPr>
            <w:tcW w:w="18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27.6%</w:t>
            </w:r>
          </w:p>
        </w:tc>
      </w:tr>
      <w:tr>
        <w:trPr>
          <w:trHeight w:val="243"/>
        </w:trPr>
        <w:tc>
          <w:tcPr>
            <w:tcW w:w="5400" w:type="dxa"/>
            <w:vAlign w:val="bottom"/>
            <w:gridSpan w:val="2"/>
          </w:tcPr>
          <w:p>
            <w:pPr>
              <w:ind w:left="1140"/>
              <w:spacing w:after="0"/>
              <w:rPr>
                <w:sz w:val="20"/>
                <w:szCs w:val="20"/>
                <w:color w:val="auto"/>
              </w:rPr>
            </w:pPr>
            <w:r>
              <w:rPr>
                <w:rFonts w:ascii="Arial" w:cs="Arial" w:eastAsia="Arial" w:hAnsi="Arial"/>
                <w:sz w:val="18"/>
                <w:szCs w:val="18"/>
                <w:color w:val="auto"/>
              </w:rPr>
              <w:t>Administrative Fees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RAM estimated base (2)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FFCC"/>
          </w:tcPr>
          <w:p>
            <w:pPr>
              <w:spacing w:after="0"/>
              <w:rPr>
                <w:sz w:val="21"/>
                <w:szCs w:val="21"/>
                <w:color w:val="auto"/>
              </w:rPr>
            </w:pPr>
          </w:p>
        </w:tc>
        <w:tc>
          <w:tcPr>
            <w:tcW w:w="15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w:t>
            </w:r>
          </w:p>
        </w:tc>
        <w:tc>
          <w:tcPr>
            <w:tcW w:w="18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32.4%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 AFP estimates. In accordance to local public infomation, (CONASEV)</w:t>
      </w:r>
    </w:p>
    <w:p>
      <w:pPr>
        <w:spacing w:after="0" w:line="2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Average income from the last four month, excluding special collections and voluntary contribution fees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RAM: Monthly Accumulated Salary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Expenditures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quarter PRIMA’s operating expenses remained stable, excepting for the advertising and marketing account that increased US$ 0.5 million to 2Q08, a consequence mainly of initiatives relating to the increase in fees announced recently.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consequence of the above, results from operations this term reached US$ 5.7 million, in line with projections. This outcome includes charges for amortization of assets included in the transfer price allocation. Combined with amortization and depreciation of investments in facilities and IP systems, the total D&amp;A expense reached US$ 2.3 million this period.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Local currency volatility had an impact on currency translation results and adjustments on deferred liabilities, leading to a US$ 1.54 million loss. PRIMA AFP closed a currency swap transaction to avoid future impact of such currency volatility and should not be significantly affected by other similar currency fluctuations in the future. After provisioning for taxes and profit sharing, PRIMA AFP’s net earnings for the period reached US$ 1.70 million. From January to September, the company’s cumulative net profits reached US$ 9.76 million, above expectations.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At 3Q08 closing, corporate assets were worth US$ 237.9 million, liabilities reached US$ 106.3 million and shareholders equity US$ 131.5 million.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The company’s main financial figures appear below:</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rPr>
              <w:t>PRIMA AFP</w:t>
            </w:r>
            <w:r>
              <w:rPr>
                <w:rFonts w:ascii="Arial" w:cs="Arial" w:eastAsia="Arial" w:hAnsi="Arial"/>
                <w:sz w:val="18"/>
                <w:szCs w:val="18"/>
                <w:color w:val="auto"/>
              </w:rPr>
              <w:t>: Main financial indicators (US$ thousand) (1)</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Change %</w:t>
            </w:r>
          </w:p>
        </w:tc>
      </w:tr>
      <w:tr>
        <w:trPr>
          <w:trHeight w:val="270"/>
        </w:trPr>
        <w:tc>
          <w:tcPr>
            <w:tcW w:w="5160" w:type="dxa"/>
            <w:vAlign w:val="bottom"/>
          </w:tcPr>
          <w:p>
            <w:pPr>
              <w:spacing w:after="0"/>
              <w:rPr>
                <w:sz w:val="23"/>
                <w:szCs w:val="23"/>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3Q08</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2Q08</w:t>
            </w:r>
          </w:p>
        </w:tc>
        <w:tc>
          <w:tcPr>
            <w:tcW w:w="220" w:type="dxa"/>
            <w:vAlign w:val="bottom"/>
          </w:tcPr>
          <w:p>
            <w:pPr>
              <w:spacing w:after="0"/>
              <w:rPr>
                <w:sz w:val="23"/>
                <w:szCs w:val="23"/>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3Q07</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3Q08/3Q07</w:t>
            </w:r>
          </w:p>
        </w:tc>
        <w:tc>
          <w:tcPr>
            <w:tcW w:w="180" w:type="dxa"/>
            <w:vAlign w:val="bottom"/>
          </w:tcPr>
          <w:p>
            <w:pPr>
              <w:spacing w:after="0"/>
              <w:rPr>
                <w:sz w:val="23"/>
                <w:szCs w:val="23"/>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19,035</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15,860</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14,759</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Administrative and sale expenses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(10,954)</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(10,066)</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(8,807)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(2,312)</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(2,185)</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(2,181)</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w:t>
            </w: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5,769</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3,771</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(827)</w:t>
            </w:r>
          </w:p>
        </w:tc>
        <w:tc>
          <w:tcPr>
            <w:tcW w:w="1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(1,497)</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(1,086)</w:t>
            </w:r>
          </w:p>
        </w:tc>
        <w:tc>
          <w:tcPr>
            <w:tcW w:w="15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Workers' protif sharing and Income tax</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(1,693)</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(612)</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3,249</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1,500</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1,778</w:t>
            </w:r>
          </w:p>
        </w:tc>
        <w:tc>
          <w:tcPr>
            <w:tcW w:w="154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83%</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Translation results and deferred liabilities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(1,544)</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(2,454)</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(losses)</w:t>
            </w:r>
          </w:p>
        </w:tc>
        <w:tc>
          <w:tcPr>
            <w:tcW w:w="158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1,705</w:t>
            </w:r>
          </w:p>
        </w:tc>
        <w:tc>
          <w:tcPr>
            <w:tcW w:w="15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(954)</w:t>
            </w:r>
          </w:p>
        </w:tc>
        <w:tc>
          <w:tcPr>
            <w:tcW w:w="15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1,795</w:t>
            </w:r>
          </w:p>
        </w:tc>
        <w:tc>
          <w:tcPr>
            <w:tcW w:w="1540" w:type="dxa"/>
            <w:vAlign w:val="bottom"/>
            <w:tcBorders>
              <w:bottom w:val="single" w:sz="8" w:color="CCFFCC"/>
            </w:tcBorders>
            <w:gridSpan w:val="2"/>
            <w:shd w:val="clear" w:color="auto" w:fill="CCFFCC"/>
          </w:tcPr>
          <w:p>
            <w:pPr>
              <w:ind w:left="1200"/>
              <w:spacing w:after="0"/>
              <w:rPr>
                <w:sz w:val="20"/>
                <w:szCs w:val="20"/>
                <w:color w:val="auto"/>
              </w:rPr>
            </w:pPr>
            <w:r>
              <w:rPr>
                <w:rFonts w:ascii="Arial" w:cs="Arial" w:eastAsia="Arial" w:hAnsi="Arial"/>
                <w:sz w:val="18"/>
                <w:szCs w:val="18"/>
                <w:b w:val="1"/>
                <w:bCs w:val="1"/>
                <w:color w:val="auto"/>
                <w:w w:val="99"/>
              </w:rPr>
              <w:t>-5%</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237,950</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246,129</w:t>
            </w:r>
          </w:p>
        </w:tc>
        <w:tc>
          <w:tcPr>
            <w:tcW w:w="2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244,050</w:t>
            </w: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w w:val="99"/>
              </w:rPr>
              <w:t>-2%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106,382</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108,286</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114,959</w:t>
            </w:r>
          </w:p>
        </w:tc>
        <w:tc>
          <w:tcPr>
            <w:tcW w:w="1540" w:type="dxa"/>
            <w:vAlign w:val="bottom"/>
            <w:gridSpan w:val="2"/>
            <w:shd w:val="clear" w:color="auto" w:fill="CCFFCC"/>
          </w:tcPr>
          <w:p>
            <w:pPr>
              <w:ind w:left="1200"/>
              <w:spacing w:after="0"/>
              <w:rPr>
                <w:sz w:val="20"/>
                <w:szCs w:val="20"/>
                <w:color w:val="auto"/>
              </w:rPr>
            </w:pPr>
            <w:r>
              <w:rPr>
                <w:rFonts w:ascii="Arial" w:cs="Arial" w:eastAsia="Arial" w:hAnsi="Arial"/>
                <w:sz w:val="18"/>
                <w:szCs w:val="18"/>
                <w:color w:val="auto"/>
                <w:w w:val="99"/>
              </w:rPr>
              <w:t>-7%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131,568</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137,843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129,090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(IFRS)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VI. EL PACIFICO PERUANO SUIZA AND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PACIFICO GROUP</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Pacífico Insurance Group results, which consolidate the general insurance (PPS), life insurance (PV) and health care insurance (PS EPS), reached </w:t>
      </w:r>
      <w:r>
        <w:rPr>
          <w:rFonts w:ascii="Arial" w:cs="Arial" w:eastAsia="Arial" w:hAnsi="Arial"/>
          <w:sz w:val="17"/>
          <w:szCs w:val="17"/>
          <w:i w:val="1"/>
          <w:iCs w:val="1"/>
          <w:color w:val="auto"/>
        </w:rPr>
        <w:t>Total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Earnings before Minority Interest </w:t>
      </w:r>
      <w:r>
        <w:rPr>
          <w:rFonts w:ascii="Arial" w:cs="Arial" w:eastAsia="Arial" w:hAnsi="Arial"/>
          <w:sz w:val="17"/>
          <w:szCs w:val="17"/>
          <w:color w:val="auto"/>
        </w:rPr>
        <w:t>of US$4 million in 3Q08, compared with US$9.1 million loss in 2Q08. This is mainly accounted for by a recovery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compared to 2Q08 of US$ 11.2 million for </w:t>
      </w:r>
      <w:r>
        <w:rPr>
          <w:rFonts w:ascii="Arial" w:cs="Arial" w:eastAsia="Arial" w:hAnsi="Arial"/>
          <w:sz w:val="17"/>
          <w:szCs w:val="17"/>
          <w:i w:val="1"/>
          <w:iCs w:val="1"/>
          <w:color w:val="auto"/>
        </w:rPr>
        <w:t>technical results</w:t>
      </w:r>
      <w:r>
        <w:rPr>
          <w:rFonts w:ascii="Arial" w:cs="Arial" w:eastAsia="Arial" w:hAnsi="Arial"/>
          <w:sz w:val="17"/>
          <w:szCs w:val="17"/>
          <w:color w:val="auto"/>
        </w:rPr>
        <w:t>, principally in the general insurance segment (PPS) where the claim rate fell 20 points.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Translation results </w:t>
      </w:r>
      <w:r>
        <w:rPr>
          <w:rFonts w:ascii="Arial" w:cs="Arial" w:eastAsia="Arial" w:hAnsi="Arial"/>
          <w:sz w:val="18"/>
          <w:szCs w:val="18"/>
          <w:color w:val="auto"/>
        </w:rPr>
        <w:t>that impacted on net earnings in the quarter was almost null (vs. US$6.5 million loss in 2T08) contributing to increased earnings,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previously affected by a US$ 2.9 million rise in provisioning for </w:t>
      </w:r>
      <w:r>
        <w:rPr>
          <w:rFonts w:ascii="Arial" w:cs="Arial" w:eastAsia="Arial" w:hAnsi="Arial"/>
          <w:sz w:val="18"/>
          <w:szCs w:val="18"/>
          <w:i w:val="1"/>
          <w:iCs w:val="1"/>
          <w:color w:val="auto"/>
        </w:rPr>
        <w:t>income tax</w:t>
      </w:r>
      <w:r>
        <w:rPr>
          <w:rFonts w:ascii="Arial" w:cs="Arial" w:eastAsia="Arial" w:hAnsi="Arial"/>
          <w:sz w:val="18"/>
          <w:szCs w:val="18"/>
          <w:b w:val="1"/>
          <w:b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3Q08</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2Q08</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3Q07</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91"/>
        </w:trPr>
        <w:tc>
          <w:tcPr>
            <w:tcW w:w="3540" w:type="dxa"/>
            <w:vAlign w:val="bottom"/>
          </w:tcPr>
          <w:p>
            <w:pPr>
              <w:spacing w:after="0"/>
              <w:rPr>
                <w:sz w:val="24"/>
                <w:szCs w:val="24"/>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PPS</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PV</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4"/>
                <w:szCs w:val="2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PPS</w:t>
            </w:r>
          </w:p>
        </w:tc>
        <w:tc>
          <w:tcPr>
            <w:tcW w:w="140" w:type="dxa"/>
            <w:vAlign w:val="bottom"/>
          </w:tcPr>
          <w:p>
            <w:pPr>
              <w:spacing w:after="0"/>
              <w:rPr>
                <w:sz w:val="24"/>
                <w:szCs w:val="2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PV</w:t>
            </w:r>
          </w:p>
        </w:tc>
        <w:tc>
          <w:tcPr>
            <w:tcW w:w="120" w:type="dxa"/>
            <w:vAlign w:val="bottom"/>
          </w:tcPr>
          <w:p>
            <w:pPr>
              <w:spacing w:after="0"/>
              <w:rPr>
                <w:sz w:val="24"/>
                <w:szCs w:val="2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4"/>
                <w:szCs w:val="2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PPS</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PV</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4"/>
                <w:szCs w:val="24"/>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77.3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Retained Premiums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48.9</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53.9</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r>
      <w:tr>
        <w:trPr>
          <w:trHeight w:val="216"/>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Net Primiums Earned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45.7</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30.3</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23.1</w:t>
            </w: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premiums earned </w:t>
      </w:r>
      <w:r>
        <w:rPr>
          <w:rFonts w:ascii="Arial" w:cs="Arial" w:eastAsia="Arial" w:hAnsi="Arial"/>
          <w:sz w:val="18"/>
          <w:szCs w:val="18"/>
          <w:color w:val="auto"/>
        </w:rPr>
        <w:t>reached US$ 107 million (7.8% above 2Q08) resulting from strong business growth. On the other hand,</w:t>
      </w:r>
      <w:r>
        <w:rPr>
          <w:rFonts w:ascii="Arial" w:cs="Arial" w:eastAsia="Arial" w:hAnsi="Arial"/>
          <w:sz w:val="18"/>
          <w:szCs w:val="18"/>
          <w:i w:val="1"/>
          <w:iCs w:val="1"/>
          <w:color w:val="auto"/>
        </w:rPr>
        <w:t xml:space="preserve"> net financial revenues </w:t>
      </w:r>
      <w:r>
        <w:rPr>
          <w:rFonts w:ascii="Arial" w:cs="Arial" w:eastAsia="Arial" w:hAnsi="Arial"/>
          <w:sz w:val="18"/>
          <w:szCs w:val="18"/>
          <w:color w:val="auto"/>
        </w:rPr>
        <w:t>reached</w:t>
      </w:r>
      <w:r>
        <w:rPr>
          <w:rFonts w:ascii="Arial" w:cs="Arial" w:eastAsia="Arial" w:hAnsi="Arial"/>
          <w:sz w:val="18"/>
          <w:szCs w:val="18"/>
          <w:i w:val="1"/>
          <w:iCs w:val="1"/>
          <w:color w:val="auto"/>
        </w:rPr>
        <w:t xml:space="preserve"> </w:t>
      </w:r>
      <w:r>
        <w:rPr>
          <w:rFonts w:ascii="Arial" w:cs="Arial" w:eastAsia="Arial" w:hAnsi="Arial"/>
          <w:sz w:val="18"/>
          <w:szCs w:val="18"/>
          <w:color w:val="auto"/>
        </w:rPr>
        <w:t>US$ 23.7 million, of which US$ 6.7 million came from gains on sales of securities, which in turn encloses US$5.9 million for the sale of the investment on Inversiones Centenario to Credicorp.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General expenses </w:t>
      </w:r>
      <w:r>
        <w:rPr>
          <w:rFonts w:ascii="Arial" w:cs="Arial" w:eastAsia="Arial" w:hAnsi="Arial"/>
          <w:sz w:val="17"/>
          <w:szCs w:val="17"/>
          <w:color w:val="auto"/>
        </w:rPr>
        <w:t>increased US$1.3 million, however, expenditures to net premium earned ratio fell slightly from 19.8% in 2Q08 to 19.6% in 3Q08.</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fact, net earnings of US$1.2 million generated in 3Q08 mitigated the loss of US$-6.4 million in the first half of the year to a net cumulative total of US$ 5.2 million to September 2008.</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with respect to PPS’s contribution to Credicorp, net earnings of US$1.2 million in the quarter is generated by the Life segment (PV), which after consolidation adjustments for the gain of US$5.9 million for the sale of Inversiones Centenario to Credicorp and after deducting minorities, lead to a final contribution of US$-3.6 million for the quarter.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Ajustment for</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3380" w:type="dxa"/>
            <w:vAlign w:val="bottom"/>
          </w:tcPr>
          <w:p>
            <w:pPr>
              <w:spacing w:after="0"/>
              <w:rPr>
                <w:sz w:val="20"/>
                <w:szCs w:val="20"/>
                <w:color w:val="auto"/>
              </w:rPr>
            </w:pPr>
            <w:r>
              <w:rPr>
                <w:rFonts w:ascii="Arial" w:cs="Arial" w:eastAsia="Arial" w:hAnsi="Arial"/>
                <w:sz w:val="18"/>
                <w:szCs w:val="18"/>
                <w:color w:val="auto"/>
              </w:rPr>
              <w:t>US$ Thousand</w:t>
            </w: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Net Earnings*</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Consolidation and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0"/>
              </w:rPr>
              <w:t>Total Contribution to</w:t>
            </w: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Period</w:t>
            </w: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PPS</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PV</w:t>
            </w:r>
          </w:p>
        </w:tc>
        <w:tc>
          <w:tcPr>
            <w:tcW w:w="160" w:type="dxa"/>
            <w:vAlign w:val="bottom"/>
          </w:tcPr>
          <w:p>
            <w:pPr>
              <w:spacing w:after="0"/>
              <w:rPr>
                <w:sz w:val="22"/>
                <w:szCs w:val="22"/>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EPS</w:t>
            </w:r>
          </w:p>
        </w:tc>
        <w:tc>
          <w:tcPr>
            <w:tcW w:w="160" w:type="dxa"/>
            <w:vAlign w:val="bottom"/>
          </w:tcPr>
          <w:p>
            <w:pPr>
              <w:spacing w:after="0"/>
              <w:rPr>
                <w:sz w:val="22"/>
                <w:szCs w:val="22"/>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PGA</w:t>
            </w:r>
          </w:p>
        </w:tc>
        <w:tc>
          <w:tcPr>
            <w:tcW w:w="12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Minorities</w:t>
            </w:r>
          </w:p>
        </w:tc>
        <w:tc>
          <w:tcPr>
            <w:tcW w:w="160" w:type="dxa"/>
            <w:vAlign w:val="bottom"/>
          </w:tcPr>
          <w:p>
            <w:pPr>
              <w:spacing w:after="0"/>
              <w:rPr>
                <w:sz w:val="22"/>
                <w:szCs w:val="22"/>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BAP</w:t>
            </w:r>
          </w:p>
        </w:tc>
        <w:tc>
          <w:tcPr>
            <w:tcW w:w="100" w:type="dxa"/>
            <w:vAlign w:val="bottom"/>
          </w:tcPr>
          <w:p>
            <w:pPr>
              <w:spacing w:after="0"/>
              <w:rPr>
                <w:sz w:val="22"/>
                <w:szCs w:val="22"/>
                <w:color w:val="auto"/>
              </w:rPr>
            </w:pPr>
          </w:p>
        </w:tc>
      </w:tr>
      <w:tr>
        <w:trPr>
          <w:trHeight w:val="237"/>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3Q07</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(6,615)</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2,108</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598</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(3,908)</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948</w:t>
            </w:r>
          </w:p>
        </w:tc>
        <w:tc>
          <w:tcPr>
            <w:tcW w:w="1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4Q07</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(3,266)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3,351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1Q08</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(121)</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2,544</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3,093</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(750)</w:t>
            </w:r>
          </w:p>
        </w:tc>
        <w:tc>
          <w:tcPr>
            <w:tcW w:w="1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2Q08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(7,657)</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(9,525)</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2,311</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(7,214)</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3Q08</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(2,537)</w:t>
            </w: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4,569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1,221</w:t>
            </w:r>
          </w:p>
        </w:tc>
        <w:tc>
          <w:tcPr>
            <w:tcW w:w="15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(4,809)</w:t>
            </w:r>
          </w:p>
        </w:tc>
        <w:tc>
          <w:tcPr>
            <w:tcW w:w="1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(3,588)</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Var % 3Q08 / 2Q08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Var % 3Q08 / 3Q07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117%</w:t>
            </w:r>
          </w:p>
        </w:tc>
        <w:tc>
          <w:tcPr>
            <w:tcW w:w="1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n.a.</w:t>
            </w:r>
          </w:p>
        </w:tc>
        <w:tc>
          <w:tcPr>
            <w:tcW w:w="15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1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recent crisis in international financial markets may impact Pacifico Insurance Group through two transmission mechanisms: i) through reinsurance contracts and ii) through investments in financial assets. As regards the first transmission mechanism, PPS holds less than 8% of its property risk through a subsidiary of AIG, New Hampshire Insurance Company (AA- Fitch rating) and less than 12% of its premiums receivable with the latter and other AIG Insurance subsidiaries.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investment portfolio side, Pacifico Life (PV) has an exposure of its total investment with international financial paper side, of which 10% are invested in banks and other insurance companies, 7% in corporate segment and 2% remaining in US. Government bonds or backed by them. In both cases, Pacifico Insurance Group considers that an exposure risk is substantially 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1" w:name="page32"/>
    <w:bookmarkEnd w:id="31"/>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VI.2</w:t>
      </w:r>
      <w:r>
        <w:rPr>
          <w:sz w:val="20"/>
          <w:szCs w:val="20"/>
          <w:color w:val="auto"/>
        </w:rPr>
        <w:tab/>
      </w:r>
      <w:r>
        <w:rPr>
          <w:rFonts w:ascii="Arial" w:cs="Arial" w:eastAsia="Arial" w:hAnsi="Arial"/>
          <w:sz w:val="18"/>
          <w:szCs w:val="18"/>
          <w:b w:val="1"/>
          <w:bCs w:val="1"/>
          <w:color w:val="auto"/>
        </w:rPr>
        <w:t>PACIFICO GENERAL P&amp;C INSURANCE (PPS)</w:t>
      </w:r>
    </w:p>
    <w:p>
      <w:pPr>
        <w:spacing w:after="0" w:line="2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Cumulative results to September 2008 </w:t>
      </w:r>
      <w:r>
        <w:rPr>
          <w:rFonts w:ascii="Arial" w:cs="Arial" w:eastAsia="Arial" w:hAnsi="Arial"/>
          <w:sz w:val="18"/>
          <w:szCs w:val="18"/>
          <w:color w:val="auto"/>
        </w:rPr>
        <w:t>reveal a US$ 10.3 million loss. However, it is worth underscoring five major claims in corporate accounts in the</w:t>
      </w:r>
      <w:r>
        <w:rPr>
          <w:rFonts w:ascii="Arial" w:cs="Arial" w:eastAsia="Arial" w:hAnsi="Arial"/>
          <w:sz w:val="18"/>
          <w:szCs w:val="18"/>
          <w:i w:val="1"/>
          <w:iCs w:val="1"/>
          <w:color w:val="auto"/>
        </w:rPr>
        <w:t xml:space="preserve"> Fire </w:t>
      </w:r>
      <w:r>
        <w:rPr>
          <w:rFonts w:ascii="Arial" w:cs="Arial" w:eastAsia="Arial" w:hAnsi="Arial"/>
          <w:sz w:val="18"/>
          <w:szCs w:val="18"/>
          <w:color w:val="auto"/>
        </w:rPr>
        <w:t>business, for a total of US$ 9 million retention and US$2 million for reinstated reinsurance premiums. To reduce severity in the property business an external audit reviewed exhaustively the policies in force where significant exposure could be identified in the Fire, Technical and Marine hull business lines. Likewise, new measures in subscription policies for these business lines were introduced incorporating new proportional reinsurance schemes and more flexibility in voluntary assignments of portfolio components. Altogether this should allow to officially mitigate withholding severity for claims and, thereby, volatility of results.</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the other hand, claims in the </w:t>
      </w:r>
      <w:r>
        <w:rPr>
          <w:rFonts w:ascii="Arial" w:cs="Arial" w:eastAsia="Arial" w:hAnsi="Arial"/>
          <w:sz w:val="17"/>
          <w:szCs w:val="17"/>
          <w:i w:val="1"/>
          <w:iCs w:val="1"/>
          <w:color w:val="auto"/>
        </w:rPr>
        <w:t>Health Care</w:t>
      </w:r>
      <w:r>
        <w:rPr>
          <w:rFonts w:ascii="Arial" w:cs="Arial" w:eastAsia="Arial" w:hAnsi="Arial"/>
          <w:sz w:val="17"/>
          <w:szCs w:val="17"/>
          <w:color w:val="auto"/>
        </w:rPr>
        <w:t xml:space="preserve"> business also had an impact, although to a lesser degree on cumulative results for September. This was mainly due to an increase in actual risk in this business segment from increased local and foreign cost of health care which have not been timely passed on to the client through new rates or new premiums current in markets. This was further aggravated by increased claim frequency.</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Earnings </w:t>
      </w:r>
      <w:r>
        <w:rPr>
          <w:rFonts w:ascii="Arial" w:cs="Arial" w:eastAsia="Arial" w:hAnsi="Arial"/>
          <w:sz w:val="17"/>
          <w:szCs w:val="17"/>
          <w:color w:val="auto"/>
        </w:rPr>
        <w:t>at PPS in 3Q08 reached US$-2.5 million compared to US$-7.7 million in 2Q08. Despite PPS reduced claims from 105.2% in 2Q08 to 85.4%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3Q08, </w:t>
      </w:r>
      <w:r>
        <w:rPr>
          <w:rFonts w:ascii="Arial" w:cs="Arial" w:eastAsia="Arial" w:hAnsi="Arial"/>
          <w:sz w:val="17"/>
          <w:szCs w:val="17"/>
          <w:i w:val="1"/>
          <w:iCs w:val="1"/>
          <w:color w:val="auto"/>
        </w:rPr>
        <w:t>technical results in 3Q08 reached</w:t>
      </w:r>
      <w:r>
        <w:rPr>
          <w:rFonts w:ascii="Arial" w:cs="Arial" w:eastAsia="Arial" w:hAnsi="Arial"/>
          <w:sz w:val="17"/>
          <w:szCs w:val="17"/>
          <w:color w:val="auto"/>
        </w:rPr>
        <w:t xml:space="preserve"> US$-1.9 million, a figure significant lower than US$-9.4 million of previous quarter. This is mainly accounted for by lower claims in Health Care business mitigated by higher claims in Automobile and Mandatory Car Accident Insurance (SOAT in Peru) business. Claim rates for the general insurance (RRGG in Spanish) fell significantly from 109% in 2Q08 to 74.4% in 3Q08.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0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86"/>
              </w:rPr>
              <w:t>Technical Results by Unit Business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3Q08</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2Q08</w:t>
            </w: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1"/>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210"/>
              <w:spacing w:after="0" w:line="191" w:lineRule="exact"/>
              <w:rPr>
                <w:sz w:val="20"/>
                <w:szCs w:val="20"/>
                <w:color w:val="auto"/>
              </w:rPr>
            </w:pPr>
            <w:r>
              <w:rPr>
                <w:rFonts w:ascii="Arial" w:cs="Arial" w:eastAsia="Arial" w:hAnsi="Arial"/>
                <w:sz w:val="18"/>
                <w:szCs w:val="18"/>
                <w:b w:val="1"/>
                <w:bCs w:val="1"/>
                <w:color w:val="auto"/>
                <w:w w:val="87"/>
              </w:rPr>
              <w:t>Vehicles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c>
          <w:tcPr>
            <w:tcW w:w="96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87"/>
              </w:rPr>
              <w:t>Vehicles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6"/>
                <w:szCs w:val="16"/>
                <w:color w:val="auto"/>
              </w:rPr>
            </w:pPr>
          </w:p>
        </w:tc>
      </w:tr>
      <w:tr>
        <w:trPr>
          <w:trHeight w:val="234"/>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millon</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&amp; SOAT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Assistance</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P&amp;C</w:t>
            </w:r>
          </w:p>
        </w:tc>
        <w:tc>
          <w:tcPr>
            <w:tcW w:w="180" w:type="dxa"/>
            <w:vAlign w:val="bottom"/>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PPS</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&amp; SOAT</w:t>
            </w:r>
          </w:p>
        </w:tc>
        <w:tc>
          <w:tcPr>
            <w:tcW w:w="180" w:type="dxa"/>
            <w:vAlign w:val="bottom"/>
          </w:tcPr>
          <w:p>
            <w:pPr>
              <w:spacing w:after="0"/>
              <w:rPr>
                <w:sz w:val="20"/>
                <w:szCs w:val="20"/>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Assistance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P&amp;C</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PPS</w:t>
            </w:r>
          </w:p>
        </w:tc>
        <w:tc>
          <w:tcPr>
            <w:tcW w:w="180" w:type="dxa"/>
            <w:vAlign w:val="bottom"/>
          </w:tcPr>
          <w:p>
            <w:pPr>
              <w:spacing w:after="0"/>
              <w:rPr>
                <w:sz w:val="20"/>
                <w:szCs w:val="20"/>
                <w:color w:val="auto"/>
              </w:rPr>
            </w:pPr>
          </w:p>
        </w:tc>
      </w:tr>
      <w:tr>
        <w:trPr>
          <w:trHeight w:val="237"/>
        </w:trPr>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Net Premiums Earned</w:t>
            </w:r>
          </w:p>
        </w:tc>
        <w:tc>
          <w:tcPr>
            <w:tcW w:w="9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17.2</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17.1</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45.7</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FFCC"/>
          </w:tcPr>
          <w:p>
            <w:pPr>
              <w:spacing w:after="0"/>
              <w:rPr>
                <w:sz w:val="20"/>
                <w:szCs w:val="20"/>
                <w:color w:val="auto"/>
              </w:rPr>
            </w:pP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17.9</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w:t>
            </w:r>
          </w:p>
        </w:tc>
      </w:tr>
      <w:tr>
        <w:trPr>
          <w:trHeight w:val="243"/>
        </w:trPr>
        <w:tc>
          <w:tcPr>
            <w:tcW w:w="3580" w:type="dxa"/>
            <w:vAlign w:val="bottom"/>
            <w:gridSpan w:val="2"/>
          </w:tcPr>
          <w:p>
            <w:pPr>
              <w:ind w:left="60"/>
              <w:spacing w:after="0"/>
              <w:rPr>
                <w:sz w:val="20"/>
                <w:szCs w:val="20"/>
                <w:color w:val="auto"/>
              </w:rPr>
            </w:pPr>
            <w:r>
              <w:rPr>
                <w:rFonts w:ascii="Arial" w:cs="Arial" w:eastAsia="Arial" w:hAnsi="Arial"/>
                <w:sz w:val="18"/>
                <w:szCs w:val="18"/>
                <w:color w:val="auto"/>
              </w:rPr>
              <w:t>Technical Results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r>
      <w:tr>
        <w:trPr>
          <w:trHeight w:val="243"/>
        </w:trPr>
        <w:tc>
          <w:tcPr>
            <w:tcW w:w="3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Net claims / Earned Net Premiums</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87.1%</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74.4%</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85.4%</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129.6%</w:t>
            </w:r>
          </w:p>
        </w:tc>
        <w:tc>
          <w:tcPr>
            <w:tcW w:w="12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109.0%</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105.2%</w:t>
            </w:r>
          </w:p>
        </w:tc>
      </w:tr>
      <w:tr>
        <w:trPr>
          <w:trHeight w:val="243"/>
        </w:trPr>
        <w:tc>
          <w:tcPr>
            <w:tcW w:w="3580" w:type="dxa"/>
            <w:vAlign w:val="bottom"/>
            <w:gridSpan w:val="2"/>
          </w:tcPr>
          <w:p>
            <w:pPr>
              <w:ind w:left="60"/>
              <w:spacing w:after="0"/>
              <w:rPr>
                <w:sz w:val="20"/>
                <w:szCs w:val="20"/>
                <w:color w:val="auto"/>
              </w:rPr>
            </w:pPr>
            <w:r>
              <w:rPr>
                <w:rFonts w:ascii="Arial" w:cs="Arial" w:eastAsia="Arial" w:hAnsi="Arial"/>
                <w:sz w:val="18"/>
                <w:szCs w:val="18"/>
                <w:color w:val="auto"/>
              </w:rPr>
              <w:t>Technical Results / Earned net Premiums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bl>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Technical result for </w:t>
      </w:r>
      <w:r>
        <w:rPr>
          <w:rFonts w:ascii="Arial" w:cs="Arial" w:eastAsia="Arial" w:hAnsi="Arial"/>
          <w:sz w:val="18"/>
          <w:szCs w:val="18"/>
          <w:i w:val="1"/>
          <w:iCs w:val="1"/>
          <w:color w:val="auto"/>
        </w:rPr>
        <w:t>Automobile and SOAT</w:t>
      </w:r>
      <w:r>
        <w:rPr>
          <w:rFonts w:ascii="Arial" w:cs="Arial" w:eastAsia="Arial" w:hAnsi="Arial"/>
          <w:sz w:val="18"/>
          <w:szCs w:val="18"/>
          <w:color w:val="auto"/>
        </w:rPr>
        <w:t xml:space="preserve"> insurance was US$ -2.3 million, as a consequence of 87.1% claim rates. Overall, this industry has experienced increased claims as a result of a large fleet, a fact that has translated in a larger number of automobile thefts, as well as increased accidents involving private cars and city and intercity transport vehicles. Additionally, rising inflation also had an impact on repair costs for the automobile industry, thus impacting claim rates of these two market businesses. PPS is taking a number of steps to face increased rates and thereby reduce higher claim rates. Constant monitoring has permitted to identify the types of vehicles recording the larger theft rates of heftier repair costs. Immediate action has been taken concerning the specific insurance conditions and deductibles.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Health Care</w:t>
      </w:r>
      <w:r>
        <w:rPr>
          <w:rFonts w:ascii="Arial" w:cs="Arial" w:eastAsia="Arial" w:hAnsi="Arial"/>
          <w:sz w:val="16"/>
          <w:szCs w:val="16"/>
          <w:color w:val="auto"/>
        </w:rPr>
        <w:t xml:space="preserve"> business reached US$ -1.1 million of technical result in 3Q08. The strategy for this business line focuses on reviewing rates and conditions aiming at achieving positive and stable technical results, while remaining competitive through outstanding service. The health care claim rate in 3Q08 reached 99.2%, lower than 129.6% attained in 3Q08. It is worth mentioning that most health care contracts are signed for one year terms. As the portfolio is renewed, the impact of changes in fares and conditions will be reflected by an improved technical result as has already been experienced in 3Q08 compared to 2Q08.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32" w:name="page33"/>
    <w:bookmarkEnd w:id="32"/>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 xml:space="preserve">With respect to </w:t>
      </w:r>
      <w:r>
        <w:rPr>
          <w:rFonts w:ascii="Arial" w:cs="Arial" w:eastAsia="Arial" w:hAnsi="Arial"/>
          <w:sz w:val="17"/>
          <w:szCs w:val="17"/>
          <w:i w:val="1"/>
          <w:iCs w:val="1"/>
          <w:color w:val="auto"/>
        </w:rPr>
        <w:t>the Property and Casualty</w:t>
      </w:r>
      <w:r>
        <w:rPr>
          <w:rFonts w:ascii="Arial" w:cs="Arial" w:eastAsia="Arial" w:hAnsi="Arial"/>
          <w:sz w:val="17"/>
          <w:szCs w:val="17"/>
          <w:color w:val="auto"/>
        </w:rPr>
        <w:t xml:space="preserve"> (RRGG, in Spanish) business lines, these yielded a US$ 1.5 million technical result in 3Q08 compared to US$-3.9 million loss in 2Q08. The nature of some types of insurance comprised in this business line, such as Fire, Technical Insurance, Marine hull Insurance, Transportation, etc, may translate into significant insured amounts and important risk concentrations. Consequently, the strategy of this business line focuses on developing the ability to underwrite risk and manage reinsurance with the main objective of reducing retention rates and volatility of company results. As was mentioned previously, claim rates for RRGG fell in 3Q08, mainly through reduced claims in the fire insurance line.</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PPS net </w:t>
      </w:r>
      <w:r>
        <w:rPr>
          <w:rFonts w:ascii="Arial" w:cs="Arial" w:eastAsia="Arial" w:hAnsi="Arial"/>
          <w:sz w:val="18"/>
          <w:szCs w:val="18"/>
          <w:i w:val="1"/>
          <w:iCs w:val="1"/>
          <w:color w:val="auto"/>
        </w:rPr>
        <w:t>financial revenues</w:t>
      </w:r>
      <w:r>
        <w:rPr>
          <w:rFonts w:ascii="Arial" w:cs="Arial" w:eastAsia="Arial" w:hAnsi="Arial"/>
          <w:sz w:val="18"/>
          <w:szCs w:val="18"/>
          <w:color w:val="auto"/>
        </w:rPr>
        <w:t xml:space="preserve"> reached US$ 8.7 million in 3Q08, US$1 million below 2Q08 figures. The drop was mainly accounted for by lower dividends earned from participation in equity portfolio companies and smaller yield for forward hedging instruments, a consequence of nuevo sol depreciation vis-à-vis the US dollar QoQ. It is worthwhile underscoring that in August extraordinary earnings of US$ 5.9 million from the sale of stock in the Inversiones Centenario portfolio was recorded, which are eliminated in Credicorp’s consolidated process.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short, general insurance management in 3Q08 include the following: (i) revenues from net premiums earned reached a total of US$ 45.7 million in 3Q08, while (ii) total operating costs reached US$ 57.7 million. These results led to a quarterly (iii) </w:t>
      </w:r>
      <w:r>
        <w:rPr>
          <w:rFonts w:ascii="Arial" w:cs="Arial" w:eastAsia="Arial" w:hAnsi="Arial"/>
          <w:sz w:val="17"/>
          <w:szCs w:val="17"/>
          <w:i w:val="1"/>
          <w:iCs w:val="1"/>
          <w:color w:val="auto"/>
        </w:rPr>
        <w:t>combined ratio</w:t>
      </w:r>
      <w:r>
        <w:rPr>
          <w:rFonts w:ascii="Arial" w:cs="Arial" w:eastAsia="Arial" w:hAnsi="Arial"/>
          <w:sz w:val="17"/>
          <w:szCs w:val="17"/>
          <w:color w:val="auto"/>
        </w:rPr>
        <w:t xml:space="preserve"> of 126%, of which 85 points are costs or expenses for net claims, 19 points are attributed to acquisition costs and the remaining 22 points are for general or administrative expenses.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picked these three areas to significantly reduce the combined ratio by controlling claim rates in the three business lines described above, introducing variable acquisition costs vis-à-vis results and enforcing sustained restructuring plan to reduce administrative costs, thus resulting in improved operating efficiency indicators.</w:t>
      </w:r>
    </w:p>
    <w:p>
      <w:pPr>
        <w:spacing w:after="0" w:line="27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VI.3</w:t>
      </w:r>
      <w:r>
        <w:rPr>
          <w:sz w:val="20"/>
          <w:szCs w:val="20"/>
          <w:color w:val="auto"/>
        </w:rPr>
        <w:tab/>
      </w:r>
      <w:r>
        <w:rPr>
          <w:rFonts w:ascii="Arial" w:cs="Arial" w:eastAsia="Arial" w:hAnsi="Arial"/>
          <w:sz w:val="18"/>
          <w:szCs w:val="18"/>
          <w:b w:val="1"/>
          <w:bCs w:val="1"/>
          <w:color w:val="auto"/>
        </w:rPr>
        <w:t>PACIFICO VIDA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Pacifico Vida reached total </w:t>
      </w:r>
      <w:r>
        <w:rPr>
          <w:rFonts w:ascii="Arial" w:cs="Arial" w:eastAsia="Arial" w:hAnsi="Arial"/>
          <w:sz w:val="18"/>
          <w:szCs w:val="18"/>
          <w:i w:val="1"/>
          <w:iCs w:val="1"/>
          <w:color w:val="auto"/>
        </w:rPr>
        <w:t>Earnings before Minority Interest</w:t>
      </w:r>
      <w:r>
        <w:rPr>
          <w:rFonts w:ascii="Arial" w:cs="Arial" w:eastAsia="Arial" w:hAnsi="Arial"/>
          <w:sz w:val="18"/>
          <w:szCs w:val="18"/>
          <w:color w:val="auto"/>
        </w:rPr>
        <w:t xml:space="preserve"> of US$7.4 million in 3Q08, above the US$1.1 million earned in 2Q08.</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change is mainly explained by an increase of 13% of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that reached US$31.3 million in 3Q08. Although the US$45.4 million total premiums production recorded 1.4% QoQ growth, the higher growth of net premiums earned is the consequence of lower reserve requirements in 3Q08, mainly accounted for sales of life annuities, which had reserves of US$ 1.9 million, lower than that in previous quarter due to lower premiums generated and also extends from saving-linked individual life products, which had a reserve of US$0.8 million.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Total Premiums</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4"/>
              </w:rPr>
              <w:t>Change %</w:t>
            </w:r>
          </w:p>
        </w:tc>
        <w:tc>
          <w:tcPr>
            <w:tcW w:w="8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3Q08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2Q08</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3Q07</w:t>
            </w:r>
          </w:p>
        </w:tc>
        <w:tc>
          <w:tcPr>
            <w:tcW w:w="160" w:type="dxa"/>
            <w:vAlign w:val="bottom"/>
          </w:tcPr>
          <w:p>
            <w:pPr>
              <w:spacing w:after="0"/>
              <w:rPr>
                <w:sz w:val="22"/>
                <w:szCs w:val="22"/>
                <w:color w:val="auto"/>
              </w:rPr>
            </w:pPr>
          </w:p>
        </w:tc>
      </w:tr>
      <w:tr>
        <w:trPr>
          <w:trHeight w:val="237"/>
        </w:trPr>
        <w:tc>
          <w:tcPr>
            <w:tcW w:w="51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Individual life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FFCC"/>
          </w:tcPr>
          <w:p>
            <w:pPr>
              <w:spacing w:after="0"/>
              <w:rPr>
                <w:sz w:val="20"/>
                <w:szCs w:val="20"/>
                <w:color w:val="auto"/>
              </w:rPr>
            </w:pPr>
          </w:p>
        </w:tc>
        <w:tc>
          <w:tcPr>
            <w:tcW w:w="13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36.2%</w:t>
            </w:r>
          </w:p>
        </w:tc>
      </w:tr>
      <w:tr>
        <w:trPr>
          <w:trHeight w:val="243"/>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Individual annuity</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43"/>
        </w:trPr>
        <w:tc>
          <w:tcPr>
            <w:tcW w:w="51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Disability &amp; survivor (Pension)</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16.9%</w:t>
            </w:r>
          </w:p>
        </w:tc>
      </w:tr>
      <w:tr>
        <w:trPr>
          <w:trHeight w:val="243"/>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Credit Life</w:t>
            </w: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114.7%</w:t>
            </w:r>
          </w:p>
        </w:tc>
      </w:tr>
      <w:tr>
        <w:trPr>
          <w:trHeight w:val="243"/>
        </w:trPr>
        <w:tc>
          <w:tcPr>
            <w:tcW w:w="51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Personal accidents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w:t>
            </w:r>
          </w:p>
        </w:tc>
      </w:tr>
      <w:tr>
        <w:trPr>
          <w:trHeight w:val="243"/>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Group life (Law)</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35.5%</w:t>
            </w:r>
          </w:p>
        </w:tc>
      </w:tr>
      <w:tr>
        <w:trPr>
          <w:trHeight w:val="243"/>
        </w:trPr>
        <w:tc>
          <w:tcPr>
            <w:tcW w:w="51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Group Life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w:t>
            </w:r>
          </w:p>
        </w:tc>
      </w:tr>
      <w:tr>
        <w:trPr>
          <w:trHeight w:val="270"/>
        </w:trPr>
        <w:tc>
          <w:tcPr>
            <w:tcW w:w="5100" w:type="dxa"/>
            <w:vAlign w:val="bottom"/>
            <w:gridSpan w:val="2"/>
          </w:tcPr>
          <w:p>
            <w:pPr>
              <w:ind w:left="60"/>
              <w:spacing w:after="0"/>
              <w:rPr>
                <w:sz w:val="20"/>
                <w:szCs w:val="20"/>
                <w:color w:val="auto"/>
              </w:rPr>
            </w:pPr>
            <w:r>
              <w:rPr>
                <w:rFonts w:ascii="Arial" w:cs="Arial" w:eastAsia="Arial" w:hAnsi="Arial"/>
                <w:sz w:val="18"/>
                <w:szCs w:val="18"/>
                <w:color w:val="auto"/>
              </w:rPr>
              <w:t>Limited workers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3"/>
                <w:szCs w:val="23"/>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56.5%</w:t>
            </w:r>
          </w:p>
        </w:tc>
      </w:tr>
      <w:tr>
        <w:trPr>
          <w:trHeight w:val="20"/>
        </w:trPr>
        <w:tc>
          <w:tcPr>
            <w:tcW w:w="5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9"/>
        </w:trPr>
        <w:tc>
          <w:tcPr>
            <w:tcW w:w="5100" w:type="dxa"/>
            <w:vAlign w:val="bottom"/>
            <w:tcBorders>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45.4</w:t>
            </w:r>
          </w:p>
        </w:tc>
        <w:tc>
          <w:tcPr>
            <w:tcW w:w="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23.3%</w:t>
            </w:r>
          </w:p>
        </w:tc>
      </w:tr>
      <w:tr>
        <w:trPr>
          <w:trHeight w:val="480"/>
        </w:trPr>
        <w:tc>
          <w:tcPr>
            <w:tcW w:w="488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32</w:t>
            </w:r>
          </w:p>
        </w:tc>
        <w:tc>
          <w:tcPr>
            <w:tcW w:w="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r>
      <w:tr>
        <w:trPr>
          <w:trHeight w:val="118"/>
        </w:trPr>
        <w:tc>
          <w:tcPr>
            <w:tcW w:w="4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 xml:space="preserve">Net financial revenues </w:t>
      </w:r>
      <w:r>
        <w:rPr>
          <w:rFonts w:ascii="Arial" w:cs="Arial" w:eastAsia="Arial" w:hAnsi="Arial"/>
          <w:sz w:val="18"/>
          <w:szCs w:val="18"/>
          <w:color w:val="auto"/>
        </w:rPr>
        <w:t>reached US$15 million during this quarter and are comprise of US$1.1 million of realized gains that are principally accounted for by</w:t>
      </w:r>
      <w:r>
        <w:rPr>
          <w:rFonts w:ascii="Arial" w:cs="Arial" w:eastAsia="Arial" w:hAnsi="Arial"/>
          <w:sz w:val="18"/>
          <w:szCs w:val="18"/>
          <w:i w:val="1"/>
          <w:iCs w:val="1"/>
          <w:color w:val="auto"/>
        </w:rPr>
        <w:t xml:space="preserve"> </w:t>
      </w:r>
      <w:r>
        <w:rPr>
          <w:rFonts w:ascii="Arial" w:cs="Arial" w:eastAsia="Arial" w:hAnsi="Arial"/>
          <w:sz w:val="18"/>
          <w:szCs w:val="18"/>
          <w:color w:val="auto"/>
        </w:rPr>
        <w:t>savings of Global 2033 bonds issued by the Government of Peru that are part of a future’s portfolio matching strategy. The remaining financial revenues were originated by yields of US$ 699 million of investment portfolio.</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expenses </w:t>
      </w:r>
      <w:r>
        <w:rPr>
          <w:rFonts w:ascii="Arial" w:cs="Arial" w:eastAsia="Arial" w:hAnsi="Arial"/>
          <w:sz w:val="18"/>
          <w:szCs w:val="18"/>
          <w:color w:val="auto"/>
        </w:rPr>
        <w:t>increased 12% with respect to the previous quarter, reaching US$ 8.4 million. Nonetheless the expenditures to net premiums earned ratio</w:t>
      </w:r>
      <w:r>
        <w:rPr>
          <w:rFonts w:ascii="Arial" w:cs="Arial" w:eastAsia="Arial" w:hAnsi="Arial"/>
          <w:sz w:val="18"/>
          <w:szCs w:val="18"/>
          <w:i w:val="1"/>
          <w:iCs w:val="1"/>
          <w:color w:val="auto"/>
        </w:rPr>
        <w:t xml:space="preserve"> </w:t>
      </w:r>
      <w:r>
        <w:rPr>
          <w:rFonts w:ascii="Arial" w:cs="Arial" w:eastAsia="Arial" w:hAnsi="Arial"/>
          <w:sz w:val="18"/>
          <w:szCs w:val="18"/>
          <w:color w:val="auto"/>
        </w:rPr>
        <w:t>fell from 27.3% in 2Q08 to 27.0% in 3Q08.</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VI.4</w:t>
      </w:r>
      <w:r>
        <w:rPr>
          <w:sz w:val="20"/>
          <w:szCs w:val="20"/>
          <w:color w:val="auto"/>
        </w:rPr>
        <w:tab/>
      </w:r>
      <w:r>
        <w:rPr>
          <w:rFonts w:ascii="Arial" w:cs="Arial" w:eastAsia="Arial" w:hAnsi="Arial"/>
          <w:sz w:val="18"/>
          <w:szCs w:val="18"/>
          <w:b w:val="1"/>
          <w:bCs w:val="1"/>
          <w:color w:val="auto"/>
        </w:rPr>
        <w:t>PACIFICO HEALTH (EPS)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PS EPS results reached US$0.9 million loss in 3Q08, 67% lower than US$2.7 million recorded in 2Q08.</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Technical results </w:t>
      </w:r>
      <w:r>
        <w:rPr>
          <w:rFonts w:ascii="Arial" w:cs="Arial" w:eastAsia="Arial" w:hAnsi="Arial"/>
          <w:sz w:val="17"/>
          <w:szCs w:val="17"/>
          <w:color w:val="auto"/>
        </w:rPr>
        <w:t>reached US$1.4 million, 23% higher than that in prior quarter. Such increase is mainly explained by (i) an increase of 7% QoQ of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which totaled US$30.3 million, (ii) and also lower claim rate which in 3Q08 was 89.2% (0.6 points lower than that in 2Q08).</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Claims are above projections and mainly accounted for 90% claims in the (group) standard health insurance contracts that comprised to 236,000 clients (56% market share). Such increased claim rates is accounted for by inflation in health care costs, as well as an increase in file closures. Likewise, quarterly claims rates were impacted significantly by larger provisioning for incurred but not reported claims (IBNR) that reached US$1.3 million in 3Q08 compared to US$0.2 million in 2Q08.</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 reduce the claims rate, a plan is currently being introduced to standardize increased rates, co-insurance and deductibles for large consumption accounts. Terms of health care contracts are currently under review to reduce service costs and improve technical results. In addition, to better implement these measures, the customer portfolio is now undergoing into a segmentation, which will result in more accurate management indicators.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Complementary Risk Work Insurance recorded 2 points higher claims rate quarter over quarter, and remained at about 46%. However, these premiums account for only 10% of the total premiums.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760" w:type="dxa"/>
            <w:vAlign w:val="bottom"/>
            <w:gridSpan w:val="4"/>
          </w:tcPr>
          <w:p>
            <w:pPr>
              <w:ind w:left="680"/>
              <w:spacing w:after="0"/>
              <w:rPr>
                <w:sz w:val="20"/>
                <w:szCs w:val="20"/>
                <w:color w:val="auto"/>
              </w:rPr>
            </w:pPr>
            <w:r>
              <w:rPr>
                <w:rFonts w:ascii="Arial" w:cs="Arial" w:eastAsia="Arial" w:hAnsi="Arial"/>
                <w:sz w:val="18"/>
                <w:szCs w:val="18"/>
                <w:b w:val="1"/>
                <w:bCs w:val="1"/>
                <w:color w:val="auto"/>
                <w:w w:val="92"/>
              </w:rPr>
              <w:t>Group Health</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Workers Compensation</w:t>
            </w:r>
          </w:p>
        </w:tc>
        <w:tc>
          <w:tcPr>
            <w:tcW w:w="27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Individual Health</w:t>
            </w:r>
          </w:p>
        </w:tc>
      </w:tr>
      <w:tr>
        <w:trPr>
          <w:trHeight w:val="191"/>
        </w:trPr>
        <w:tc>
          <w:tcPr>
            <w:tcW w:w="3360" w:type="dxa"/>
            <w:vAlign w:val="bottom"/>
          </w:tcPr>
          <w:p>
            <w:pPr>
              <w:spacing w:after="0"/>
              <w:rPr>
                <w:sz w:val="16"/>
                <w:szCs w:val="16"/>
                <w:color w:val="auto"/>
              </w:rPr>
            </w:pPr>
          </w:p>
        </w:tc>
        <w:tc>
          <w:tcPr>
            <w:tcW w:w="960" w:type="dxa"/>
            <w:vAlign w:val="bottom"/>
            <w:tcBorders>
              <w:top w:val="single" w:sz="8" w:color="auto"/>
            </w:tcBorders>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w w:val="94"/>
              </w:rPr>
              <w:t>Premiums</w:t>
            </w: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4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100"/>
              <w:spacing w:after="0" w:line="191" w:lineRule="exact"/>
              <w:rPr>
                <w:sz w:val="20"/>
                <w:szCs w:val="20"/>
                <w:color w:val="auto"/>
              </w:rPr>
            </w:pPr>
            <w:r>
              <w:rPr>
                <w:rFonts w:ascii="Arial" w:cs="Arial" w:eastAsia="Arial" w:hAnsi="Arial"/>
                <w:sz w:val="18"/>
                <w:szCs w:val="18"/>
                <w:b w:val="1"/>
                <w:bCs w:val="1"/>
                <w:color w:val="auto"/>
                <w:w w:val="94"/>
              </w:rPr>
              <w:t>Premiums</w:t>
            </w: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Premiums</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Claims</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Claims</w:t>
            </w:r>
          </w:p>
        </w:tc>
        <w:tc>
          <w:tcPr>
            <w:tcW w:w="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Claims</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Claims</w:t>
            </w: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Claims</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claims</w:t>
            </w:r>
          </w:p>
        </w:tc>
        <w:tc>
          <w:tcPr>
            <w:tcW w:w="180" w:type="dxa"/>
            <w:vAlign w:val="bottom"/>
          </w:tcPr>
          <w:p>
            <w:pPr>
              <w:spacing w:after="0"/>
              <w:rPr>
                <w:sz w:val="20"/>
                <w:szCs w:val="20"/>
                <w:color w:val="auto"/>
              </w:rPr>
            </w:pPr>
          </w:p>
        </w:tc>
      </w:tr>
      <w:tr>
        <w:trPr>
          <w:trHeight w:val="237"/>
        </w:trPr>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2Q08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24.9</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89.1%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43.5%</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115.6%</w:t>
            </w: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3Q08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r>
      <w:tr>
        <w:trPr>
          <w:trHeight w:val="230"/>
        </w:trPr>
        <w:tc>
          <w:tcPr>
            <w:tcW w:w="3360" w:type="dxa"/>
            <w:vAlign w:val="bottom"/>
          </w:tcPr>
          <w:p>
            <w:pPr>
              <w:spacing w:after="0"/>
              <w:rPr>
                <w:sz w:val="20"/>
                <w:szCs w:val="20"/>
                <w:color w:val="auto"/>
              </w:rPr>
            </w:pPr>
            <w:r>
              <w:rPr>
                <w:rFonts w:ascii="Arial" w:cs="Arial" w:eastAsia="Arial" w:hAnsi="Arial"/>
                <w:sz w:val="18"/>
                <w:szCs w:val="18"/>
                <w:i w:val="1"/>
                <w:iCs w:val="1"/>
                <w:color w:val="auto"/>
              </w:rPr>
              <w:t>US$ millon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General expenses </w:t>
      </w:r>
      <w:r>
        <w:rPr>
          <w:rFonts w:ascii="Arial" w:cs="Arial" w:eastAsia="Arial" w:hAnsi="Arial"/>
          <w:sz w:val="16"/>
          <w:szCs w:val="16"/>
          <w:color w:val="auto"/>
        </w:rPr>
        <w:t>totaled US$ 2.7 million, 7% above 2Q08 figures, principally due to larger reorganization expenses and regularization of 2Q08 revenues.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However, EPS cost management and containment has allowed preserving stable </w:t>
      </w:r>
      <w:r>
        <w:rPr>
          <w:rFonts w:ascii="Arial" w:cs="Arial" w:eastAsia="Arial" w:hAnsi="Arial"/>
          <w:sz w:val="16"/>
          <w:szCs w:val="16"/>
          <w:i w:val="1"/>
          <w:iCs w:val="1"/>
          <w:color w:val="auto"/>
        </w:rPr>
        <w:t>general expenses</w:t>
      </w:r>
      <w:r>
        <w:rPr>
          <w:rFonts w:ascii="Arial" w:cs="Arial" w:eastAsia="Arial" w:hAnsi="Arial"/>
          <w:sz w:val="16"/>
          <w:szCs w:val="16"/>
          <w:color w:val="auto"/>
        </w:rPr>
        <w:t xml:space="preserve"> to net premiums earned of 9% and </w:t>
      </w:r>
      <w:r>
        <w:rPr>
          <w:rFonts w:ascii="Arial" w:cs="Arial" w:eastAsia="Arial" w:hAnsi="Arial"/>
          <w:sz w:val="16"/>
          <w:szCs w:val="16"/>
          <w:i w:val="1"/>
          <w:iCs w:val="1"/>
          <w:color w:val="auto"/>
        </w:rPr>
        <w:t>acquisition costs</w:t>
      </w:r>
      <w:r>
        <w:rPr>
          <w:rFonts w:ascii="Arial" w:cs="Arial" w:eastAsia="Arial" w:hAnsi="Arial"/>
          <w:sz w:val="16"/>
          <w:szCs w:val="16"/>
          <w:color w:val="auto"/>
        </w:rPr>
        <w:t xml:space="preserve"> of 6%.</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VII. ECONOMIC OUTLOOK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Peru’s economy grew 8.9% in August. This was the first time since August last year when the growth rate fell below double digits for two consecutive months (July’s growth reached 8.3%). Slower growth reflected mainly a slowdown in government spending that resulted in reduced demand, coupled with a slip in primary manufacturing from lower output of precious and non ferrous metals, linked to slower production of blister copper, refined copper, refined gold and copper wire. Peru’s economy has expanded 9.9% in the twelve months to date driven mainly by lively investments, both public and private, and production for the local market, including construction and non primary manufacturing.</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Construction grew an average 18.2% in the twelve months to date, driven by urban renewal works like the upgrading of the Arequipa and Petit Thouars thoroughfares in Lima, underground and surface construction at the G-1El Platanal hydropower plant in Cañete, the gas liquefaction plant in Pampa Melchorita in Pisco, and construction at the San Cristóbal, Andaychagua, Carahuacra and Mahr Túnel mines in Junín, and various shopping centers, among others.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Meanwhile, non primary manufacturing grew 10.9% over the same period, mainly accounted for by larger output of capital (+31.0%) and intermediate (+15.1%) goods, reflecting in turn a steady strengthening of manufacturing targeting local demand. Primary manufacturing on the other hand has slowed down (+2.8% growth) mainly because of reduced fishmeal and canned fish output, and despite a livelier sugar industry.</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risk created by the ongoing international financial crisis the growth outlook for coming months is still optimistic, underpinned by a dynamic internal market, although the lively pace is expected to slow down as 2009 wears on when the combined impact of higher interest and foreign exchange rates together with less disposable income starts to be felt.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5715</wp:posOffset>
            </wp:positionV>
            <wp:extent cx="2881630" cy="1929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8163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INEI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External Sector</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foreign trade surplus in the 12 months to August reached US$ 6.3 billion, or US$ 2.1 billion lower that the surplus at the end of 2007. This is accounted for by yearly adjusted growth of imports by 54.9% (principally capital goods and inputs, steeper crude and food quotations compared to 2007) all of which offset the 26.6% growth of exports. In the 12 months ending in August 2008, exports totaled US$ 32.6 billion. Non conventional exports grew 25.7%, slightly less than conventional foreign sales (+ 26.7%).</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Imports of inputs grew 56.4% while inputs of capital goods rose 58.9%. Consumer goods increased the least (44.1%). After discounting for the prices effect, imports grew at an annually adjusted 34.7% (31.8% at the end of 2007), reflecting a still strong domestic demand. Finally, as a response to sustained foreign currency sales by the Central Bank of Peru (BCR in Spanish), international currency reserves have slipped since August and by mid-October have reached US$ 34.1 billion (after having peaked at US$ 35.6 billion, in April 2008).</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5715</wp:posOffset>
            </wp:positionV>
            <wp:extent cx="2838450" cy="1715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3845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Source: BCRP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Exchange rate</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September 2008, cumulative inflation in Metropolitan Lima for the 12 months to date reached 6.2%, significantly above the Central Bank’s target range (2% ± 1%) and last year’s rate (3.9%). This is the highest rate since inflation targeting was introduced in 2002 and in spite of moderate monthly price increases. Despite corrections in international food prices, local fuel prices have increased as a reset of the government’s decision to reduce its contribution to the Fuel Price Stabilization Fund. Given the grim world economic outlook, commodities’ prices may remain low, reducing inflation pressures in coming months. The Central Bank of Peru has cut its legal reserves rate for both domestic and foreign currency deposits, although they are still above those registered at the beginning of the year. In an international scene of decreased risk and search for liquid safe assets, investors may be leaving emerging markets, with an added impact on higher exchange rates in Latin America, overall, and in Peru in particular. The revaluations observed in the first half have been reverted and the nuevo sol has now depreciated by about 3.0% so far this year. Such depreciation took place despite BCR interventions in the foreign currency market. BCR’s interventions were efficient in mitigating exchange rate volatility but were unable to revert the sliding trend. BCR sales since June have exceeded US$ 4.7 billion, so that net dollar purchases this year has barely exceeded US$ 4 billion. Although volatility has increased in recent weeks, the exchange rate is now about S/. 3.09.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6" w:name="page37"/>
    <w:bookmarkEnd w:id="36"/>
    <w:p>
      <w:pPr>
        <w:jc w:val="center"/>
        <w:ind w:right="68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20320</wp:posOffset>
            </wp:positionV>
            <wp:extent cx="2881630" cy="1826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81630" cy="1826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16"/>
          <w:szCs w:val="16"/>
          <w:b w:val="1"/>
          <w:bCs w:val="1"/>
          <w:color w:val="auto"/>
        </w:rPr>
        <w:t>Exchange Rate and purchases US$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-644525</wp:posOffset>
            </wp:positionV>
            <wp:extent cx="1260475" cy="368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60475" cy="368935"/>
                    </a:xfrm>
                    <a:prstGeom prst="rect">
                      <a:avLst/>
                    </a:prstGeom>
                    <a:noFill/>
                  </pic:spPr>
                </pic:pic>
              </a:graphicData>
            </a:graphic>
          </wp:anchor>
        </w:drawing>
      </w:r>
    </w:p>
    <w:p>
      <w:pPr>
        <w:spacing w:after="0" w:line="30"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5715</wp:posOffset>
            </wp:positionV>
            <wp:extent cx="2821305" cy="17322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21305" cy="17322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620"/>
          </w:cols>
          <w:pgMar w:left="240" w:top="97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INEI, BCR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nine months this year, the Central Government’s tax revenues, excluding Income Tax Back Payments, grew a real 12.3% compared to the same period in 2007, while in September increases reached 15.9%. Such positive evolution in tax collection took place despite two tariff reduction since October last year and the gradual fall in the fuel excise tax, against a background of lively domestic demand and growth. On the expenditure side, public investment continued growing, both at the national and local and regional government levels. As a result, despite higher tax collection the government surplus may fall below 2007 figures (2.2% of GDP this year compared to 3.1% of GDP last year).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5715</wp:posOffset>
            </wp:positionV>
            <wp:extent cx="2933065" cy="19894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3306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Source: Sunat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Banking System</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BCR data to September revealed dollar denominated bank loans continued to grow strongly, at an annual 34.9% (41.0% at the end of 2007). This happened despite the relevant strength of the Nuevo sol domestic currency (a comparison between exchange rates to September 2008 and September 2007 shows a fall from S/. 3.086 to S/. 2.976 in recent months). In nuevos soles, loans grew 30.1% to that date while at the end of 2007, they had expanded 30.9%, the largest annual growth loans are still consumer loans (45.1% in dollars to September 47.3% at year end 2007), although commercial and micro business loans also expanded significantly (by 34.3%). Home loans rose from 16.3% in December 2007 to an annual 24.3% in September.</w:t>
      </w: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Deposits continued to grow. Dollar denominated deposits grew 36.7% since last September (30.8% larger at year end 2007). Growth was driven mainly by time deposits (50.8%) as other deposits (demand, savings and severance compensation accounts) grew below average rates.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a few moths ago the US dollar’s share of the local banking system had been falling at a fast pace. Now, though not totally reverted, the downward trend seems to have stopped. The drop recorded in dollar denominated business was mainly in dollar denominated savings that fell from 59.3% to 50.9%, and a smaller share of demand deposits in dollars, down from 52.4% to 47.7%. Loans in dollars are also decreasing and account now for 58.9% of total loans (62.5% in September last year). A drop in dollar denominated home loans, the most resilient product to de-dollarize, (down from 82.5% to 71.8%) is also worth highlighting.</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rates were stable with a slight upward trend in recent months. This was in line with the Central Bank’s goal to gradually reduce loans growth and avoid overheating the economy, but it also reflected a tougher international economy. The lending rate in local currency reached 24.3% at the end of September (22.3% a year earlier) while the same rate in dollars climbed moderately to close at 10.8% at the end of September as well (10.5% at the end of September 2007). Banks paid 3.7% and 2.3% in local and dollar currency deposits respectively at September close. These rates are worthwhile mentioning since they are slightly lower than one year ago (3.3% and 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Main Financial Indicators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82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2008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IQ</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IIQ</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IIIQ</w:t>
            </w:r>
          </w:p>
        </w:tc>
        <w:tc>
          <w:tcPr>
            <w:tcW w:w="120" w:type="dxa"/>
            <w:vAlign w:val="bottom"/>
          </w:tcPr>
          <w:p>
            <w:pPr>
              <w:spacing w:after="0"/>
              <w:rPr>
                <w:sz w:val="23"/>
                <w:szCs w:val="23"/>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IVQ</w:t>
            </w:r>
          </w:p>
        </w:tc>
        <w:tc>
          <w:tcPr>
            <w:tcW w:w="140" w:type="dxa"/>
            <w:vAlign w:val="bottom"/>
          </w:tcPr>
          <w:p>
            <w:pPr>
              <w:spacing w:after="0"/>
              <w:rPr>
                <w:sz w:val="23"/>
                <w:szCs w:val="2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 (E)</w:t>
            </w:r>
          </w:p>
        </w:tc>
        <w:tc>
          <w:tcPr>
            <w:tcW w:w="140" w:type="dxa"/>
            <w:vAlign w:val="bottom"/>
          </w:tcPr>
          <w:p>
            <w:pPr>
              <w:spacing w:after="0"/>
              <w:rPr>
                <w:sz w:val="23"/>
                <w:szCs w:val="23"/>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IQ</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IIQ</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GDP (US$ MM)</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92,441</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23,731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27,310</w:t>
            </w:r>
          </w:p>
        </w:tc>
        <w:tc>
          <w:tcPr>
            <w:tcW w:w="18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26,714</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29,763</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107,517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30,160</w:t>
            </w:r>
          </w:p>
        </w:tc>
        <w:tc>
          <w:tcPr>
            <w:tcW w:w="200" w:type="dxa"/>
            <w:vAlign w:val="bottom"/>
            <w:shd w:val="clear" w:color="auto" w:fill="CCFFCC"/>
          </w:tcPr>
          <w:p>
            <w:pPr>
              <w:spacing w:after="0"/>
              <w:rPr>
                <w:sz w:val="20"/>
                <w:szCs w:val="20"/>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34,695</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Real GDP (var.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GDP per-cápita (US$)</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3,400</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3,436</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3,942</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3,844</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4,271</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3,873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4,315</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Domestic demand (var.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Consumption (var. %)</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6.4</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8.3</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3820" w:type="dxa"/>
            <w:vAlign w:val="bottom"/>
          </w:tcPr>
          <w:p>
            <w:pPr>
              <w:ind w:left="340"/>
              <w:spacing w:after="0"/>
              <w:rPr>
                <w:sz w:val="20"/>
                <w:szCs w:val="20"/>
                <w:color w:val="auto"/>
              </w:rPr>
            </w:pPr>
            <w:r>
              <w:rPr>
                <w:rFonts w:ascii="Arial" w:cs="Arial" w:eastAsia="Arial" w:hAnsi="Arial"/>
                <w:sz w:val="18"/>
                <w:szCs w:val="18"/>
                <w:color w:val="auto"/>
              </w:rPr>
              <w:t>Private Investment (var.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18.9</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CPI (annual change, %)</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0.3</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Exchange rate, eop (S/. per US$)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Devaluation (annual change, %)</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-6.8</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-6.1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Exchange rate, average (S/. per US$)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3.26</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Non-Financial Public Sector (% of GDP)</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2.1</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3820" w:type="dxa"/>
            <w:vAlign w:val="bottom"/>
          </w:tcPr>
          <w:p>
            <w:pPr>
              <w:ind w:left="180"/>
              <w:spacing w:after="0" w:line="201" w:lineRule="exact"/>
              <w:rPr>
                <w:sz w:val="20"/>
                <w:szCs w:val="20"/>
                <w:color w:val="auto"/>
              </w:rPr>
            </w:pPr>
            <w:r>
              <w:rPr>
                <w:rFonts w:ascii="Arial" w:cs="Arial" w:eastAsia="Arial" w:hAnsi="Arial"/>
                <w:sz w:val="18"/>
                <w:szCs w:val="18"/>
                <w:color w:val="auto"/>
              </w:rPr>
              <w:t>Central government current revenues (% of</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17.4</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18.2</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GDP)</w:t>
            </w:r>
          </w:p>
        </w:tc>
        <w:tc>
          <w:tcPr>
            <w:tcW w:w="840" w:type="dxa"/>
            <w:vAlign w:val="bottom"/>
            <w:gridSpan w:val="2"/>
            <w:vMerge w:val="continue"/>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000" w:type="dxa"/>
            <w:vAlign w:val="bottom"/>
            <w:gridSpan w:val="2"/>
            <w:vMerge w:val="continue"/>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Tax Income (% of GDP)</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15.0</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15.1</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14.5</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15.6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3820" w:type="dxa"/>
            <w:vAlign w:val="bottom"/>
          </w:tcPr>
          <w:p>
            <w:pPr>
              <w:ind w:left="340"/>
              <w:spacing w:after="0"/>
              <w:rPr>
                <w:sz w:val="20"/>
                <w:szCs w:val="20"/>
                <w:color w:val="auto"/>
              </w:rPr>
            </w:pPr>
            <w:r>
              <w:rPr>
                <w:rFonts w:ascii="Arial" w:cs="Arial" w:eastAsia="Arial" w:hAnsi="Arial"/>
                <w:sz w:val="18"/>
                <w:szCs w:val="18"/>
                <w:color w:val="auto"/>
              </w:rPr>
              <w:t>Non Tax Income (% of GDP)</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expenditures (% of GDP)</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12.3</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11.8</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Capital expenditures (% of GDP)</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Trade Balance (US$ MM)</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8,934</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1,539</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2,245</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2,273</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8,356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1,479</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Arial" w:cs="Arial" w:eastAsia="Arial" w:hAnsi="Arial"/>
                <w:sz w:val="18"/>
                <w:szCs w:val="18"/>
                <w:color w:val="auto"/>
              </w:rPr>
              <w:t>Exports (US$ MM)</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23,800</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5,747</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6,741</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7,594</w:t>
            </w:r>
          </w:p>
        </w:tc>
        <w:tc>
          <w:tcPr>
            <w:tcW w:w="1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7,874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27,956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7,742</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Imports (US$ MM)</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14,866</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4,208</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4,497</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5,601</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19,599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6,263</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Current Account Balance (US$ MM)</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544</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1,505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20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43"/>
        </w:trPr>
        <w:tc>
          <w:tcPr>
            <w:tcW w:w="3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Current Account Balance (% of GDP)</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3.0</w:t>
            </w:r>
          </w:p>
        </w:tc>
        <w:tc>
          <w:tcPr>
            <w:tcW w:w="92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0.4</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1.4</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29"/>
        </w:trPr>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w w:val="99"/>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8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Company Description:</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r>
        <w:rPr>
          <w:rFonts w:ascii="Arial" w:cs="Arial" w:eastAsia="Arial" w:hAnsi="Arial"/>
          <w:sz w:val="18"/>
          <w:szCs w:val="18"/>
          <w:color w:val="auto"/>
        </w:rPr>
        <w: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CREDICORP LTD.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As of</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08/</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Sep. 08/</w:t>
            </w:r>
          </w:p>
        </w:tc>
      </w:tr>
      <w:tr>
        <w:trPr>
          <w:trHeight w:val="270"/>
        </w:trPr>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Sep.2008</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June 2008</w:t>
            </w: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Sep.2007</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 07</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08</w:t>
            </w:r>
          </w:p>
        </w:tc>
      </w:tr>
      <w:tr>
        <w:trPr>
          <w:trHeight w:val="237"/>
        </w:trPr>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4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4300" w:type="dxa"/>
            <w:vAlign w:val="bottom"/>
            <w:shd w:val="clear" w:color="auto" w:fill="CCFFCC"/>
          </w:tcPr>
          <w:p>
            <w:pPr>
              <w:ind w:left="15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51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591,053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535,737</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541,062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10.3%</w:t>
            </w: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3,365,197</w:t>
            </w:r>
          </w:p>
        </w:tc>
        <w:tc>
          <w:tcPr>
            <w:tcW w:w="1140" w:type="dxa"/>
            <w:vAlign w:val="bottom"/>
          </w:tcPr>
          <w:p>
            <w:pPr>
              <w:jc w:val="right"/>
              <w:spacing w:after="0"/>
              <w:rPr>
                <w:sz w:val="20"/>
                <w:szCs w:val="20"/>
                <w:color w:val="auto"/>
              </w:rPr>
            </w:pPr>
            <w:r>
              <w:rPr>
                <w:rFonts w:ascii="Arial" w:cs="Arial" w:eastAsia="Arial" w:hAnsi="Arial"/>
                <w:sz w:val="18"/>
                <w:szCs w:val="18"/>
                <w:color w:val="auto"/>
              </w:rPr>
              <w:t>2,624,343</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1,891,059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28.2%</w:t>
            </w:r>
          </w:p>
        </w:tc>
      </w:tr>
      <w:tr>
        <w:trPr>
          <w:trHeight w:val="270"/>
        </w:trPr>
        <w:tc>
          <w:tcPr>
            <w:tcW w:w="4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4300" w:type="dxa"/>
            <w:vAlign w:val="bottom"/>
            <w:shd w:val="clear" w:color="auto" w:fill="CCFFCC"/>
          </w:tcPr>
          <w:p>
            <w:pPr>
              <w:jc w:val="center"/>
              <w:ind w:right="930"/>
              <w:spacing w:after="0"/>
              <w:rPr>
                <w:sz w:val="20"/>
                <w:szCs w:val="20"/>
                <w:color w:val="auto"/>
              </w:rPr>
            </w:pPr>
            <w:r>
              <w:rPr>
                <w:rFonts w:ascii="Arial" w:cs="Arial" w:eastAsia="Arial" w:hAnsi="Arial"/>
                <w:sz w:val="18"/>
                <w:szCs w:val="18"/>
                <w:b w:val="1"/>
                <w:bCs w:val="1"/>
                <w:color w:val="auto"/>
                <w:w w:val="89"/>
              </w:rPr>
              <w:t>Total 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3,956,250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3,160,080</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2,432,122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25.2%</w:t>
            </w:r>
          </w:p>
        </w:tc>
      </w:tr>
      <w:tr>
        <w:trPr>
          <w:trHeight w:val="243"/>
        </w:trPr>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32,468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55,240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49,465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-41.2%</w:t>
            </w:r>
          </w:p>
        </w:tc>
      </w:tr>
      <w:tr>
        <w:trPr>
          <w:trHeight w:val="243"/>
        </w:trPr>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r>
      <w:tr>
        <w:trPr>
          <w:trHeight w:val="264"/>
        </w:trPr>
        <w:tc>
          <w:tcPr>
            <w:tcW w:w="48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w w:val="86"/>
              </w:rPr>
              <w:t>Loans</w:t>
            </w:r>
          </w:p>
        </w:tc>
        <w:tc>
          <w:tcPr>
            <w:tcW w:w="4620" w:type="dxa"/>
            <w:vAlign w:val="bottom"/>
            <w:tcBorders>
              <w:bottom w:val="single" w:sz="8" w:color="CCFFCC"/>
            </w:tcBorders>
            <w:gridSpan w:val="2"/>
            <w:shd w:val="clear" w:color="auto" w:fill="CCFFCC"/>
          </w:tcPr>
          <w:p>
            <w:pPr>
              <w:spacing w:after="0"/>
              <w:rPr>
                <w:sz w:val="22"/>
                <w:szCs w:val="22"/>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9,929,562</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9,288,774</w:t>
            </w:r>
          </w:p>
        </w:tc>
        <w:tc>
          <w:tcPr>
            <w:tcW w:w="1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7,509,085</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32.2%</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w:t>
            </w: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9,852,112</w:t>
            </w:r>
          </w:p>
        </w:tc>
        <w:tc>
          <w:tcPr>
            <w:tcW w:w="1140" w:type="dxa"/>
            <w:vAlign w:val="bottom"/>
          </w:tcPr>
          <w:p>
            <w:pPr>
              <w:jc w:val="right"/>
              <w:spacing w:after="0"/>
              <w:rPr>
                <w:sz w:val="20"/>
                <w:szCs w:val="20"/>
                <w:color w:val="auto"/>
              </w:rPr>
            </w:pPr>
            <w:r>
              <w:rPr>
                <w:rFonts w:ascii="Arial" w:cs="Arial" w:eastAsia="Arial" w:hAnsi="Arial"/>
                <w:sz w:val="18"/>
                <w:szCs w:val="18"/>
                <w:color w:val="auto"/>
              </w:rPr>
              <w:t>9,219,561</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7,440,873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70"/>
        </w:trPr>
        <w:tc>
          <w:tcPr>
            <w:tcW w:w="51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77,449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69,213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68,212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w:t>
            </w: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(230,390)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(218,888)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(204,204)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r>
      <w:tr>
        <w:trPr>
          <w:trHeight w:val="264"/>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9,699,172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9,069,886</w:t>
            </w:r>
          </w:p>
        </w:tc>
        <w:tc>
          <w:tcPr>
            <w:tcW w:w="10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7,304,881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w:t>
            </w:r>
          </w:p>
        </w:tc>
      </w:tr>
      <w:tr>
        <w:trPr>
          <w:trHeight w:val="243"/>
        </w:trPr>
        <w:tc>
          <w:tcPr>
            <w:tcW w:w="4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30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14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5,209,636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6,514,536</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4,657,859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-20.0%</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150,936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130,113</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91,325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110,790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108,444</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86,779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312,653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292,498</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254,820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217,302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52,358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51,040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315.0%</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1,080,273</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1,096,926</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853,365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300" w:type="dxa"/>
            <w:vAlign w:val="bottom"/>
          </w:tcPr>
          <w:p>
            <w:pPr>
              <w:jc w:val="center"/>
              <w:ind w:right="9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20,769,479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20,480,080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15,781,656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jc w:val="center"/>
              <w:ind w:right="930"/>
              <w:spacing w:after="0"/>
              <w:rPr>
                <w:sz w:val="20"/>
                <w:szCs w:val="20"/>
                <w:color w:val="auto"/>
              </w:rPr>
            </w:pPr>
            <w:r>
              <w:rPr>
                <w:rFonts w:ascii="Arial" w:cs="Arial" w:eastAsia="Arial" w:hAnsi="Arial"/>
                <w:sz w:val="18"/>
                <w:szCs w:val="18"/>
                <w:b w:val="1"/>
                <w:bCs w:val="1"/>
                <w:color w:val="auto"/>
                <w:w w:val="90"/>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8"/>
                <w:szCs w:val="18"/>
                <w:color w:val="auto"/>
              </w:rPr>
              <w:t>Non-interest bearing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2,757,069</w:t>
            </w:r>
          </w:p>
        </w:tc>
        <w:tc>
          <w:tcPr>
            <w:tcW w:w="1140" w:type="dxa"/>
            <w:vAlign w:val="bottom"/>
          </w:tcPr>
          <w:p>
            <w:pPr>
              <w:jc w:val="right"/>
              <w:spacing w:after="0"/>
              <w:rPr>
                <w:sz w:val="20"/>
                <w:szCs w:val="20"/>
                <w:color w:val="auto"/>
              </w:rPr>
            </w:pPr>
            <w:r>
              <w:rPr>
                <w:rFonts w:ascii="Arial" w:cs="Arial" w:eastAsia="Arial" w:hAnsi="Arial"/>
                <w:sz w:val="18"/>
                <w:szCs w:val="18"/>
                <w:color w:val="auto"/>
              </w:rPr>
              <w:t>2,913,157</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2,474,260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70"/>
        </w:trPr>
        <w:tc>
          <w:tcPr>
            <w:tcW w:w="51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Interest bearing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10,286,385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10,043,281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7,848,572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r>
      <w:tr>
        <w:trPr>
          <w:trHeight w:val="270"/>
        </w:trPr>
        <w:tc>
          <w:tcPr>
            <w:tcW w:w="5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 deposits and Obligations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13,043,454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12,956,438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10,322,832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2,805,330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2,955,428</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1,695,923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217,302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52,358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51,040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325.7%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315.0%</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812,990</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777,218</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638,270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149,725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142,549</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118,986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50,056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30,247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133.8%</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836,909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801,145</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494,234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944,947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851,884</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693,131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114,981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130,584</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133,968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w:t>
            </w:r>
          </w:p>
        </w:tc>
      </w:tr>
      <w:tr>
        <w:trPr>
          <w:trHeight w:val="270"/>
        </w:trPr>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30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Total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18,975,693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18,689,014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14,178,629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color w:val="auto"/>
              </w:rPr>
              <w:t>Capital stock</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1140" w:type="dxa"/>
            <w:vAlign w:val="bottom"/>
          </w:tcPr>
          <w:p>
            <w:pPr>
              <w:jc w:val="right"/>
              <w:spacing w:after="0"/>
              <w:rPr>
                <w:sz w:val="20"/>
                <w:szCs w:val="20"/>
                <w:color w:val="auto"/>
              </w:rPr>
            </w:pPr>
            <w:r>
              <w:rPr>
                <w:rFonts w:ascii="Arial" w:cs="Arial" w:eastAsia="Arial" w:hAnsi="Arial"/>
                <w:sz w:val="18"/>
                <w:szCs w:val="18"/>
                <w:color w:val="auto"/>
              </w:rPr>
              <w:t>471,912</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(73,107)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(73,107)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(73,107)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color w:val="auto"/>
              </w:rPr>
              <w:t>Capital surplus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140,693</w:t>
            </w:r>
          </w:p>
        </w:tc>
        <w:tc>
          <w:tcPr>
            <w:tcW w:w="1140" w:type="dxa"/>
            <w:vAlign w:val="bottom"/>
          </w:tcPr>
          <w:p>
            <w:pPr>
              <w:jc w:val="right"/>
              <w:spacing w:after="0"/>
              <w:rPr>
                <w:sz w:val="20"/>
                <w:szCs w:val="20"/>
                <w:color w:val="auto"/>
              </w:rPr>
            </w:pPr>
            <w:r>
              <w:rPr>
                <w:rFonts w:ascii="Arial" w:cs="Arial" w:eastAsia="Arial" w:hAnsi="Arial"/>
                <w:sz w:val="18"/>
                <w:szCs w:val="18"/>
                <w:color w:val="auto"/>
              </w:rPr>
              <w:t>140,693</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140,693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Reserves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815,387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587,218</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587,218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38.9%</w:t>
            </w:r>
          </w:p>
        </w:tc>
      </w:tr>
      <w:tr>
        <w:trPr>
          <w:trHeight w:val="270"/>
        </w:trPr>
        <w:tc>
          <w:tcPr>
            <w:tcW w:w="5100" w:type="dxa"/>
            <w:vAlign w:val="bottom"/>
            <w:gridSpan w:val="3"/>
          </w:tcPr>
          <w:p>
            <w:pPr>
              <w:spacing w:after="0"/>
              <w:rPr>
                <w:sz w:val="20"/>
                <w:szCs w:val="20"/>
                <w:color w:val="auto"/>
              </w:rPr>
            </w:pPr>
            <w:r>
              <w:rPr>
                <w:rFonts w:ascii="Arial" w:cs="Arial" w:eastAsia="Arial" w:hAnsi="Arial"/>
                <w:sz w:val="18"/>
                <w:szCs w:val="18"/>
                <w:color w:val="auto"/>
              </w:rPr>
              <w:t>Unrealized gains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72,713</w:t>
            </w:r>
          </w:p>
        </w:tc>
        <w:tc>
          <w:tcPr>
            <w:tcW w:w="1140" w:type="dxa"/>
            <w:vAlign w:val="bottom"/>
          </w:tcPr>
          <w:p>
            <w:pPr>
              <w:jc w:val="right"/>
              <w:spacing w:after="0"/>
              <w:rPr>
                <w:sz w:val="20"/>
                <w:szCs w:val="20"/>
                <w:color w:val="auto"/>
              </w:rPr>
            </w:pPr>
            <w:r>
              <w:rPr>
                <w:rFonts w:ascii="Arial" w:cs="Arial" w:eastAsia="Arial" w:hAnsi="Arial"/>
                <w:sz w:val="18"/>
                <w:szCs w:val="18"/>
                <w:color w:val="auto"/>
              </w:rPr>
              <w:t>162,593</w:t>
            </w:r>
          </w:p>
        </w:tc>
        <w:tc>
          <w:tcPr>
            <w:tcW w:w="10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200,583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r>
      <w:tr>
        <w:trPr>
          <w:trHeight w:val="270"/>
        </w:trPr>
        <w:tc>
          <w:tcPr>
            <w:tcW w:w="5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366,189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501,757</w:t>
            </w:r>
          </w:p>
        </w:tc>
        <w:tc>
          <w:tcPr>
            <w:tcW w:w="100" w:type="dxa"/>
            <w:vAlign w:val="bottom"/>
            <w:shd w:val="clear" w:color="auto" w:fill="CCFFCC"/>
          </w:tcPr>
          <w:p>
            <w:pPr>
              <w:spacing w:after="0"/>
              <w:rPr>
                <w:sz w:val="23"/>
                <w:szCs w:val="23"/>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275,727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-27.0%</w:t>
            </w:r>
          </w:p>
        </w:tc>
      </w:tr>
      <w:tr>
        <w:trPr>
          <w:trHeight w:val="243"/>
        </w:trPr>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Net Shareholder's 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1,793,786</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1,791,066</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1,603,026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liafbilities and net shareholder's equity</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20,769,479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20,480,080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15,781,656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43"/>
        </w:trPr>
        <w:tc>
          <w:tcPr>
            <w:tcW w:w="48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43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5100" w:type="dxa"/>
            <w:vAlign w:val="bottom"/>
            <w:gridSpan w:val="3"/>
          </w:tcPr>
          <w:p>
            <w:pPr>
              <w:spacing w:after="0"/>
              <w:rPr>
                <w:sz w:val="20"/>
                <w:szCs w:val="20"/>
                <w:color w:val="auto"/>
              </w:rPr>
            </w:pPr>
            <w:r>
              <w:rPr>
                <w:rFonts w:ascii="Arial" w:cs="Arial" w:eastAsia="Arial" w:hAnsi="Arial"/>
                <w:sz w:val="18"/>
                <w:szCs w:val="18"/>
                <w:color w:val="auto"/>
              </w:rPr>
              <w:t>Contingent Credits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6,335,325</w:t>
            </w:r>
          </w:p>
        </w:tc>
        <w:tc>
          <w:tcPr>
            <w:tcW w:w="1140" w:type="dxa"/>
            <w:vAlign w:val="bottom"/>
          </w:tcPr>
          <w:p>
            <w:pPr>
              <w:jc w:val="right"/>
              <w:spacing w:after="0"/>
              <w:rPr>
                <w:sz w:val="20"/>
                <w:szCs w:val="20"/>
                <w:color w:val="auto"/>
              </w:rPr>
            </w:pPr>
            <w:r>
              <w:rPr>
                <w:rFonts w:ascii="Arial" w:cs="Arial" w:eastAsia="Arial" w:hAnsi="Arial"/>
                <w:sz w:val="18"/>
                <w:szCs w:val="18"/>
                <w:color w:val="auto"/>
              </w:rPr>
              <w:t>7,452,138</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4,702,435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ectPr>
          <w:pgSz w:w="11900" w:h="16838" w:orient="portrait"/>
          <w:cols w:equalWidth="0" w:num="1">
            <w:col w:w="11420"/>
          </w:cols>
          <w:pgMar w:left="240" w:top="945" w:right="239" w:bottom="8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82" w:gutter="0" w:footer="0" w:header="0"/>
          <w:type w:val="continuous"/>
        </w:sectPr>
      </w:pPr>
    </w:p>
    <w:bookmarkStart w:id="40" w:name="page41"/>
    <w:bookmarkEnd w:id="40"/>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CREDICORP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Quarter</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680"/>
              <w:spacing w:after="0"/>
              <w:rPr>
                <w:sz w:val="20"/>
                <w:szCs w:val="20"/>
                <w:color w:val="auto"/>
              </w:rPr>
            </w:pPr>
            <w:r>
              <w:rPr>
                <w:rFonts w:ascii="Arial" w:cs="Arial" w:eastAsia="Arial" w:hAnsi="Arial"/>
                <w:sz w:val="13"/>
                <w:szCs w:val="13"/>
                <w:b w:val="1"/>
                <w:bCs w:val="1"/>
                <w:color w:val="auto"/>
                <w:w w:val="92"/>
              </w:rPr>
              <w:t>Change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3"/>
                <w:szCs w:val="13"/>
                <w:b w:val="1"/>
                <w:bCs w:val="1"/>
                <w:color w:val="auto"/>
              </w:rPr>
              <w:t>Year ended</w:t>
            </w:r>
          </w:p>
        </w:tc>
        <w:tc>
          <w:tcPr>
            <w:tcW w:w="10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top w:val="single" w:sz="8" w:color="auto"/>
            </w:tcBorders>
            <w:gridSpan w:val="3"/>
          </w:tcPr>
          <w:p>
            <w:pPr>
              <w:jc w:val="center"/>
              <w:ind w:right="340"/>
              <w:spacing w:after="0" w:line="110" w:lineRule="exact"/>
              <w:rPr>
                <w:sz w:val="20"/>
                <w:szCs w:val="20"/>
                <w:color w:val="auto"/>
              </w:rPr>
            </w:pPr>
            <w:r>
              <w:rPr>
                <w:rFonts w:ascii="Arial" w:cs="Arial" w:eastAsia="Arial" w:hAnsi="Arial"/>
                <w:sz w:val="12"/>
                <w:szCs w:val="12"/>
                <w:b w:val="1"/>
                <w:bCs w:val="1"/>
                <w:color w:val="auto"/>
                <w:w w:val="97"/>
              </w:rPr>
              <w:t>3Q08/</w:t>
            </w:r>
          </w:p>
        </w:tc>
        <w:tc>
          <w:tcPr>
            <w:tcW w:w="620" w:type="dxa"/>
            <w:vAlign w:val="bottom"/>
            <w:tcBorders>
              <w:top w:val="single" w:sz="8" w:color="auto"/>
            </w:tcBorders>
          </w:tcPr>
          <w:p>
            <w:pPr>
              <w:jc w:val="center"/>
              <w:ind w:right="117"/>
              <w:spacing w:after="0" w:line="110" w:lineRule="exact"/>
              <w:rPr>
                <w:sz w:val="20"/>
                <w:szCs w:val="20"/>
                <w:color w:val="auto"/>
              </w:rPr>
            </w:pPr>
            <w:r>
              <w:rPr>
                <w:rFonts w:ascii="Arial" w:cs="Arial" w:eastAsia="Arial" w:hAnsi="Arial"/>
                <w:sz w:val="12"/>
                <w:szCs w:val="12"/>
                <w:b w:val="1"/>
                <w:bCs w:val="1"/>
                <w:color w:val="auto"/>
                <w:w w:val="97"/>
              </w:rPr>
              <w:t>3Q08/</w:t>
            </w:r>
          </w:p>
        </w:tc>
        <w:tc>
          <w:tcPr>
            <w:tcW w:w="1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3Q08</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2Q08</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3Q07</w:t>
            </w:r>
          </w:p>
        </w:tc>
        <w:tc>
          <w:tcPr>
            <w:tcW w:w="11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7"/>
              </w:rPr>
              <w:t>3Q07</w:t>
            </w:r>
          </w:p>
        </w:tc>
        <w:tc>
          <w:tcPr>
            <w:tcW w:w="7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2Q08</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 2008</w:t>
            </w:r>
          </w:p>
        </w:tc>
        <w:tc>
          <w:tcPr>
            <w:tcW w:w="9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Sep 2007</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1"/>
              </w:rPr>
              <w:t>Sep 08/Sep 07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Interest income and expense</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Interest and dividend income</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350,362</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352,539</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270,182</w:t>
            </w:r>
          </w:p>
        </w:tc>
        <w:tc>
          <w:tcPr>
            <w:tcW w:w="12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29.7%</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1,028,166</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740,005</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Interest expense</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(149,922)</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(135,554)</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(109,127)</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37.4%</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10.6%</w:t>
            </w:r>
          </w:p>
        </w:tc>
        <w:tc>
          <w:tcPr>
            <w:tcW w:w="9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(419,473)</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(280,787)</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Net interest income</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200,440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216,986</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161,055</w:t>
            </w:r>
          </w:p>
        </w:tc>
        <w:tc>
          <w:tcPr>
            <w:tcW w:w="120" w:type="dxa"/>
            <w:vAlign w:val="bottom"/>
          </w:tcPr>
          <w:p>
            <w:pPr>
              <w:spacing w:after="0"/>
              <w:rPr>
                <w:sz w:val="11"/>
                <w:szCs w:val="11"/>
                <w:color w:val="auto"/>
              </w:rPr>
            </w:pP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24.5%</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-7.6%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608,693</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459,218</w:t>
            </w: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32.5%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Provision for loan losses</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(16,713)</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(9,235)</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(7,922)</w:t>
            </w: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111.0%</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81.0%</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(42,139)</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rPr>
              <w:t>(18,430)</w:t>
            </w: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128.6%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6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Non financial income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Fee income</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103,327</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97,598</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86,270</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19.8%</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5.9%</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300,572</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236,446</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24,110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31,435</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14,710</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63.9%</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-23.3%</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76,151</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39,462</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gain on sales of securities</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(6,608)</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6,006</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5,124</w:t>
            </w:r>
          </w:p>
        </w:tc>
        <w:tc>
          <w:tcPr>
            <w:tcW w:w="12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-229.0%</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-210.0%</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23,707</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37,714</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10,040</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5,685</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6,837</w:t>
            </w:r>
          </w:p>
        </w:tc>
        <w:tc>
          <w:tcPr>
            <w:tcW w:w="12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46.8%</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76.6%</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23,247</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18,540</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rPr>
              <w:t>Total non financial income, net</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130,869</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140,723</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112,942</w:t>
            </w:r>
          </w:p>
        </w:tc>
        <w:tc>
          <w:tcPr>
            <w:tcW w:w="94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15.9%</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-7.0%</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b w:val="1"/>
                <w:bCs w:val="1"/>
                <w:color w:val="auto"/>
              </w:rPr>
              <w:t>423,677</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b w:val="1"/>
                <w:bCs w:val="1"/>
                <w:color w:val="auto"/>
              </w:rPr>
              <w:t>332,162</w:t>
            </w:r>
          </w:p>
        </w:tc>
        <w:tc>
          <w:tcPr>
            <w:tcW w:w="10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b w:val="1"/>
                <w:bCs w:val="1"/>
                <w:color w:val="auto"/>
              </w:rPr>
              <w:t>20.7%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Insurance premiums and claims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Net premiums earned</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104,124</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96,345</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74,511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39.7%</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8.1%</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288,859</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216,159</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Net claims incurred</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(26,710)</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(30,890)</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(19,617)</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36.2%</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-13.5%</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(77,455)</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(47,173)</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Increase in cost for life and health policies</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(60,930)</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(62,529)</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(45,085)</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35.1%</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w:t>
            </w:r>
          </w:p>
        </w:tc>
        <w:tc>
          <w:tcPr>
            <w:tcW w:w="9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(179,696)</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(122,536)</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320"/>
              <w:spacing w:after="0" w:line="135" w:lineRule="exact"/>
              <w:rPr>
                <w:sz w:val="20"/>
                <w:szCs w:val="20"/>
                <w:color w:val="auto"/>
              </w:rPr>
            </w:pPr>
            <w:r>
              <w:rPr>
                <w:rFonts w:ascii="Arial" w:cs="Arial" w:eastAsia="Arial" w:hAnsi="Arial"/>
                <w:sz w:val="13"/>
                <w:szCs w:val="13"/>
                <w:b w:val="1"/>
                <w:bCs w:val="1"/>
                <w:color w:val="auto"/>
              </w:rPr>
              <w:t>Total other operating income, net</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16,484</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2,926</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9,809</w:t>
            </w:r>
          </w:p>
        </w:tc>
        <w:tc>
          <w:tcPr>
            <w:tcW w:w="120" w:type="dxa"/>
            <w:vAlign w:val="bottom"/>
          </w:tcPr>
          <w:p>
            <w:pPr>
              <w:spacing w:after="0"/>
              <w:rPr>
                <w:sz w:val="11"/>
                <w:szCs w:val="11"/>
                <w:color w:val="auto"/>
              </w:rPr>
            </w:pP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68.0%</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463.5%</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31,708</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46,450</w:t>
            </w: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-31.7%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Salaries and employees benefits</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(101,259)</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(90,928)</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(75,649)</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33.9%</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11.4%</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(280,691)</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(219,013)</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Administrative, general and tax expenses</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(67,524)</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(59,584)</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(48,703)</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38.6%</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13.3%</w:t>
            </w:r>
          </w:p>
        </w:tc>
        <w:tc>
          <w:tcPr>
            <w:tcW w:w="9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(186,021)</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(140,528)</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(15,396)</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(14,371)</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(12,857)</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19.8%</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7.1%</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(43,500)</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(37,809)</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Merger Expenses</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Other</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(29,662)</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(27,455)</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(25,916)</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14.5%</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8.0%</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(80,067)</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(75,472)</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320"/>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b w:val="1"/>
                <w:bCs w:val="1"/>
                <w:color w:val="auto"/>
              </w:rPr>
              <w:t>(213,841)</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b w:val="1"/>
                <w:bCs w:val="1"/>
                <w:color w:val="auto"/>
              </w:rPr>
              <w:t>(192,338)</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b w:val="1"/>
                <w:bCs w:val="1"/>
                <w:color w:val="auto"/>
              </w:rPr>
              <w:t>(163,125)</w:t>
            </w:r>
          </w:p>
        </w:tc>
        <w:tc>
          <w:tcPr>
            <w:tcW w:w="94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31.1%</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b w:val="1"/>
                <w:bCs w:val="1"/>
                <w:color w:val="auto"/>
              </w:rPr>
              <w:t>11.2%</w:t>
            </w:r>
          </w:p>
        </w:tc>
        <w:tc>
          <w:tcPr>
            <w:tcW w:w="9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(590,279)</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b w:val="1"/>
                <w:bCs w:val="1"/>
                <w:color w:val="auto"/>
              </w:rPr>
              <w:t>(472,821)</w:t>
            </w:r>
          </w:p>
        </w:tc>
        <w:tc>
          <w:tcPr>
            <w:tcW w:w="10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b w:val="1"/>
                <w:bCs w:val="1"/>
                <w:color w:val="auto"/>
              </w:rPr>
              <w:t>24.8%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760" w:type="dxa"/>
            <w:vAlign w:val="bottom"/>
          </w:tcPr>
          <w:p>
            <w:pPr>
              <w:spacing w:after="0" w:line="117" w:lineRule="exact"/>
              <w:rPr>
                <w:sz w:val="20"/>
                <w:szCs w:val="20"/>
                <w:color w:val="auto"/>
              </w:rPr>
            </w:pPr>
            <w:r>
              <w:rPr>
                <w:rFonts w:ascii="Arial" w:cs="Arial" w:eastAsia="Arial" w:hAnsi="Arial"/>
                <w:sz w:val="13"/>
                <w:szCs w:val="13"/>
                <w:b w:val="1"/>
                <w:bCs w:val="1"/>
                <w:color w:val="auto"/>
                <w:w w:val="99"/>
              </w:rPr>
              <w:t>Income before translation results,workers' profit sharing and</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80" w:type="dxa"/>
            <w:vAlign w:val="bottom"/>
            <w:gridSpan w:val="2"/>
          </w:tcPr>
          <w:p>
            <w:pPr>
              <w:spacing w:after="0"/>
              <w:rPr>
                <w:sz w:val="20"/>
                <w:szCs w:val="20"/>
                <w:color w:val="auto"/>
              </w:rPr>
            </w:pPr>
            <w:r>
              <w:rPr>
                <w:rFonts w:ascii="Arial" w:cs="Arial" w:eastAsia="Arial" w:hAnsi="Arial"/>
                <w:sz w:val="13"/>
                <w:szCs w:val="13"/>
                <w:b w:val="1"/>
                <w:bCs w:val="1"/>
                <w:color w:val="auto"/>
              </w:rPr>
              <w:t>income taxes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117,238</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159,062</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112,758</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4.0%</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-26.3%</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431,659</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346,579</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Translation result</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6,979</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(61,510)</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13,811</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-49.5%</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-111.3%</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14,164</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17,184</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ind w:left="160"/>
              <w:spacing w:after="0" w:line="135" w:lineRule="exact"/>
              <w:rPr>
                <w:sz w:val="20"/>
                <w:szCs w:val="20"/>
                <w:color w:val="auto"/>
              </w:rPr>
            </w:pPr>
            <w:r>
              <w:rPr>
                <w:rFonts w:ascii="Arial" w:cs="Arial" w:eastAsia="Arial" w:hAnsi="Arial"/>
                <w:sz w:val="13"/>
                <w:szCs w:val="13"/>
                <w:color w:val="auto"/>
              </w:rPr>
              <w:t>Workers’ profit sharing</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(3,301)</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(1,868)</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(4,274)</w:t>
            </w: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-22.8%</w:t>
            </w:r>
          </w:p>
        </w:tc>
        <w:tc>
          <w:tcPr>
            <w:tcW w:w="20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76.7%</w:t>
            </w:r>
          </w:p>
        </w:tc>
        <w:tc>
          <w:tcPr>
            <w:tcW w:w="9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(10,585)</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(10,910)</w:t>
            </w:r>
          </w:p>
        </w:tc>
        <w:tc>
          <w:tcPr>
            <w:tcW w:w="10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ind w:left="160"/>
              <w:spacing w:after="0" w:line="135" w:lineRule="exact"/>
              <w:rPr>
                <w:sz w:val="20"/>
                <w:szCs w:val="20"/>
                <w:color w:val="auto"/>
              </w:rPr>
            </w:pPr>
            <w:r>
              <w:rPr>
                <w:rFonts w:ascii="Arial" w:cs="Arial" w:eastAsia="Arial" w:hAnsi="Arial"/>
                <w:sz w:val="13"/>
                <w:szCs w:val="13"/>
                <w:color w:val="auto"/>
              </w:rPr>
              <w:t>Income taxes</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(24,241)</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(21,843)</w:t>
            </w:r>
          </w:p>
        </w:tc>
        <w:tc>
          <w:tcPr>
            <w:tcW w:w="92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(29,144)</w:t>
            </w: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-16.8%</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11.0%</w:t>
            </w:r>
          </w:p>
        </w:tc>
        <w:tc>
          <w:tcPr>
            <w:tcW w:w="9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(79,996)</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(79,065)</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Pr>
          <w:p>
            <w:pPr>
              <w:spacing w:after="0" w:line="135" w:lineRule="exact"/>
              <w:rPr>
                <w:sz w:val="20"/>
                <w:szCs w:val="20"/>
                <w:color w:val="auto"/>
              </w:rPr>
            </w:pPr>
            <w:r>
              <w:rPr>
                <w:rFonts w:ascii="Arial" w:cs="Arial" w:eastAsia="Arial" w:hAnsi="Arial"/>
                <w:sz w:val="13"/>
                <w:szCs w:val="13"/>
                <w:b w:val="1"/>
                <w:bCs w:val="1"/>
                <w:color w:val="auto"/>
              </w:rPr>
              <w:t>Net income</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96,675</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73,841</w:t>
            </w: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93,152</w:t>
            </w: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3.8%</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b w:val="1"/>
                <w:bCs w:val="1"/>
                <w:color w:val="auto"/>
              </w:rPr>
              <w:t>30.9%</w:t>
            </w: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355,242</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273,788</w:t>
            </w: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b w:val="1"/>
                <w:bCs w:val="1"/>
                <w:color w:val="auto"/>
              </w:rPr>
              <w:t>29.8%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4,075</w:t>
            </w:r>
          </w:p>
        </w:tc>
        <w:tc>
          <w:tcPr>
            <w:tcW w:w="92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175</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2,848</w:t>
            </w:r>
          </w:p>
        </w:tc>
        <w:tc>
          <w:tcPr>
            <w:tcW w:w="12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43.1%</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2231.6%</w:t>
            </w:r>
          </w:p>
        </w:tc>
        <w:tc>
          <w:tcPr>
            <w:tcW w:w="96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10,978</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17,068</w:t>
            </w:r>
          </w:p>
        </w:tc>
        <w:tc>
          <w:tcPr>
            <w:tcW w:w="1060" w:type="dxa"/>
            <w:vAlign w:val="bottom"/>
            <w:gridSpan w:val="2"/>
            <w:shd w:val="clear" w:color="auto" w:fill="CCFFCC"/>
          </w:tcPr>
          <w:p>
            <w:pPr>
              <w:jc w:val="right"/>
              <w:ind w:right="60"/>
              <w:spacing w:after="0" w:line="135" w:lineRule="exact"/>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b w:val="1"/>
                <w:bCs w:val="1"/>
                <w:color w:val="auto"/>
              </w:rPr>
              <w:t>Net income attributed to Credicorp</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92,601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73,666</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90,304</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2.5%</w:t>
            </w:r>
          </w:p>
        </w:tc>
        <w:tc>
          <w:tcPr>
            <w:tcW w:w="2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25.7%</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344,264</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256,720</w:t>
            </w:r>
          </w:p>
        </w:tc>
        <w:tc>
          <w:tcPr>
            <w:tcW w:w="10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34.1%</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1" w:name="page42"/>
    <w:bookmarkEnd w:id="41"/>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CREDICORP LTD. AND SUBSISIARIES</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SELECTED FINANCIAL INDICATORS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3Q08</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2Q08</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3Q07</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September 2008</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September 2007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4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4.35%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4.78%</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4.64%</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20.66%</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16.18%</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26.82%</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25.66%</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(millions)(4)</w:t>
            </w:r>
          </w:p>
        </w:tc>
        <w:tc>
          <w:tcPr>
            <w:tcW w:w="14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79.76</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Past due loans as a percentage of total loans</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0.78%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0.75%</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0.91%</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0.78%</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00" w:type="dxa"/>
            <w:vAlign w:val="bottom"/>
          </w:tcPr>
          <w:p>
            <w:pPr>
              <w:ind w:left="160"/>
              <w:spacing w:after="0" w:line="130" w:lineRule="exact"/>
              <w:rPr>
                <w:sz w:val="20"/>
                <w:szCs w:val="20"/>
                <w:color w:val="auto"/>
              </w:rPr>
            </w:pPr>
            <w:r>
              <w:rPr>
                <w:rFonts w:ascii="Arial" w:cs="Arial" w:eastAsia="Arial" w:hAnsi="Arial"/>
                <w:sz w:val="14"/>
                <w:szCs w:val="14"/>
                <w:color w:val="auto"/>
              </w:rPr>
              <w:t>Reserves for loan losses as a percentage of</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total past due loans</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297.47%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316.26%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299.37%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297.47%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299.37%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Reserves for loan losses as a percentage of</w:t>
            </w: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total loans</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2.32%</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3.26%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2.72%</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2.32%</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Oper. expense as a percent. of total income (5)</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42.63%</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37.27%</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40.77%</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 as a percent. of av. tot. assets(2)(3)(5)</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3.57%</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3.26%</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4.44%</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3.33%</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Average balances (millions of US$) (3)</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18,436.55</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18,151.03</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13,892.40</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18,253.83</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13,330.41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Assets</w:t>
            </w:r>
          </w:p>
        </w:tc>
        <w:tc>
          <w:tcPr>
            <w:tcW w:w="13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20,624.78</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20,212.67</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12,370.10</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20,418.73</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13,447.67</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tcPr>
          <w:p>
            <w:pPr>
              <w:ind w:left="160"/>
              <w:spacing w:after="0"/>
              <w:rPr>
                <w:sz w:val="20"/>
                <w:szCs w:val="20"/>
                <w:color w:val="auto"/>
              </w:rPr>
            </w:pPr>
            <w:r>
              <w:rPr>
                <w:rFonts w:ascii="Arial" w:cs="Arial" w:eastAsia="Arial" w:hAnsi="Arial"/>
                <w:sz w:val="14"/>
                <w:szCs w:val="14"/>
                <w:color w:val="auto"/>
              </w:rPr>
              <w:t>Net equity</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1,792.43</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1,820.87</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1,346.87</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1,806.65</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1,412.40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80" w:firstLine="8"/>
        <w:spacing w:after="0" w:line="261" w:lineRule="auto"/>
        <w:tabs>
          <w:tab w:leader="none" w:pos="2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 does not include Other expenses.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US$ thousands, IFRS)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Sep-08</w:t>
            </w:r>
          </w:p>
        </w:tc>
        <w:tc>
          <w:tcPr>
            <w:tcW w:w="12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Jun-08</w:t>
            </w:r>
          </w:p>
        </w:tc>
        <w:tc>
          <w:tcPr>
            <w:tcW w:w="1120" w:type="dxa"/>
            <w:vAlign w:val="bottom"/>
            <w:tcBorders>
              <w:top w:val="single" w:sz="8" w:color="auto"/>
            </w:tcBorders>
          </w:tcPr>
          <w:p>
            <w:pPr>
              <w:ind w:left="360"/>
              <w:spacing w:after="0"/>
              <w:rPr>
                <w:sz w:val="20"/>
                <w:szCs w:val="20"/>
                <w:color w:val="auto"/>
              </w:rPr>
            </w:pPr>
            <w:r>
              <w:rPr>
                <w:rFonts w:ascii="Arial" w:cs="Arial" w:eastAsia="Arial" w:hAnsi="Arial"/>
                <w:sz w:val="14"/>
                <w:szCs w:val="14"/>
                <w:b w:val="1"/>
                <w:bCs w:val="1"/>
                <w:color w:val="auto"/>
              </w:rPr>
              <w:t>Sep-07</w:t>
            </w:r>
          </w:p>
        </w:tc>
        <w:tc>
          <w:tcPr>
            <w:tcW w:w="120" w:type="dxa"/>
            <w:vAlign w:val="bottom"/>
          </w:tcPr>
          <w:p>
            <w:pPr>
              <w:spacing w:after="0"/>
              <w:rPr>
                <w:sz w:val="14"/>
                <w:szCs w:val="14"/>
                <w:color w:val="auto"/>
              </w:rPr>
            </w:pPr>
          </w:p>
        </w:tc>
        <w:tc>
          <w:tcPr>
            <w:tcW w:w="12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9"/>
              </w:rPr>
              <w:t>Sep 08/ Sep 07</w:t>
            </w: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Sep 08 / Jun 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shd w:val="clear" w:color="auto" w:fill="CCFFCC"/>
          </w:tcPr>
          <w:p>
            <w:pPr>
              <w:jc w:val="center"/>
              <w:ind w:right="148"/>
              <w:spacing w:after="0"/>
              <w:rPr>
                <w:sz w:val="20"/>
                <w:szCs w:val="20"/>
                <w:color w:val="auto"/>
              </w:rPr>
            </w:pPr>
            <w:r>
              <w:rPr>
                <w:rFonts w:ascii="Arial" w:cs="Arial" w:eastAsia="Arial" w:hAnsi="Arial"/>
                <w:sz w:val="14"/>
                <w:szCs w:val="14"/>
                <w:b w:val="1"/>
                <w:bCs w:val="1"/>
                <w:color w:val="auto"/>
                <w:w w:val="92"/>
              </w:rPr>
              <w:t>ASSETS</w:t>
            </w:r>
          </w:p>
        </w:tc>
        <w:tc>
          <w:tcPr>
            <w:tcW w:w="11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due from banks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3,871,243</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3,093,122</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2,250,986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72.0%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Cash and BCRP</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3,029,179</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2,716,842</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1,975,785</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53.3%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Deposits in other Banks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721,464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367,693</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269,723</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167.5%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Interbanks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113,749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1,620</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11274.5%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Accrued interest on cash and due from banks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6,851</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4,478</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53.0%</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Marketable securities, net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32,468</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55,240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49,465</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Loans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9,836,170</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9,197,916</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7,450,674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Current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9,759,601</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9,129,652</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7,383,196</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32.2%</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Past Due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76,569</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68,264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67,478</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Less - Reserve for possible loan losses</w:t>
            </w:r>
          </w:p>
        </w:tc>
        <w:tc>
          <w:tcPr>
            <w:tcW w:w="12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(229,071)</w:t>
            </w:r>
          </w:p>
        </w:tc>
        <w:tc>
          <w:tcPr>
            <w:tcW w:w="12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(217,569)</w:t>
            </w:r>
          </w:p>
        </w:tc>
        <w:tc>
          <w:tcPr>
            <w:tcW w:w="124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(202,877)</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12.9%</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Loans, net</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9,607,099</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8,980,347</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7,247,797</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Investment securities available for sale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3,512,873</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4,747,724</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2,854,728</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23.1%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Property, plant and equipment, net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252,008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232,509</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196,567</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28.2%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Due from customers acceptances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217,302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52,314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50,962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326.4%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assets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781,378</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811,984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578,789</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35.0%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jc w:val="center"/>
              <w:ind w:right="148"/>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18,274,371</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17,973,240</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13,229,294</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jc w:val="center"/>
              <w:ind w:right="148"/>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Deposits and obligations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13,340,405</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13,251,408</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10,263,180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Demand deposits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3,836,545</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3,872,063</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3,199,876</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Saving deposits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2,748,290</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2,603,344</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2,167,592</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26.8%</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Time deposits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5,754,903</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5,740,312</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4,067,677</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Severance indemnity deposits (CTS)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928,891</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969,594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785,398</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18.3%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Interest payable</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71,776</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66,095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42,637</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1,778,253</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1,920,428</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811,398</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119.2%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Bonds and subordinated debt</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857,270</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832,648</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523,298</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63.8%</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Acceptances outstanding</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217,302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52,314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50,962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326.4%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Other liabilities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761,362</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662,279</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535,450</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42.2%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16,954,592</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16,719,077</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12,184,288</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39.2%</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1,319,779</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1,254,163</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1,045,006</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26.3%</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439,474</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439,474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364,706</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Reserves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388,062</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388,062</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282,189</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37.5%</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43,352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70,819</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56,412</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Retained Earnings</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111,994</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111,994</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96,245</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ind w:left="160"/>
              <w:spacing w:after="0" w:line="149" w:lineRule="exact"/>
              <w:rPr>
                <w:sz w:val="20"/>
                <w:szCs w:val="20"/>
                <w:color w:val="auto"/>
              </w:rPr>
            </w:pPr>
            <w:r>
              <w:rPr>
                <w:rFonts w:ascii="Arial" w:cs="Arial" w:eastAsia="Arial" w:hAnsi="Arial"/>
                <w:sz w:val="14"/>
                <w:szCs w:val="14"/>
                <w:color w:val="auto"/>
              </w:rPr>
              <w:t>Income for the year</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336,897</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243,814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245,454</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37.3%</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NET SHAREHOLDERS' EQUITY</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18,274,371</w:t>
            </w:r>
          </w:p>
        </w:tc>
        <w:tc>
          <w:tcPr>
            <w:tcW w:w="1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17,973,240</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13,229,294</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CONTINGENT CREDITS</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6,296,226</w:t>
            </w:r>
          </w:p>
        </w:tc>
        <w:tc>
          <w:tcPr>
            <w:tcW w:w="1140" w:type="dxa"/>
            <w:vAlign w:val="bottom"/>
          </w:tcPr>
          <w:p>
            <w:pPr>
              <w:jc w:val="right"/>
              <w:spacing w:after="0"/>
              <w:rPr>
                <w:sz w:val="20"/>
                <w:szCs w:val="20"/>
                <w:color w:val="auto"/>
              </w:rPr>
            </w:pPr>
            <w:r>
              <w:rPr>
                <w:rFonts w:ascii="Arial" w:cs="Arial" w:eastAsia="Arial" w:hAnsi="Arial"/>
                <w:sz w:val="14"/>
                <w:szCs w:val="14"/>
                <w:color w:val="auto"/>
              </w:rPr>
              <w:t>7,452,651</w:t>
            </w:r>
          </w:p>
        </w:tc>
        <w:tc>
          <w:tcPr>
            <w:tcW w:w="1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4,392,006</w:t>
            </w: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43.4%</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1980" w:type="dxa"/>
            <w:vAlign w:val="bottom"/>
            <w:gridSpan w:val="5"/>
          </w:tcPr>
          <w:p>
            <w:pPr>
              <w:jc w:val="center"/>
              <w:ind w:left="597"/>
              <w:spacing w:after="0"/>
              <w:rPr>
                <w:sz w:val="20"/>
                <w:szCs w:val="20"/>
                <w:color w:val="auto"/>
              </w:rPr>
            </w:pPr>
            <w:r>
              <w:rPr>
                <w:rFonts w:ascii="Arial" w:cs="Arial" w:eastAsia="Arial" w:hAnsi="Arial"/>
                <w:sz w:val="13"/>
                <w:szCs w:val="13"/>
                <w:b w:val="1"/>
                <w:bCs w:val="1"/>
                <w:color w:val="auto"/>
                <w:w w:val="87"/>
              </w:rPr>
              <w:t>Three months ended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ind w:left="660"/>
              <w:spacing w:after="0"/>
              <w:rPr>
                <w:sz w:val="20"/>
                <w:szCs w:val="20"/>
                <w:color w:val="auto"/>
              </w:rPr>
            </w:pPr>
            <w:r>
              <w:rPr>
                <w:rFonts w:ascii="Arial" w:cs="Arial" w:eastAsia="Arial" w:hAnsi="Arial"/>
                <w:sz w:val="13"/>
                <w:szCs w:val="13"/>
                <w:b w:val="1"/>
                <w:bCs w:val="1"/>
                <w:color w:val="auto"/>
                <w:w w:val="92"/>
              </w:rPr>
              <w:t>Change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three months ended</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Change</w:t>
            </w:r>
          </w:p>
        </w:tc>
      </w:tr>
      <w:tr>
        <w:trPr>
          <w:trHeight w:val="110"/>
        </w:trPr>
        <w:tc>
          <w:tcPr>
            <w:tcW w:w="38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Borders>
              <w:top w:val="single" w:sz="8" w:color="auto"/>
            </w:tcBorders>
            <w:gridSpan w:val="3"/>
          </w:tcPr>
          <w:p>
            <w:pPr>
              <w:jc w:val="center"/>
              <w:ind w:right="320"/>
              <w:spacing w:after="0" w:line="110" w:lineRule="exact"/>
              <w:rPr>
                <w:sz w:val="20"/>
                <w:szCs w:val="20"/>
                <w:color w:val="auto"/>
              </w:rPr>
            </w:pPr>
            <w:r>
              <w:rPr>
                <w:rFonts w:ascii="Arial" w:cs="Arial" w:eastAsia="Arial" w:hAnsi="Arial"/>
                <w:sz w:val="12"/>
                <w:szCs w:val="12"/>
                <w:b w:val="1"/>
                <w:bCs w:val="1"/>
                <w:color w:val="auto"/>
                <w:w w:val="97"/>
              </w:rPr>
              <w:t>3Q08/</w:t>
            </w:r>
          </w:p>
        </w:tc>
        <w:tc>
          <w:tcPr>
            <w:tcW w:w="620" w:type="dxa"/>
            <w:vAlign w:val="bottom"/>
            <w:tcBorders>
              <w:top w:val="single" w:sz="8" w:color="auto"/>
            </w:tcBorders>
          </w:tcPr>
          <w:p>
            <w:pPr>
              <w:jc w:val="center"/>
              <w:ind w:right="117"/>
              <w:spacing w:after="0" w:line="110" w:lineRule="exact"/>
              <w:rPr>
                <w:sz w:val="20"/>
                <w:szCs w:val="20"/>
                <w:color w:val="auto"/>
              </w:rPr>
            </w:pPr>
            <w:r>
              <w:rPr>
                <w:rFonts w:ascii="Arial" w:cs="Arial" w:eastAsia="Arial" w:hAnsi="Arial"/>
                <w:sz w:val="12"/>
                <w:szCs w:val="12"/>
                <w:b w:val="1"/>
                <w:bCs w:val="1"/>
                <w:color w:val="auto"/>
                <w:w w:val="97"/>
              </w:rPr>
              <w:t>3Q08/</w:t>
            </w:r>
          </w:p>
        </w:tc>
        <w:tc>
          <w:tcPr>
            <w:tcW w:w="1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Sep 08/</w:t>
            </w:r>
          </w:p>
        </w:tc>
        <w:tc>
          <w:tcPr>
            <w:tcW w:w="140" w:type="dxa"/>
            <w:vAlign w:val="bottom"/>
          </w:tcPr>
          <w:p>
            <w:pPr>
              <w:spacing w:after="0"/>
              <w:rPr>
                <w:sz w:val="9"/>
                <w:szCs w:val="9"/>
                <w:color w:val="auto"/>
              </w:rPr>
            </w:pPr>
          </w:p>
        </w:tc>
      </w:tr>
      <w:tr>
        <w:trPr>
          <w:trHeight w:val="153"/>
        </w:trPr>
        <w:tc>
          <w:tcPr>
            <w:tcW w:w="384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3Q08</w:t>
            </w: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2Q08</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3Q07</w:t>
            </w: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3Q07</w:t>
            </w:r>
          </w:p>
        </w:tc>
        <w:tc>
          <w:tcPr>
            <w:tcW w:w="7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2Q08</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Sep 08</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Sep 07</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Sep 07</w:t>
            </w:r>
          </w:p>
        </w:tc>
      </w:tr>
      <w:tr>
        <w:trPr>
          <w:trHeight w:val="129"/>
        </w:trPr>
        <w:tc>
          <w:tcPr>
            <w:tcW w:w="38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Interest income and expense</w:t>
            </w:r>
          </w:p>
        </w:tc>
        <w:tc>
          <w:tcPr>
            <w:tcW w:w="78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40" w:type="dxa"/>
            <w:vAlign w:val="bottom"/>
            <w:tcBorders>
              <w:top w:val="single" w:sz="8" w:color="auto"/>
            </w:tcBorders>
            <w:shd w:val="clear" w:color="auto" w:fill="CCFFCC"/>
          </w:tcPr>
          <w:p>
            <w:pPr>
              <w:spacing w:after="0"/>
              <w:rPr>
                <w:sz w:val="11"/>
                <w:szCs w:val="11"/>
                <w:color w:val="auto"/>
              </w:rPr>
            </w:pPr>
          </w:p>
        </w:tc>
        <w:tc>
          <w:tcPr>
            <w:tcW w:w="68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62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40" w:type="dxa"/>
            <w:vAlign w:val="bottom"/>
            <w:tcBorders>
              <w:top w:val="single" w:sz="8" w:color="auto"/>
            </w:tcBorders>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Interest and dividend income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322,921</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319,420</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240,181</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34.4%</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939,001</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655,750</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43.2%</w:t>
            </w: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Interest expense</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(144,633)</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(131,061)</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(97,426)</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48.5%</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10.4%</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(399,741)</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(248,559)</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60.8%</w:t>
            </w:r>
          </w:p>
        </w:tc>
      </w:tr>
      <w:tr>
        <w:trPr>
          <w:trHeight w:val="135"/>
        </w:trPr>
        <w:tc>
          <w:tcPr>
            <w:tcW w:w="3840" w:type="dxa"/>
            <w:vAlign w:val="bottom"/>
          </w:tcPr>
          <w:p>
            <w:pPr>
              <w:ind w:left="340"/>
              <w:spacing w:after="0" w:line="135" w:lineRule="exact"/>
              <w:rPr>
                <w:sz w:val="20"/>
                <w:szCs w:val="20"/>
                <w:color w:val="auto"/>
              </w:rPr>
            </w:pPr>
            <w:r>
              <w:rPr>
                <w:rFonts w:ascii="Arial" w:cs="Arial" w:eastAsia="Arial" w:hAnsi="Arial"/>
                <w:sz w:val="13"/>
                <w:szCs w:val="13"/>
                <w:color w:val="auto"/>
              </w:rPr>
              <w:t>Net interest income</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178,288</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188,359</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142,755</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24.9%</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-5.3%</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539,260</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407,191</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32.4%</w:t>
            </w:r>
          </w:p>
        </w:tc>
      </w:tr>
      <w:tr>
        <w:trPr>
          <w:trHeight w:val="135"/>
        </w:trPr>
        <w:tc>
          <w:tcPr>
            <w:tcW w:w="38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Provision for loan losses</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(17,616)</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(10,280)</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(9,241)</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90.6%</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71.4%</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(44,846)</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(21,986)</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104.0%</w:t>
            </w:r>
          </w:p>
        </w:tc>
      </w:tr>
      <w:tr>
        <w:trPr>
          <w:trHeight w:val="135"/>
        </w:trPr>
        <w:tc>
          <w:tcPr>
            <w:tcW w:w="3840" w:type="dxa"/>
            <w:vAlign w:val="bottom"/>
          </w:tcPr>
          <w:p>
            <w:pPr>
              <w:spacing w:after="0" w:line="135" w:lineRule="exact"/>
              <w:rPr>
                <w:sz w:val="20"/>
                <w:szCs w:val="20"/>
                <w:color w:val="auto"/>
              </w:rPr>
            </w:pPr>
            <w:r>
              <w:rPr>
                <w:rFonts w:ascii="Arial" w:cs="Arial" w:eastAsia="Arial" w:hAnsi="Arial"/>
                <w:sz w:val="13"/>
                <w:szCs w:val="13"/>
                <w:color w:val="auto"/>
              </w:rPr>
              <w:t>Non financial income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Banking services commissions</w:t>
            </w:r>
          </w:p>
        </w:tc>
        <w:tc>
          <w:tcPr>
            <w:tcW w:w="9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87,042</w:t>
            </w:r>
          </w:p>
        </w:tc>
        <w:tc>
          <w:tcPr>
            <w:tcW w:w="9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85,228</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75,146</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15.8%</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2.1%</w:t>
            </w:r>
          </w:p>
        </w:tc>
        <w:tc>
          <w:tcPr>
            <w:tcW w:w="9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252,017</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204,602</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23.2%</w:t>
            </w: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Net gain on foreign exchange transactions</w:t>
            </w: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24,497</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31,389</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13,526</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81.1%</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75,857</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38,241</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98.4%</w:t>
            </w: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Net gain on sales of securities</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(3,128)</w:t>
            </w:r>
          </w:p>
        </w:tc>
        <w:tc>
          <w:tcPr>
            <w:tcW w:w="9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3,721</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1,537</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-303.6%</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-184.1%</w:t>
            </w:r>
          </w:p>
        </w:tc>
        <w:tc>
          <w:tcPr>
            <w:tcW w:w="9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23,248</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18,332</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26.8%</w:t>
            </w: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Other</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4,897</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2,009</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1,778</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175.5%</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143.8%</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9,095</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5,895</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54.3%</w:t>
            </w:r>
          </w:p>
        </w:tc>
      </w:tr>
      <w:tr>
        <w:trPr>
          <w:trHeight w:val="135"/>
        </w:trPr>
        <w:tc>
          <w:tcPr>
            <w:tcW w:w="3840" w:type="dxa"/>
            <w:vAlign w:val="bottom"/>
            <w:shd w:val="clear" w:color="auto" w:fill="CCFFCC"/>
          </w:tcPr>
          <w:p>
            <w:pPr>
              <w:ind w:left="340"/>
              <w:spacing w:after="0" w:line="135" w:lineRule="exact"/>
              <w:rPr>
                <w:sz w:val="20"/>
                <w:szCs w:val="20"/>
                <w:color w:val="auto"/>
              </w:rPr>
            </w:pPr>
            <w:r>
              <w:rPr>
                <w:rFonts w:ascii="Arial" w:cs="Arial" w:eastAsia="Arial" w:hAnsi="Arial"/>
                <w:sz w:val="13"/>
                <w:szCs w:val="13"/>
                <w:color w:val="auto"/>
              </w:rPr>
              <w:t>Total fees and income from services, net</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113,308</w:t>
            </w:r>
          </w:p>
        </w:tc>
        <w:tc>
          <w:tcPr>
            <w:tcW w:w="12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122,347</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91,987</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23.2%</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-7.4%</w:t>
            </w:r>
          </w:p>
        </w:tc>
        <w:tc>
          <w:tcPr>
            <w:tcW w:w="9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360,217</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267,070</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34.9%</w:t>
            </w:r>
          </w:p>
        </w:tc>
      </w:tr>
      <w:tr>
        <w:trPr>
          <w:trHeight w:val="135"/>
        </w:trPr>
        <w:tc>
          <w:tcPr>
            <w:tcW w:w="3840" w:type="dxa"/>
            <w:vAlign w:val="bottom"/>
          </w:tcPr>
          <w:p>
            <w:pPr>
              <w:spacing w:after="0" w:line="135" w:lineRule="exact"/>
              <w:rPr>
                <w:sz w:val="20"/>
                <w:szCs w:val="20"/>
                <w:color w:val="auto"/>
              </w:rPr>
            </w:pPr>
            <w:r>
              <w:rPr>
                <w:rFonts w:ascii="Arial" w:cs="Arial" w:eastAsia="Arial" w:hAnsi="Arial"/>
                <w:sz w:val="13"/>
                <w:szCs w:val="13"/>
                <w:color w:val="auto"/>
              </w:rPr>
              <w:t>Operating expenses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Salaries and employees benefits</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(83,496)</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(71,871)</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(59,669)</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39.9%</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16.2%</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(225,920)</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(167,836)</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34.6%</w:t>
            </w: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Administrative expenses</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(56,266)</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(50,669)</w:t>
            </w:r>
          </w:p>
        </w:tc>
        <w:tc>
          <w:tcPr>
            <w:tcW w:w="1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(42,485)</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32.4%</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11.0%</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(155,455)</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(122,870)</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26.5%</w:t>
            </w: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Depreciation and amortization</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(11,800)</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(10,978)</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(9,627)</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22.6%</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7.5%</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(33,142)</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(28,446)</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16.5%</w:t>
            </w: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Other</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(11,915)</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(12,177)</w:t>
            </w:r>
          </w:p>
        </w:tc>
        <w:tc>
          <w:tcPr>
            <w:tcW w:w="1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(8,033)</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48.3%</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(32,991)</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(25,406)</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29.9%</w:t>
            </w:r>
          </w:p>
        </w:tc>
      </w:tr>
      <w:tr>
        <w:trPr>
          <w:trHeight w:val="135"/>
        </w:trPr>
        <w:tc>
          <w:tcPr>
            <w:tcW w:w="3840" w:type="dxa"/>
            <w:vAlign w:val="bottom"/>
            <w:shd w:val="clear" w:color="auto" w:fill="CCFFCC"/>
          </w:tcPr>
          <w:p>
            <w:pPr>
              <w:ind w:left="340"/>
              <w:spacing w:after="0" w:line="135" w:lineRule="exact"/>
              <w:rPr>
                <w:sz w:val="20"/>
                <w:szCs w:val="20"/>
                <w:color w:val="auto"/>
              </w:rPr>
            </w:pPr>
            <w:r>
              <w:rPr>
                <w:rFonts w:ascii="Arial" w:cs="Arial" w:eastAsia="Arial" w:hAnsi="Arial"/>
                <w:sz w:val="13"/>
                <w:szCs w:val="13"/>
                <w:color w:val="auto"/>
              </w:rPr>
              <w:t>Total operating expenses</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(163,477)</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(145,695)</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(119,814)</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36.4%</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12.2%</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(447,508)</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(344,558)</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29.9%</w:t>
            </w:r>
          </w:p>
        </w:tc>
      </w:tr>
      <w:tr>
        <w:trPr>
          <w:trHeight w:val="135"/>
        </w:trPr>
        <w:tc>
          <w:tcPr>
            <w:tcW w:w="3840" w:type="dxa"/>
            <w:vAlign w:val="bottom"/>
          </w:tcPr>
          <w:p>
            <w:pPr>
              <w:spacing w:after="0" w:line="135" w:lineRule="exact"/>
              <w:rPr>
                <w:sz w:val="20"/>
                <w:szCs w:val="20"/>
                <w:color w:val="auto"/>
              </w:rPr>
            </w:pPr>
            <w:r>
              <w:rPr>
                <w:rFonts w:ascii="Arial" w:cs="Arial" w:eastAsia="Arial" w:hAnsi="Arial"/>
                <w:sz w:val="13"/>
                <w:szCs w:val="13"/>
                <w:color w:val="auto"/>
              </w:rPr>
              <w:t>Income before translation results, workers' profit sharing and</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110,503</w:t>
            </w:r>
          </w:p>
        </w:tc>
        <w:tc>
          <w:tcPr>
            <w:tcW w:w="12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154,731</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105,687</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-28.6%</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407,123</w:t>
            </w: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307,717</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32.3%</w:t>
            </w: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Translation result</w:t>
            </w:r>
          </w:p>
        </w:tc>
        <w:tc>
          <w:tcPr>
            <w:tcW w:w="7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8,702</w:t>
            </w:r>
          </w:p>
        </w:tc>
        <w:tc>
          <w:tcPr>
            <w:tcW w:w="12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(49,850)</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12,028</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-27.6%</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-117.5%</w:t>
            </w:r>
          </w:p>
        </w:tc>
        <w:tc>
          <w:tcPr>
            <w:tcW w:w="980" w:type="dxa"/>
            <w:vAlign w:val="bottom"/>
            <w:gridSpan w:val="2"/>
            <w:shd w:val="clear" w:color="auto" w:fill="CCFFCC"/>
          </w:tcPr>
          <w:p>
            <w:pPr>
              <w:jc w:val="right"/>
              <w:ind w:right="140"/>
              <w:spacing w:after="0" w:line="135" w:lineRule="exact"/>
              <w:rPr>
                <w:sz w:val="20"/>
                <w:szCs w:val="20"/>
                <w:color w:val="auto"/>
              </w:rPr>
            </w:pPr>
            <w:r>
              <w:rPr>
                <w:rFonts w:ascii="Arial" w:cs="Arial" w:eastAsia="Arial" w:hAnsi="Arial"/>
                <w:sz w:val="13"/>
                <w:szCs w:val="13"/>
                <w:color w:val="auto"/>
              </w:rPr>
              <w:t>16,102</w:t>
            </w:r>
          </w:p>
        </w:tc>
        <w:tc>
          <w:tcPr>
            <w:tcW w:w="96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14,308</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12.5%</w:t>
            </w:r>
          </w:p>
        </w:tc>
      </w:tr>
      <w:tr>
        <w:trPr>
          <w:trHeight w:val="135"/>
        </w:trPr>
        <w:tc>
          <w:tcPr>
            <w:tcW w:w="3840" w:type="dxa"/>
            <w:vAlign w:val="bottom"/>
          </w:tcPr>
          <w:p>
            <w:pPr>
              <w:ind w:left="180"/>
              <w:spacing w:after="0" w:line="135" w:lineRule="exact"/>
              <w:rPr>
                <w:sz w:val="20"/>
                <w:szCs w:val="20"/>
                <w:color w:val="auto"/>
              </w:rPr>
            </w:pPr>
            <w:r>
              <w:rPr>
                <w:rFonts w:ascii="Arial" w:cs="Arial" w:eastAsia="Arial" w:hAnsi="Arial"/>
                <w:sz w:val="13"/>
                <w:szCs w:val="13"/>
                <w:color w:val="auto"/>
              </w:rPr>
              <w:t>Workers’ profit sharing</w:t>
            </w: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(2,947)</w:t>
            </w:r>
          </w:p>
        </w:tc>
        <w:tc>
          <w:tcPr>
            <w:tcW w:w="9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(2,473)</w:t>
            </w:r>
          </w:p>
        </w:tc>
        <w:tc>
          <w:tcPr>
            <w:tcW w:w="14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(3,694)</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-20.2%</w:t>
            </w:r>
          </w:p>
        </w:tc>
        <w:tc>
          <w:tcPr>
            <w:tcW w:w="20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19.2%</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(10,493)</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(10,090)</w:t>
            </w:r>
          </w:p>
        </w:tc>
        <w:tc>
          <w:tcPr>
            <w:tcW w:w="9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4.0%</w:t>
            </w:r>
          </w:p>
        </w:tc>
      </w:tr>
      <w:tr>
        <w:trPr>
          <w:trHeight w:val="135"/>
        </w:trPr>
        <w:tc>
          <w:tcPr>
            <w:tcW w:w="38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Income taxes</w:t>
            </w:r>
          </w:p>
        </w:tc>
        <w:tc>
          <w:tcPr>
            <w:tcW w:w="9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(23,176)</w:t>
            </w:r>
          </w:p>
        </w:tc>
        <w:tc>
          <w:tcPr>
            <w:tcW w:w="94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(24,368)</w:t>
            </w:r>
          </w:p>
        </w:tc>
        <w:tc>
          <w:tcPr>
            <w:tcW w:w="1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(23,287)</w:t>
            </w:r>
          </w:p>
        </w:tc>
        <w:tc>
          <w:tcPr>
            <w:tcW w:w="9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-0.5%</w:t>
            </w:r>
          </w:p>
        </w:tc>
        <w:tc>
          <w:tcPr>
            <w:tcW w:w="20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-4.9%</w:t>
            </w:r>
          </w:p>
        </w:tc>
        <w:tc>
          <w:tcPr>
            <w:tcW w:w="98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(75,836)</w:t>
            </w:r>
          </w:p>
        </w:tc>
        <w:tc>
          <w:tcPr>
            <w:tcW w:w="96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(66,480)</w:t>
            </w:r>
          </w:p>
        </w:tc>
        <w:tc>
          <w:tcPr>
            <w:tcW w:w="980" w:type="dxa"/>
            <w:vAlign w:val="bottom"/>
            <w:gridSpan w:val="2"/>
            <w:shd w:val="clear" w:color="auto" w:fill="CCFFCC"/>
          </w:tcPr>
          <w:p>
            <w:pPr>
              <w:jc w:val="right"/>
              <w:ind w:right="40"/>
              <w:spacing w:after="0" w:line="135" w:lineRule="exact"/>
              <w:rPr>
                <w:sz w:val="20"/>
                <w:szCs w:val="20"/>
                <w:color w:val="auto"/>
              </w:rPr>
            </w:pPr>
            <w:r>
              <w:rPr>
                <w:rFonts w:ascii="Arial" w:cs="Arial" w:eastAsia="Arial" w:hAnsi="Arial"/>
                <w:sz w:val="13"/>
                <w:szCs w:val="13"/>
                <w:color w:val="auto"/>
              </w:rPr>
              <w:t>14.1%</w:t>
            </w:r>
          </w:p>
        </w:tc>
      </w:tr>
      <w:tr>
        <w:trPr>
          <w:trHeight w:val="160"/>
        </w:trPr>
        <w:tc>
          <w:tcPr>
            <w:tcW w:w="3840" w:type="dxa"/>
            <w:vAlign w:val="bottom"/>
          </w:tcPr>
          <w:p>
            <w:pPr>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93,082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78,040</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90,734</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19.3%</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336,896</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245,454</w:t>
            </w:r>
          </w:p>
        </w:tc>
        <w:tc>
          <w:tcPr>
            <w:tcW w:w="980" w:type="dxa"/>
            <w:vAlign w:val="bottom"/>
            <w:gridSpan w:val="2"/>
          </w:tcPr>
          <w:p>
            <w:pPr>
              <w:jc w:val="right"/>
              <w:ind w:right="40"/>
              <w:spacing w:after="0"/>
              <w:rPr>
                <w:sz w:val="20"/>
                <w:szCs w:val="20"/>
                <w:color w:val="auto"/>
              </w:rPr>
            </w:pPr>
            <w:r>
              <w:rPr>
                <w:rFonts w:ascii="Arial" w:cs="Arial" w:eastAsia="Arial" w:hAnsi="Arial"/>
                <w:sz w:val="13"/>
                <w:szCs w:val="13"/>
                <w:color w:val="auto"/>
              </w:rPr>
              <w:t>37.3%</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INDICATORS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Three months ended</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3Q08</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2Q08</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3Q07</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Sep-08</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Sep-07</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4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Profitability</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Net income per common share (US$ per share)(1)</w:t>
            </w:r>
          </w:p>
        </w:tc>
        <w:tc>
          <w:tcPr>
            <w:tcW w:w="1480" w:type="dxa"/>
            <w:vAlign w:val="bottom"/>
            <w:gridSpan w:val="3"/>
          </w:tcPr>
          <w:p>
            <w:pPr>
              <w:jc w:val="right"/>
              <w:ind w:right="48"/>
              <w:spacing w:after="0" w:line="149" w:lineRule="exact"/>
              <w:rPr>
                <w:sz w:val="20"/>
                <w:szCs w:val="20"/>
                <w:color w:val="auto"/>
              </w:rPr>
            </w:pPr>
            <w:r>
              <w:rPr>
                <w:rFonts w:ascii="Arial" w:cs="Arial" w:eastAsia="Arial" w:hAnsi="Arial"/>
                <w:sz w:val="14"/>
                <w:szCs w:val="14"/>
                <w:color w:val="auto"/>
              </w:rPr>
              <w:t>0.062</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0.052</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0.071</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0.223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interest margin on interest earning assets (2)</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4.30%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4.66%</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4.82%</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4.53%</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Return on average total assets (2)(3)</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Return on average shareholders' equity (2)(3)</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28.93%</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25.49%</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36.13%</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35.75%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No. of outstanding shares (millions)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1,508.29</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1,508.29</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1,508.29</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1,286.53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Quality of loan portfolio</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Past due loans as a percentage of total loans</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0.78%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0.91%</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0.78%</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0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Reserves for loan losses as a percentage of</w:t>
            </w:r>
          </w:p>
        </w:tc>
        <w:tc>
          <w:tcPr>
            <w:tcW w:w="2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total past due loans</w:t>
            </w: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4"/>
                <w:szCs w:val="14"/>
                <w:color w:val="auto"/>
              </w:rPr>
              <w:t>299.17%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318.72%</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300.65%</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299.17%</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300.65%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900" w:type="dxa"/>
            <w:vAlign w:val="bottom"/>
          </w:tcPr>
          <w:p>
            <w:pPr>
              <w:ind w:left="160"/>
              <w:spacing w:after="0" w:line="130" w:lineRule="exact"/>
              <w:rPr>
                <w:sz w:val="20"/>
                <w:szCs w:val="20"/>
                <w:color w:val="auto"/>
              </w:rPr>
            </w:pPr>
            <w:r>
              <w:rPr>
                <w:rFonts w:ascii="Arial" w:cs="Arial" w:eastAsia="Arial" w:hAnsi="Arial"/>
                <w:sz w:val="14"/>
                <w:szCs w:val="14"/>
                <w:color w:val="auto"/>
              </w:rPr>
              <w:t>Reserves for loan losses as a percentage of</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total loans</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2.33%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2.37%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2.33%</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Operating efficiency</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Oper. expense as a percent. of total income (4)</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52.29%</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43.78%</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48.30%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Oper. expense as a percent. of av. tot. assets(2)(3)(4)</w:t>
            </w:r>
          </w:p>
        </w:tc>
        <w:tc>
          <w:tcPr>
            <w:tcW w:w="1480" w:type="dxa"/>
            <w:vAlign w:val="bottom"/>
            <w:gridSpan w:val="3"/>
            <w:shd w:val="clear" w:color="auto" w:fill="CCFFCC"/>
          </w:tcPr>
          <w:p>
            <w:pPr>
              <w:jc w:val="right"/>
              <w:spacing w:after="0" w:line="149" w:lineRule="exact"/>
              <w:rPr>
                <w:sz w:val="20"/>
                <w:szCs w:val="20"/>
                <w:color w:val="auto"/>
              </w:rPr>
            </w:pPr>
            <w:r>
              <w:rPr>
                <w:rFonts w:ascii="Arial" w:cs="Arial" w:eastAsia="Arial" w:hAnsi="Arial"/>
                <w:sz w:val="14"/>
                <w:szCs w:val="14"/>
                <w:color w:val="auto"/>
              </w:rPr>
              <w:t>3.35%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3.03%</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3.45%</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3.10%</w:t>
            </w:r>
          </w:p>
        </w:tc>
        <w:tc>
          <w:tcPr>
            <w:tcW w:w="1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Capital adequancy</w:t>
            </w: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'Total Regulatory Capital (US$Mn)</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997</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742</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982</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'Tier 1 (US$Mn)</w:t>
            </w:r>
          </w:p>
        </w:tc>
        <w:tc>
          <w:tcPr>
            <w:tcW w:w="1480" w:type="dxa"/>
            <w:vAlign w:val="bottom"/>
            <w:gridSpan w:val="3"/>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10,277</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9,579</w:t>
            </w: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7,579</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10,277</w:t>
            </w: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'Regulatory capital / risk-weighted assets (5)</w:t>
            </w:r>
          </w:p>
        </w:tc>
        <w:tc>
          <w:tcPr>
            <w:tcW w:w="1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12.25%</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b w:val="1"/>
                <w:bCs w:val="1"/>
                <w:color w:val="auto"/>
              </w:rPr>
              <w:t>Average balances (millions of US$) (3)</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Interest earning assets</w:t>
            </w:r>
          </w:p>
        </w:tc>
        <w:tc>
          <w:tcPr>
            <w:tcW w:w="13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16,568.8</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16,168.8</w:t>
            </w:r>
          </w:p>
        </w:tc>
        <w:tc>
          <w:tcPr>
            <w:tcW w:w="12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11,843.2</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15,865.6</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10,976.5</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160"/>
              <w:spacing w:after="0" w:line="149" w:lineRule="exact"/>
              <w:rPr>
                <w:sz w:val="20"/>
                <w:szCs w:val="20"/>
                <w:color w:val="auto"/>
              </w:rPr>
            </w:pPr>
            <w:r>
              <w:rPr>
                <w:rFonts w:ascii="Arial" w:cs="Arial" w:eastAsia="Arial" w:hAnsi="Arial"/>
                <w:sz w:val="14"/>
                <w:szCs w:val="14"/>
                <w:color w:val="auto"/>
              </w:rPr>
              <w:t>Total Assets</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18,123.8</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17,636.3</w:t>
            </w:r>
          </w:p>
        </w:tc>
        <w:tc>
          <w:tcPr>
            <w:tcW w:w="1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12,976.3</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17,849.0</w:t>
            </w:r>
          </w:p>
        </w:tc>
        <w:tc>
          <w:tcPr>
            <w:tcW w:w="1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12,451.9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Net equity</w:t>
            </w:r>
          </w:p>
        </w:tc>
        <w:tc>
          <w:tcPr>
            <w:tcW w:w="13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1,287.0</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1,224.9</w:t>
            </w:r>
          </w:p>
        </w:tc>
        <w:tc>
          <w:tcPr>
            <w:tcW w:w="12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1,004.6</w:t>
            </w:r>
          </w:p>
        </w:tc>
        <w:tc>
          <w:tcPr>
            <w:tcW w:w="12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1,256.5</w:t>
            </w:r>
          </w:p>
        </w:tc>
        <w:tc>
          <w:tcPr>
            <w:tcW w:w="12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963.6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 1,287 million is used for all periods since shares have been issued only for capitalization of profits and inflation adjustment.</w:t>
      </w:r>
    </w:p>
    <w:p>
      <w:pPr>
        <w:spacing w:after="0" w:line="34" w:lineRule="exact"/>
        <w:rPr>
          <w:rFonts w:ascii="Arial" w:cs="Arial" w:eastAsia="Arial" w:hAnsi="Arial"/>
          <w:sz w:val="17"/>
          <w:szCs w:val="17"/>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Risk-weighted assets include market risk assets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6143625</wp:posOffset>
            </wp:positionH>
            <wp:positionV relativeFrom="page">
              <wp:posOffset>88900</wp:posOffset>
            </wp:positionV>
            <wp:extent cx="1260475" cy="368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260475" cy="368935"/>
                    </a:xfrm>
                    <a:prstGeom prst="rect">
                      <a:avLst/>
                    </a:prstGeom>
                    <a:noFill/>
                  </pic:spPr>
                </pic:pic>
              </a:graphicData>
            </a:graphic>
          </wp:anchor>
        </w:drawing>
        <w:t>EL PACIFICO-PERUANO SUIZA Y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 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0" w:type="dxa"/>
            <w:vAlign w:val="bottom"/>
            <w:gridSpan w:val="5"/>
          </w:tcPr>
          <w:p>
            <w:pPr>
              <w:jc w:val="center"/>
              <w:ind w:left="848"/>
              <w:spacing w:after="0"/>
              <w:rPr>
                <w:sz w:val="20"/>
                <w:szCs w:val="20"/>
                <w:color w:val="auto"/>
              </w:rPr>
            </w:pPr>
            <w:r>
              <w:rPr>
                <w:rFonts w:ascii="Arial" w:cs="Arial" w:eastAsia="Arial" w:hAnsi="Arial"/>
                <w:sz w:val="14"/>
                <w:szCs w:val="14"/>
                <w:b w:val="1"/>
                <w:bCs w:val="1"/>
                <w:color w:val="auto"/>
                <w:w w:val="92"/>
              </w:rPr>
              <w:t>Balance to and 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3"/>
            <w:vMerge w:val="restart"/>
          </w:tcPr>
          <w:p>
            <w:pPr>
              <w:jc w:val="right"/>
              <w:ind w:right="60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0" w:type="dxa"/>
            <w:vAlign w:val="bottom"/>
            <w:tcBorders>
              <w:bottom w:val="single" w:sz="8" w:color="auto"/>
            </w:tcBorders>
            <w:gridSpan w:val="5"/>
          </w:tcPr>
          <w:p>
            <w:pPr>
              <w:jc w:val="center"/>
              <w:ind w:left="828"/>
              <w:spacing w:after="0"/>
              <w:rPr>
                <w:sz w:val="20"/>
                <w:szCs w:val="20"/>
                <w:color w:val="auto"/>
              </w:rPr>
            </w:pPr>
            <w:r>
              <w:rPr>
                <w:rFonts w:ascii="Arial" w:cs="Arial" w:eastAsia="Arial" w:hAnsi="Arial"/>
                <w:sz w:val="14"/>
                <w:szCs w:val="14"/>
                <w:b w:val="1"/>
                <w:bCs w:val="1"/>
                <w:color w:val="auto"/>
                <w:w w:val="92"/>
              </w:rPr>
              <w:t>Of three months ending of</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tcBorders>
              <w:bottom w:val="single" w:sz="8" w:color="auto"/>
            </w:tcBorders>
            <w:gridSpan w:val="3"/>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30-Sep-08</w:t>
            </w: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30-Jun-08</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30-Sep-07</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Sep-08</w:t>
            </w: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3Q08</w:t>
            </w:r>
          </w:p>
        </w:tc>
        <w:tc>
          <w:tcPr>
            <w:tcW w:w="14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2Q08</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3Q07</w:t>
            </w:r>
          </w:p>
        </w:tc>
        <w:tc>
          <w:tcPr>
            <w:tcW w:w="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Results</w:t>
            </w: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premiums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148,334</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149,246</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114,985</w:t>
            </w: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435,071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336,856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Ceded premiums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25,361</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24,021</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23,624</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76,676</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Ajustment of reserves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15,973</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25,936</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14,236</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60,515</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Earned net premiums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107,001</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99,289</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77,125</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297,881</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223,195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Direct claims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104,371</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109,334</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109,306</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310,771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227,303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Ceded claims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16,731</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15,915</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44,604</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53,620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claims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87,640</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93,419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64,702</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257,151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169,709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Direct commissions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24,966</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11,993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9,706</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47,480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27,553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Commissions Received</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1,738</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2,499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1,085</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6,680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Net commissions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23,228</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9,494</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8,621</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40,800</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22,913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Technical expenses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(929)</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10,612</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7,543</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19,026</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Technical results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2,503</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2,553</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1,977</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7,512</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technical expenses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(3,432)</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8,059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5,566</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11,514</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15,652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Technical results</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(436)</w:t>
            </w: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(11,684)</w:t>
            </w:r>
          </w:p>
        </w:tc>
        <w:tc>
          <w:tcPr>
            <w:tcW w:w="22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(1,764)</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(11,584)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14,922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Financial Income</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17,128</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19,629</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14,392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52,159</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Gains on sale of Real Estate and Securities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6,738</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4,336</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4,905</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13,581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17,711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Renting ( net of expenses)</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742</w:t>
            </w:r>
          </w:p>
        </w:tc>
        <w:tc>
          <w:tcPr>
            <w:tcW w:w="1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2,193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 Financial expenses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824</w:t>
            </w: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540</w:t>
            </w: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988</w:t>
            </w: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1,790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income , net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23,762</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24,170</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19,051</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66,144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59,248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Salaries and benefits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10,190</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10,427</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9,395</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31,804</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10,776</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9,224</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9,919</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28,913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Third party services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4,515</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3,939</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4,052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12,581</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11,407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Sundry management expenses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1,756</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1,913</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2,055</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5,470</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Provisions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1,230</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1,281</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1,034</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3,685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Taxes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1,358</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1,096</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1,257</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3,617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1,917</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996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1,522</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3,561</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General Expenses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20,966</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19,651</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19,314</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60,717</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54,559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Other income</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543</w:t>
            </w: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60" w:type="dxa"/>
            <w:vAlign w:val="bottom"/>
          </w:tcPr>
          <w:p>
            <w:pPr>
              <w:spacing w:after="0"/>
              <w:rPr>
                <w:sz w:val="12"/>
                <w:szCs w:val="12"/>
                <w:color w:val="auto"/>
              </w:rPr>
            </w:pP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Translation results</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(154)</w:t>
            </w:r>
          </w:p>
        </w:tc>
        <w:tc>
          <w:tcPr>
            <w:tcW w:w="13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(6,502)</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1,599</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(733)</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Employee participation and income tax</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(1,726)</w:t>
            </w: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(4,622)</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2,734</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(5,553)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4,021</w:t>
            </w:r>
          </w:p>
        </w:tc>
        <w:tc>
          <w:tcPr>
            <w:tcW w:w="13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(9,101)</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(2,620)</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(428)</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19,074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1,288</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4,783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1,221</w:t>
            </w:r>
          </w:p>
        </w:tc>
        <w:tc>
          <w:tcPr>
            <w:tcW w:w="13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(9,525)</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(3,908)</w:t>
            </w:r>
          </w:p>
        </w:tc>
        <w:tc>
          <w:tcPr>
            <w:tcW w:w="12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(5,211)</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11,606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(end of period)</w:t>
            </w: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1,303,089</w:t>
            </w: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1,280,650</w:t>
            </w: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1,115,080</w:t>
            </w:r>
          </w:p>
        </w:tc>
        <w:tc>
          <w:tcPr>
            <w:tcW w:w="1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1,303,089</w:t>
            </w: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1,115,080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Investment on Securities and Real State (1)</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853,733</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852,456</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798,878</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853,733</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798,878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Reserves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963,148</w:t>
            </w:r>
          </w:p>
        </w:tc>
        <w:tc>
          <w:tcPr>
            <w:tcW w:w="130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920,279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758,482</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963,148</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758,482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Equity</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152,645</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185,942</w:t>
            </w:r>
          </w:p>
        </w:tc>
        <w:tc>
          <w:tcPr>
            <w:tcW w:w="22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208,208</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152,645</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208,208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Ratios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Ceded Premiums / Total Premiums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17.1%</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16.1%</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20.5%</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claims / Earned net premiums</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81.9%</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94.1%</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83.9%</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86.3%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Commissions + technical expenses , net / Earnend net premiums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18.4%</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17.6%</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technical results / Earned net premiums -</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General Expenses / Earned net premiums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19.6%</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20.4%</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Equity (2)(3)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2.9%</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-17.9%</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Return on Total Premiums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Equity / Total Assets</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18.7%</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Increase in Technical Reserves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13.0%</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15.6%</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 Assets (2)(3)</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Comibined Ratio of PPS + PS (4)</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117.4%</w:t>
            </w:r>
          </w:p>
        </w:tc>
        <w:tc>
          <w:tcPr>
            <w:tcW w:w="130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128.6%</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b w:val="1"/>
                <w:bCs w:val="1"/>
                <w:color w:val="auto"/>
              </w:rPr>
              <w:t>129.3%</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120.6%</w:t>
            </w:r>
          </w:p>
        </w:tc>
        <w:tc>
          <w:tcPr>
            <w:tcW w:w="12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Net Claims / Earned net premiums</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86.9%</w:t>
            </w: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99.2%</w:t>
            </w:r>
          </w:p>
        </w:tc>
        <w:tc>
          <w:tcPr>
            <w:tcW w:w="2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90.6%</w:t>
            </w:r>
          </w:p>
        </w:tc>
        <w:tc>
          <w:tcPr>
            <w:tcW w:w="1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90.6%</w:t>
            </w: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General Expenses and Commissions / Earned net premiums</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30.5%</w:t>
            </w:r>
          </w:p>
        </w:tc>
        <w:tc>
          <w:tcPr>
            <w:tcW w:w="1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29.4%</w:t>
            </w:r>
          </w:p>
        </w:tc>
        <w:tc>
          <w:tcPr>
            <w:tcW w:w="220" w:type="dxa"/>
            <w:vAlign w:val="bottom"/>
            <w:shd w:val="clear" w:color="auto" w:fill="CCFFCC"/>
          </w:tcPr>
          <w:p>
            <w:pPr>
              <w:spacing w:after="0"/>
              <w:rPr>
                <w:sz w:val="12"/>
                <w:szCs w:val="12"/>
                <w:color w:val="auto"/>
              </w:rPr>
            </w:pPr>
          </w:p>
        </w:tc>
        <w:tc>
          <w:tcPr>
            <w:tcW w:w="106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38.7%</w:t>
            </w:r>
          </w:p>
        </w:tc>
        <w:tc>
          <w:tcPr>
            <w:tcW w:w="12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30.0%</w:t>
            </w:r>
          </w:p>
        </w:tc>
        <w:tc>
          <w:tcPr>
            <w:tcW w:w="12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(1)Real State Investment were excluded</w:t>
      </w:r>
    </w:p>
    <w:p>
      <w:pPr>
        <w:spacing w:after="0" w:line="23"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period-beggining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35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Date: November 6, 2008</w:t>
      </w:r>
    </w:p>
    <w:p>
      <w:pPr>
        <w:spacing w:after="0" w:line="200" w:lineRule="exact"/>
        <w:rPr>
          <w:sz w:val="20"/>
          <w:szCs w:val="20"/>
          <w:color w:val="auto"/>
        </w:rPr>
      </w:pPr>
    </w:p>
    <w:p>
      <w:pPr>
        <w:spacing w:after="0" w:line="34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60"/>
        <w:spacing w:after="0"/>
        <w:tabs>
          <w:tab w:leader="none" w:pos="5940" w:val="left"/>
        </w:tabs>
        <w:rPr>
          <w:sz w:val="20"/>
          <w:szCs w:val="20"/>
          <w:color w:val="auto"/>
        </w:rPr>
      </w:pPr>
      <w:r>
        <w:rPr>
          <w:rFonts w:ascii="Arial" w:cs="Arial" w:eastAsia="Arial" w:hAnsi="Arial"/>
          <w:sz w:val="18"/>
          <w:szCs w:val="18"/>
          <w:color w:val="auto"/>
        </w:rPr>
        <w:t>By:</w:t>
        <w:tab/>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3776345</wp:posOffset>
            </wp:positionH>
            <wp:positionV relativeFrom="paragraph">
              <wp:posOffset>115570</wp:posOffset>
            </wp:positionV>
            <wp:extent cx="176212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62125" cy="21590"/>
                    </a:xfrm>
                    <a:prstGeom prst="rect">
                      <a:avLst/>
                    </a:prstGeom>
                    <a:noFill/>
                  </pic:spPr>
                </pic:pic>
              </a:graphicData>
            </a:graphic>
          </wp:anchor>
        </w:drawing>
      </w:r>
    </w:p>
    <w:p>
      <w:pPr>
        <w:spacing w:after="0" w:line="28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353" w:lineRule="exact"/>
        <w:rPr>
          <w:sz w:val="20"/>
          <w:szCs w:val="20"/>
          <w:color w:val="auto"/>
        </w:rPr>
      </w:pPr>
    </w:p>
    <w:p>
      <w:pPr>
        <w:jc w:val="both"/>
        <w:ind w:right="44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sectPr>
      <w:pgSz w:w="11900" w:h="16838" w:orient="portrait"/>
      <w:cols w:equalWidth="0" w:num="1">
        <w:col w:w="11400"/>
      </w:cols>
      <w:pgMar w:left="240" w:top="3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2019-12-14T06:45:25Z</dcterms:created>
  <dcterms:modified xsi:type="dcterms:W3CDTF">2019-12-14T06:45:25Z</dcterms:modified>
</cp:coreProperties>
</file>