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419735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6-K</w:t>
      </w:r>
    </w:p>
    <w:p>
      <w:pPr>
        <w:spacing w:after="0" w:line="28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Exchange Act of 1934</w:t>
      </w:r>
    </w:p>
    <w:p>
      <w:pPr>
        <w:spacing w:after="0" w:line="26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August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257810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CREDICORP LTD.</w:t>
      </w:r>
    </w:p>
    <w:p>
      <w:pPr>
        <w:spacing w:after="0" w:line="2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65"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88"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Form 20-F x Form 40-F o</w:t>
      </w:r>
    </w:p>
    <w:p>
      <w:pPr>
        <w:spacing w:after="0" w:line="276"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422275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60" w:top="234" w:right="6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5371465</wp:posOffset>
            </wp:positionH>
            <wp:positionV relativeFrom="page">
              <wp:posOffset>260350</wp:posOffset>
            </wp:positionV>
            <wp:extent cx="1998345"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998345" cy="626110"/>
                    </a:xfrm>
                    <a:prstGeom prst="rect">
                      <a:avLst/>
                    </a:prstGeom>
                    <a:noFill/>
                  </pic:spPr>
                </pic:pic>
              </a:graphicData>
            </a:graphic>
          </wp:anchor>
        </w:drawing>
        <w:t>February 28, 2008</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COMISIÓN NACIONAL SUPERVISORA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CONASEV</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 LTD., in accordance with article 28 of the Capital Markets Law and CONASEV Resolution for Material Events and Reserved Information and Other Communications number 107-2002-EF/94.10, as modified by CONASEV Resolution number 009-2003-EF/94.10, complies with notifying you of the following Material Event:</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Credicorp’s Board of Directors, in its session held on February 27, 2008, agreed to submit for consideration and approval at the company’s Annual General Meeting of Shareholders, which will be held on March 28, 2008, the following matters:</w:t>
      </w:r>
    </w:p>
    <w:p>
      <w:pPr>
        <w:spacing w:after="0" w:line="265" w:lineRule="exact"/>
        <w:rPr>
          <w:sz w:val="20"/>
          <w:szCs w:val="20"/>
          <w:color w:val="auto"/>
        </w:rPr>
      </w:pPr>
    </w:p>
    <w:p>
      <w:pPr>
        <w:ind w:left="680" w:hanging="672"/>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the Annual Report of the Company for the financial year 2007.</w:t>
      </w:r>
    </w:p>
    <w:p>
      <w:pPr>
        <w:spacing w:after="0" w:line="333" w:lineRule="exact"/>
        <w:rPr>
          <w:rFonts w:ascii="Arial" w:cs="Arial" w:eastAsia="Arial" w:hAnsi="Arial"/>
          <w:sz w:val="18"/>
          <w:szCs w:val="18"/>
          <w:color w:val="auto"/>
        </w:rPr>
      </w:pPr>
    </w:p>
    <w:p>
      <w:pPr>
        <w:ind w:firstLine="8"/>
        <w:spacing w:after="0" w:line="293" w:lineRule="auto"/>
        <w:tabs>
          <w:tab w:leader="none" w:pos="675"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the consolidated financial statements of the Company and its subsidiaries for the year ended December 31, 2007, including the report of the independent auditors Medina, Zaldívar, Paredes &amp; Asociados, a member firm of Ernst &amp; Young in Perú.</w:t>
      </w: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agenda of Board of Directors held on January 24, 2008 also included the designation of the Directors of the Company for a 3 year period and their remuneration.</w:t>
      </w:r>
    </w:p>
    <w:p>
      <w:pPr>
        <w:spacing w:after="0" w:line="265" w:lineRule="exact"/>
        <w:rPr>
          <w:sz w:val="20"/>
          <w:szCs w:val="20"/>
          <w:color w:val="auto"/>
        </w:rPr>
      </w:pPr>
    </w:p>
    <w:p>
      <w:pPr>
        <w:jc w:val="both"/>
        <w:ind w:firstLine="8"/>
        <w:spacing w:after="0" w:line="264" w:lineRule="auto"/>
        <w:tabs>
          <w:tab w:leader="none" w:pos="675" w:val="left"/>
        </w:tabs>
        <w:numPr>
          <w:ilvl w:val="0"/>
          <w:numId w:val="2"/>
        </w:numPr>
        <w:rPr>
          <w:rFonts w:ascii="Arial" w:cs="Arial" w:eastAsia="Arial" w:hAnsi="Arial"/>
          <w:sz w:val="18"/>
          <w:szCs w:val="18"/>
          <w:color w:val="auto"/>
        </w:rPr>
      </w:pPr>
      <w:r>
        <w:rPr>
          <w:rFonts w:ascii="Arial" w:cs="Arial" w:eastAsia="Arial" w:hAnsi="Arial"/>
          <w:sz w:val="18"/>
          <w:szCs w:val="18"/>
          <w:color w:val="auto"/>
        </w:rPr>
        <w:t>Credicorp´s Board of Directors, agreed to pay its shareholders a cash dividend of US$ 141,573,475.50 for a total of 94,382,317 outstanding shares equivalent to US$ 1.50 per share payable on May 7, 2008 to shareholders registered as of April 16, 2008.The Board of Directors approved the distribution of dividend according to the bylaw of the Company and considering a total net income of US$ 350,735,671.42 attained in fiscal year 2007 plus retained earnings of US$ 19,007,009.00.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also agreed to transfer US$ 228,169,294.92 to legal reserves.</w:t>
      </w:r>
    </w:p>
    <w:p>
      <w:pPr>
        <w:spacing w:after="0" w:line="200" w:lineRule="exact"/>
        <w:rPr>
          <w:sz w:val="20"/>
          <w:szCs w:val="20"/>
          <w:color w:val="auto"/>
        </w:rPr>
      </w:pPr>
    </w:p>
    <w:p>
      <w:pPr>
        <w:spacing w:after="0" w:line="34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accordance with CONASEV Resolution No. 107-2002-EF/94.10.0, we are enclosing the company’s Annual Report and consolidated financial statements as of December 31, 2007 together with the external auditor’s opinion, as well as the 2007 Annual Information Document, also approved by the Board.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Fernando Palao</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CREDICORP LTD.</w:t>
      </w:r>
    </w:p>
    <w:p>
      <w:pPr>
        <w:spacing w:after="0" w:line="24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February 29, 2008</w:t>
      </w:r>
      <w:r>
        <w:rPr>
          <w:sz w:val="20"/>
          <w:szCs w:val="20"/>
          <w:color w:val="auto"/>
        </w:rPr>
        <w:tab/>
      </w:r>
      <w:r>
        <w:rPr>
          <w:rFonts w:ascii="Arial" w:cs="Arial" w:eastAsia="Arial" w:hAnsi="Arial"/>
          <w:sz w:val="15"/>
          <w:szCs w:val="15"/>
          <w:color w:val="auto"/>
        </w:rPr>
        <w:t xml:space="preserve">By: </w:t>
      </w:r>
      <w:r>
        <w:rPr>
          <w:rFonts w:ascii="Arial" w:cs="Arial" w:eastAsia="Arial" w:hAnsi="Arial"/>
          <w:sz w:val="27"/>
          <w:szCs w:val="27"/>
          <w:color w:val="auto"/>
          <w:vertAlign w:val="subscript"/>
        </w:rPr>
        <w:t>/s/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177165</wp:posOffset>
            </wp:positionV>
            <wp:extent cx="280860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08605" cy="21590"/>
                    </a:xfrm>
                    <a:prstGeom prst="rect">
                      <a:avLst/>
                    </a:prstGeom>
                    <a:noFill/>
                  </pic:spPr>
                </pic:pic>
              </a:graphicData>
            </a:graphic>
          </wp:anchor>
        </w:drawing>
      </w:r>
    </w:p>
    <w:p>
      <w:pPr>
        <w:spacing w:after="0" w:line="383"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Guillermo Castillo</w:t>
      </w:r>
    </w:p>
    <w:p>
      <w:pPr>
        <w:spacing w:after="0" w:line="4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Authorized Representative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353" w:lineRule="exact"/>
        <w:rPr>
          <w:sz w:val="20"/>
          <w:szCs w:val="20"/>
          <w:color w:val="auto"/>
        </w:rPr>
      </w:pPr>
    </w:p>
    <w:p>
      <w:pPr>
        <w:jc w:val="both"/>
        <w:ind w:right="460"/>
        <w:spacing w:after="0" w:line="307" w:lineRule="auto"/>
        <w:rPr>
          <w:sz w:val="20"/>
          <w:szCs w:val="20"/>
          <w:color w:val="auto"/>
        </w:rPr>
      </w:pPr>
      <w:r>
        <w:rPr>
          <w:rFonts w:ascii="Arial" w:cs="Arial" w:eastAsia="Arial" w:hAnsi="Arial"/>
          <w:sz w:val="15"/>
          <w:szCs w:val="15"/>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2019-12-14T06:56:09Z</dcterms:created>
  <dcterms:modified xsi:type="dcterms:W3CDTF">2019-12-14T06:56:09Z</dcterms:modified>
</cp:coreProperties>
</file>