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April,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March 27,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Comisión Nacional Supervisora</w:t>
      </w:r>
    </w:p>
    <w:p>
      <w:pPr>
        <w:spacing w:after="0" w:line="238" w:lineRule="auto"/>
        <w:rPr>
          <w:sz w:val="20"/>
          <w:szCs w:val="20"/>
          <w:color w:val="auto"/>
        </w:rPr>
      </w:pPr>
      <w:r>
        <w:rPr>
          <w:rFonts w:ascii="Courier New" w:cs="Courier New" w:eastAsia="Courier New" w:hAnsi="Courier New"/>
          <w:sz w:val="18"/>
          <w:szCs w:val="18"/>
          <w:color w:val="auto"/>
        </w:rPr>
        <w:t>de Empresas y Valores</w:t>
      </w:r>
    </w:p>
    <w:p>
      <w:pPr>
        <w:spacing w:after="0"/>
        <w:rPr>
          <w:sz w:val="20"/>
          <w:szCs w:val="20"/>
          <w:color w:val="auto"/>
        </w:rPr>
      </w:pPr>
      <w:r>
        <w:rPr>
          <w:rFonts w:ascii="Courier New" w:cs="Courier New" w:eastAsia="Courier New" w:hAnsi="Courier New"/>
          <w:sz w:val="18"/>
          <w:szCs w:val="18"/>
          <w:color w:val="auto"/>
        </w:rPr>
        <w:t>CONASEV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Reference: Material Event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Our company, Credicorp Ltd. (NYSE: BAP) in accordance with article 28 of the Peruvian Capital Market Law, and the CONASEV resolution N° 107-2002-EF/94.10.0 (The Rule), hereby notify you of the following “Material Event”:</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Board of Directors of Credicorp Ltd. has approved the Corporate Governance Policy, which contains General Rules and Control, Disclosure Controls and Procedures, Audit Committee charter, and Code of Ethics according to Sarbanes – Oxley Act.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Additionally, the Board has elected Mr. Fernando Palao Alvarez, Corporate Secretary as Credicorp Security Representative</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Enclosed you will find a brief summary of the document approved for the Corporate Governance Policy.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Fernando Palao</w:t>
      </w:r>
    </w:p>
    <w:p>
      <w:pPr>
        <w:spacing w:after="0" w:line="238" w:lineRule="auto"/>
        <w:rPr>
          <w:sz w:val="20"/>
          <w:szCs w:val="20"/>
          <w:color w:val="auto"/>
        </w:rPr>
      </w:pPr>
      <w:r>
        <w:rPr>
          <w:rFonts w:ascii="Courier New" w:cs="Courier New" w:eastAsia="Courier New" w:hAnsi="Courier New"/>
          <w:sz w:val="18"/>
          <w:szCs w:val="18"/>
          <w:color w:val="auto"/>
        </w:rPr>
        <w:t>Credicorp Security Representative</w:t>
      </w:r>
    </w:p>
    <w:p>
      <w:pPr>
        <w:spacing w:after="0"/>
        <w:rPr>
          <w:sz w:val="20"/>
          <w:szCs w:val="20"/>
          <w:color w:val="auto"/>
        </w:rPr>
      </w:pPr>
      <w:r>
        <w:rPr>
          <w:rFonts w:ascii="Courier New" w:cs="Courier New" w:eastAsia="Courier New" w:hAnsi="Courier New"/>
          <w:sz w:val="18"/>
          <w:szCs w:val="18"/>
          <w:color w:val="auto"/>
        </w:rPr>
        <w:t>Credicorp Ltd.</w:t>
      </w:r>
    </w:p>
    <w:p>
      <w:pPr>
        <w:sectPr>
          <w:pgSz w:w="11900" w:h="16838" w:orient="portrait"/>
          <w:cols w:equalWidth="0" w:num="1">
            <w:col w:w="10219"/>
          </w:cols>
          <w:pgMar w:left="240" w:top="59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Protocol</w:t>
      </w:r>
    </w:p>
    <w:p>
      <w:pPr>
        <w:spacing w:after="0" w:line="238" w:lineRule="auto"/>
        <w:rPr>
          <w:sz w:val="20"/>
          <w:szCs w:val="20"/>
          <w:color w:val="auto"/>
        </w:rPr>
      </w:pPr>
      <w:r>
        <w:rPr>
          <w:rFonts w:ascii="Courier New" w:cs="Courier New" w:eastAsia="Courier New" w:hAnsi="Courier New"/>
          <w:sz w:val="18"/>
          <w:szCs w:val="18"/>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3"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present document presents the policy of regulative disclosure, general controls and code of ethics that must be considered by the corporate personnel</w:t>
      </w:r>
    </w:p>
    <w:p>
      <w:pPr>
        <w:spacing w:after="0" w:line="200" w:lineRule="exact"/>
        <w:rPr>
          <w:sz w:val="20"/>
          <w:szCs w:val="20"/>
          <w:color w:val="auto"/>
        </w:rPr>
      </w:pPr>
    </w:p>
    <w:p>
      <w:pPr>
        <w:spacing w:after="0" w:line="205"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Policy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Policy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 Policy – Sarbanes Oxley Act</w:t>
      </w:r>
    </w:p>
    <w:p>
      <w:pPr>
        <w:spacing w:after="0" w:line="4" w:lineRule="exact"/>
        <w:rPr>
          <w:rFonts w:ascii="Courier New" w:cs="Courier New" w:eastAsia="Courier New" w:hAnsi="Courier New"/>
          <w:sz w:val="18"/>
          <w:szCs w:val="18"/>
          <w:color w:val="auto"/>
        </w:rPr>
      </w:pPr>
    </w:p>
    <w:p>
      <w:pPr>
        <w:ind w:left="540"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 Policy – Internal Control Environment Control Policy – Disclosure Controls and Procedures Audit Committee Policy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Code of Ethics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Incidence Report 20-F Certification</w:t>
      </w:r>
    </w:p>
    <w:p>
      <w:pPr>
        <w:sectPr>
          <w:pgSz w:w="11900" w:h="16838" w:orient="portrait"/>
          <w:cols w:equalWidth="0" w:num="1">
            <w:col w:w="10219"/>
          </w:cols>
          <w:pgMar w:left="240" w:top="33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Policy</w:t>
      </w:r>
    </w:p>
    <w:p>
      <w:pPr>
        <w:spacing w:after="0" w:line="238" w:lineRule="auto"/>
        <w:rPr>
          <w:sz w:val="20"/>
          <w:szCs w:val="20"/>
          <w:color w:val="auto"/>
        </w:rPr>
      </w:pPr>
      <w:r>
        <w:rPr>
          <w:rFonts w:ascii="Courier New" w:cs="Courier New" w:eastAsia="Courier New" w:hAnsi="Courier New"/>
          <w:sz w:val="18"/>
          <w:szCs w:val="18"/>
          <w:color w:val="auto"/>
        </w:rPr>
        <w:t>General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Rules</w:t>
      </w:r>
    </w:p>
    <w:p>
      <w:pPr>
        <w:spacing w:after="0" w:line="207" w:lineRule="exact"/>
        <w:rPr>
          <w:sz w:val="20"/>
          <w:szCs w:val="20"/>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Embrace organizational dimension of Credicorp relating to policies, functional structure, and procedures</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 to the policies that are released by shareholders and are considered by the Board of Directors in order to be applied for subsidiaries of Credicorp</w:t>
      </w:r>
    </w:p>
    <w:p>
      <w:pPr>
        <w:spacing w:after="0" w:line="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 to dispositions that affect to Credicorp as a whole entity and those national dispositions that affect particularly to those subsidiaries in its original country</w:t>
      </w:r>
    </w:p>
    <w:p>
      <w:pPr>
        <w:spacing w:after="0" w:line="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that those subsidiaries will operate under parameters for the Credicorp consolidation so that its development will show an organizational behavior according with Institutional Values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those policies...</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be complied by Directors, Chief Officers, Officers and Employees of Credicorp and its subsidiaries</w:t>
      </w:r>
    </w:p>
    <w:p>
      <w:pPr>
        <w:spacing w:after="0" w:line="200" w:lineRule="exact"/>
        <w:rPr>
          <w:sz w:val="20"/>
          <w:szCs w:val="20"/>
          <w:color w:val="auto"/>
        </w:rPr>
      </w:pPr>
    </w:p>
    <w:p>
      <w:pPr>
        <w:spacing w:after="0" w:line="205"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Roles</w:t>
      </w:r>
    </w:p>
    <w:p>
      <w:pPr>
        <w:spacing w:after="0" w:line="207" w:lineRule="exact"/>
        <w:rPr>
          <w:sz w:val="20"/>
          <w:szCs w:val="20"/>
          <w:color w:val="auto"/>
        </w:rPr>
      </w:pPr>
    </w:p>
    <w:p>
      <w:pPr>
        <w:jc w:val="both"/>
        <w:ind w:left="540" w:right="1779" w:hanging="532"/>
        <w:spacing w:after="0" w:line="268"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Credicorp Shareholders: Acting as investors, they should communicate their expectancy to the Board of Directors so that, according with policies, Credicorp Administration should be aware for its execution and fulfillment</w:t>
      </w:r>
    </w:p>
    <w:p>
      <w:pPr>
        <w:jc w:val="both"/>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 and National Entities of Control: Acting as supervisor entities, they should issue and communicate agreements that are to be accomplished by Credicorp and its subsidiaries relating with its own business, internal control and operations</w:t>
      </w:r>
    </w:p>
    <w:p>
      <w:pPr>
        <w:spacing w:after="0" w:line="4"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Management, Officers and Personnel: According with their responsibilities and functional tasks, they would establish and manage their own policies and procedures, in compliance with Credicorp policies</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Suppliers:  They could be considered by a contract and should perform their</w:t>
      </w:r>
    </w:p>
    <w:p>
      <w:pPr>
        <w:spacing w:after="0" w:line="21" w:lineRule="exact"/>
        <w:rPr>
          <w:rFonts w:ascii="Courier New" w:cs="Courier New" w:eastAsia="Courier New" w:hAnsi="Courier New"/>
          <w:sz w:val="16"/>
          <w:szCs w:val="16"/>
          <w:color w:val="auto"/>
        </w:rPr>
      </w:pPr>
    </w:p>
    <w:p>
      <w:pPr>
        <w:ind w:left="54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duties considering corporate dispositions according with their responsibilities</w:t>
      </w:r>
    </w:p>
    <w:p>
      <w:pPr>
        <w:spacing w:after="0" w:line="5" w:lineRule="exact"/>
        <w:rPr>
          <w:rFonts w:ascii="Courier New" w:cs="Courier New" w:eastAsia="Courier New" w:hAnsi="Courier New"/>
          <w:sz w:val="16"/>
          <w:szCs w:val="16"/>
          <w:color w:val="auto"/>
        </w:rPr>
      </w:pPr>
    </w:p>
    <w:p>
      <w:pPr>
        <w:jc w:val="both"/>
        <w:ind w:left="540" w:right="1779"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Clients: As final users of products and services offered by Credicorp's Subsidiaries, Clients will be those who gain with the corporate policy available up to that moment</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w:t>
      </w:r>
    </w:p>
    <w:p>
      <w:pPr>
        <w:spacing w:after="0" w:line="207" w:lineRule="exact"/>
        <w:rPr>
          <w:sz w:val="20"/>
          <w:szCs w:val="20"/>
          <w:color w:val="auto"/>
        </w:rPr>
      </w:pPr>
    </w:p>
    <w:p>
      <w:pPr>
        <w:jc w:val="both"/>
        <w:ind w:left="540" w:right="1779" w:hanging="532"/>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Strategic Policy, Organizational Structure of Credicorp, andresponsibilities and general and specific attributes for each subsidiary.</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Business: Financial Business Policy developed by Credicorp and Subsidiaries</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Procedures and Responsibilities that imply management and administration in Credicorp</w:t>
      </w:r>
    </w:p>
    <w:p>
      <w:pPr>
        <w:spacing w:after="0" w:line="5"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Policies relating with Internal Control System, and supervision levels in Credicorp and Subsidiaries, in order to guarantee efficiency and effectiveness to achieve transparency in general business and consolidate great image to shareholders, clients, employees, suppliers and community.</w:t>
      </w:r>
    </w:p>
    <w:p>
      <w:pPr>
        <w:sectPr>
          <w:pgSz w:w="11900" w:h="16838" w:orient="portrait"/>
          <w:cols w:equalWidth="0" w:num="1">
            <w:col w:w="10219"/>
          </w:cols>
          <w:pgMar w:left="240" w:top="33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Policy</w:t>
      </w:r>
    </w:p>
    <w:p>
      <w:pPr>
        <w:spacing w:after="0" w:line="238" w:lineRule="auto"/>
        <w:rPr>
          <w:sz w:val="20"/>
          <w:szCs w:val="20"/>
          <w:color w:val="auto"/>
        </w:rPr>
      </w:pPr>
      <w:r>
        <w:rPr>
          <w:rFonts w:ascii="Courier New" w:cs="Courier New" w:eastAsia="Courier New" w:hAnsi="Courier New"/>
          <w:sz w:val="18"/>
          <w:szCs w:val="18"/>
          <w:color w:val="auto"/>
        </w:rPr>
        <w:t>Control Policy – Sarbanes Oxley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 Obligations under United States Federal Securities registry</w:t>
      </w:r>
    </w:p>
    <w:p>
      <w:pPr>
        <w:spacing w:after="0" w:line="207"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 is obligated to show evidence of transparency in conducting business</w:t>
      </w:r>
    </w:p>
    <w:p>
      <w:pPr>
        <w:spacing w:after="0" w:line="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Credicorp should adequate its performance according with these principles:</w:t>
      </w:r>
    </w:p>
    <w:p>
      <w:pPr>
        <w:spacing w:after="0" w:line="21"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and Control with responsibility and fulfilling Credicorp Rules</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Oriented to create added value involving economic agents</w:t>
      </w:r>
    </w:p>
    <w:p>
      <w:pPr>
        <w:spacing w:after="0" w:line="4"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liaison among Corporate administration, Board of Directors, Shareholders, and other economic agents so that to maintain constant business interest on the Company</w:t>
      </w:r>
    </w:p>
    <w:p>
      <w:pPr>
        <w:spacing w:after="0" w:line="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structure that guarantee to set up clear goals, means in order to achieve them, and the follow up process of this goals</w:t>
      </w:r>
    </w:p>
    <w:p>
      <w:pPr>
        <w:spacing w:after="0" w:line="5"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Transparency, corporate equity and accomplishment of responsibilities that strengthen appropriate disclosure, clear, fast and proper of every relevant fact or interest to third party</w:t>
      </w:r>
    </w:p>
    <w:p>
      <w:pPr>
        <w:spacing w:after="0" w:line="203"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Responsibility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Disposal of Financial Statements Reports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Committee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External Auditing Firms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Loans to Directors, Executives and Officers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to Director, Executives and Officers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Preservation Rule</w:t>
      </w:r>
    </w:p>
    <w:p>
      <w:pPr>
        <w:sectPr>
          <w:pgSz w:w="11900" w:h="16838" w:orient="portrait"/>
          <w:cols w:equalWidth="0" w:num="1">
            <w:col w:w="10219"/>
          </w:cols>
          <w:pgMar w:left="240" w:top="13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Policy</w:t>
      </w:r>
    </w:p>
    <w:p>
      <w:pPr>
        <w:spacing w:after="0" w:line="238" w:lineRule="auto"/>
        <w:rPr>
          <w:sz w:val="20"/>
          <w:szCs w:val="20"/>
          <w:color w:val="auto"/>
        </w:rPr>
      </w:pPr>
      <w:r>
        <w:rPr>
          <w:rFonts w:ascii="Courier New" w:cs="Courier New" w:eastAsia="Courier New" w:hAnsi="Courier New"/>
          <w:sz w:val="18"/>
          <w:szCs w:val="18"/>
          <w:color w:val="auto"/>
        </w:rPr>
        <w:t>Control Policy –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 Responsibilities</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Assessment of Internal Controls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Objectives</w:t>
      </w: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Control System</w:t>
      </w: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Analysis</w:t>
      </w: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Activities</w:t>
      </w: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Supervision</w:t>
      </w:r>
    </w:p>
    <w:p>
      <w:pPr>
        <w:ind w:left="1060" w:hanging="525"/>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 and Information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Policies to mitigate frauds incident</w:t>
      </w:r>
    </w:p>
    <w:p>
      <w:pPr>
        <w:sectPr>
          <w:pgSz w:w="11900" w:h="16838" w:orient="portrait"/>
          <w:cols w:equalWidth="0" w:num="1">
            <w:col w:w="10219"/>
          </w:cols>
          <w:pgMar w:left="240" w:top="33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Policy</w:t>
      </w:r>
    </w:p>
    <w:p>
      <w:pPr>
        <w:spacing w:after="0" w:line="238" w:lineRule="auto"/>
        <w:rPr>
          <w:sz w:val="20"/>
          <w:szCs w:val="20"/>
          <w:color w:val="auto"/>
        </w:rPr>
      </w:pPr>
      <w:r>
        <w:rPr>
          <w:rFonts w:ascii="Courier New" w:cs="Courier New" w:eastAsia="Courier New" w:hAnsi="Courier New"/>
          <w:sz w:val="18"/>
          <w:szCs w:val="18"/>
          <w:color w:val="auto"/>
        </w:rPr>
        <w:t>Control Policy –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Responsibilities established in Certifications - Sarbanes - Oxley Act</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and Officers of each subsidiary and its CEO in order to comply with what is required by section 3 (a) of Disclosure Controls and Procedures of Sarbanes - Oxley Act in accordance with procedures and controls for financial reporting must apply the following procedures:</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procedures that lead to present an adequate financial statements and operational profit and loss of the company</w:t>
      </w:r>
    </w:p>
    <w:p>
      <w:pPr>
        <w:spacing w:after="0" w:line="5"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responsibility of management for establishing and maintaining an adequate internal control structure and procedures for financial reporting</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information of Material Events precisely, adequately</w:t>
      </w:r>
    </w:p>
    <w:p>
      <w:pPr>
        <w:spacing w:after="0" w:line="202"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Controls and Procedures</w:t>
      </w:r>
    </w:p>
    <w:p>
      <w:pPr>
        <w:spacing w:after="0" w:line="207" w:lineRule="exact"/>
        <w:rPr>
          <w:sz w:val="20"/>
          <w:szCs w:val="20"/>
          <w:color w:val="auto"/>
        </w:rPr>
      </w:pPr>
    </w:p>
    <w:p>
      <w:pPr>
        <w:ind w:left="540" w:right="1779" w:hanging="532"/>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Policies must be adequately disclosed and explained trying its consistency and uniformity be through out the time</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Controls and procedures shall have the following:</w:t>
      </w:r>
    </w:p>
    <w:p>
      <w:pPr>
        <w:ind w:left="1060" w:hanging="52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 Information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controls and procedures to assure the information, which will be published, be identified as adequate</w:t>
      </w:r>
    </w:p>
    <w:p>
      <w:pPr>
        <w:spacing w:after="0" w:line="5"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 adequate decisions in whole Credicorp's structure levels based on information disclosure</w:t>
      </w:r>
    </w:p>
    <w:p>
      <w:pPr>
        <w:spacing w:after="0" w:line="203"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Events</w:t>
      </w:r>
    </w:p>
    <w:p>
      <w:pPr>
        <w:spacing w:after="0" w:line="207" w:lineRule="exact"/>
        <w:rPr>
          <w:sz w:val="20"/>
          <w:szCs w:val="20"/>
          <w:color w:val="auto"/>
        </w:rPr>
      </w:pPr>
    </w:p>
    <w:p>
      <w:pPr>
        <w:ind w:left="540" w:right="1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CEO's Executives and General Managers of each subsidiary must communicate Material events to CFO's and Chief Accounting Officer of Credicorp</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Events shall be considered the following:</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events that have main impact on the corporate performance</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that fairly affect the corporate structure and policy or,</w:t>
      </w:r>
    </w:p>
    <w:p>
      <w:pPr>
        <w:spacing w:after="0" w:line="4"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that make influence over investors in order to alter their decisions on investments or not, in a variety of financial instruments issued by Credicorp or its subsidiaries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Among those events that must be communicated, as soon as they occur or as they are acknowledge, will be those changes or facts related with:</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Juridical structure</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 of the organizational Executive chart</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performance</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and Annual Report</w:t>
      </w:r>
    </w:p>
    <w:p>
      <w:pPr>
        <w:ind w:left="1060" w:hanging="52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share</w:t>
      </w:r>
    </w:p>
    <w:p>
      <w:pPr>
        <w:sectPr>
          <w:pgSz w:w="11900" w:h="16838" w:orient="portrait"/>
          <w:cols w:equalWidth="0" w:num="1">
            <w:col w:w="10219"/>
          </w:cols>
          <w:pgMar w:left="240" w:top="13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Policies</w:t>
      </w:r>
    </w:p>
    <w:p>
      <w:pPr>
        <w:spacing w:after="0" w:line="238" w:lineRule="auto"/>
        <w:rPr>
          <w:sz w:val="20"/>
          <w:szCs w:val="20"/>
          <w:color w:val="auto"/>
        </w:rPr>
      </w:pPr>
      <w:r>
        <w:rPr>
          <w:rFonts w:ascii="Courier New" w:cs="Courier New" w:eastAsia="Courier New" w:hAnsi="Courier New"/>
          <w:sz w:val="18"/>
          <w:szCs w:val="18"/>
          <w:color w:val="auto"/>
        </w:rPr>
        <w:t>Audit Committee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Functions</w:t>
      </w:r>
    </w:p>
    <w:p>
      <w:pPr>
        <w:spacing w:after="0" w:line="201" w:lineRule="exact"/>
        <w:rPr>
          <w:sz w:val="20"/>
          <w:szCs w:val="20"/>
          <w:color w:val="auto"/>
        </w:rPr>
      </w:pPr>
    </w:p>
    <w:p>
      <w:pPr>
        <w:spacing w:after="0"/>
        <w:tabs>
          <w:tab w:leader="none" w:pos="520" w:val="left"/>
          <w:tab w:leader="none" w:pos="1780" w:val="left"/>
        </w:tabs>
        <w:rPr>
          <w:sz w:val="20"/>
          <w:szCs w:val="20"/>
          <w:color w:val="auto"/>
        </w:rPr>
      </w:pPr>
      <w:r>
        <w:rPr>
          <w:rFonts w:ascii="Courier New" w:cs="Courier New" w:eastAsia="Courier New" w:hAnsi="Courier New"/>
          <w:sz w:val="18"/>
          <w:szCs w:val="18"/>
          <w:color w:val="auto"/>
        </w:rPr>
        <w:t>1.1</w:t>
        <w:tab/>
        <w:t>Functional</w:t>
      </w:r>
      <w:r>
        <w:rPr>
          <w:sz w:val="20"/>
          <w:szCs w:val="20"/>
          <w:color w:val="auto"/>
        </w:rPr>
        <w:tab/>
      </w:r>
      <w:r>
        <w:rPr>
          <w:rFonts w:ascii="Courier New" w:cs="Courier New" w:eastAsia="Courier New" w:hAnsi="Courier New"/>
          <w:sz w:val="16"/>
          <w:szCs w:val="16"/>
          <w:color w:val="auto"/>
        </w:rPr>
        <w:t>Responsibility</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Audit Committee, by delegation of the Credicorp's Board of Directors, will support and follow up the accomplishment of the present rule.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General Functions</w:t>
      </w:r>
    </w:p>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informed Credicorp's Board of Directors about the following:</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Procedures and policies</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Problems detected on the internal administration and control</w:t>
      </w:r>
    </w:p>
    <w:p>
      <w:pPr>
        <w:spacing w:after="0" w:line="4"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the corrective measures in order to attain observations made by the external audit firm, Regulative organizations and the Internal Audit Unit of Credicorp, represented by the Audit Division of Banco de Crédito del Perú</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Supervise the accomplishment of the domestic and international legal requirements according to case by case</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responsible to designate, set up its salary and supervise the work done by the External Audit firm</w:t>
      </w:r>
    </w:p>
    <w:p>
      <w:pPr>
        <w:spacing w:after="0" w:line="5"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Supervise activities and functions of the Internal Audit Unit and the External Audit firm, as to determine their independence in relating to those activities they both audit and verify the scope of their job satisfy Credicorp's internal controls necessity</w:t>
      </w:r>
    </w:p>
    <w:p>
      <w:pPr>
        <w:spacing w:after="0" w:line="4"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 and review supporting documentation and Credicorp's Chief Financial and Accounting Officer reports that will be attached to 20-F annual report referred to:</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evaluation of the internal control system affectivity</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disclosure validity</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service given by the External Audit firm</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the Credicorp External Audit report in which the Internal Control System is evaluated</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 with legal, accountant consultants and those who it might consider adequate in order to develop its functions, as to it should have its own budget for this purpose</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previously and in what it is permitted, any other job or service required to the external audit firm</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and maintain adequate mechanisms to process claims, internal sues, and information with respect to irregular registry, frauds and violations to the Securities Law</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annual and periodic reports to the Board of Directors about the main tasks made under its management performance</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the External Audit firm and the Credicorp's management those reports sent to SEC and other competent authorities previously to its submitting</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periodic and separated meetings with:</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managers</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 Audit unit</w:t>
      </w:r>
    </w:p>
    <w:p>
      <w:pPr>
        <w:ind w:left="1060" w:hanging="52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External Audit firm</w:t>
      </w:r>
    </w:p>
    <w:p>
      <w:pPr>
        <w:spacing w:after="0" w:line="207"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Analyze with the External Audit firm the terminology content in the correspondence that is submitted to Credicorp's Administration and its respectively response</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Internal Audit Unit reports and the measures taken by the Administration responding to observations consigned on those reports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Risk Administration Policy with Credicorp's Administration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exceptions and exonerates respecting loans and credits given to Directors, Managers and Officers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Internal Control Functions</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Supervise the internal control system guarantying the designed procedure:</w:t>
      </w:r>
    </w:p>
    <w:p>
      <w:pPr>
        <w:ind w:left="1060" w:hanging="52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Cover reasonable the whole assets</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those controls to verify transactions are being adequately authorized and registered</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alert of the existence and maintenance of controls that are necessary as to avoid Credicorp be utilized in illicit activities, specially in activities such as Asset clean</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Coordinate permanently with the Internal Audit Unit and with the External Audit firm the Internal Control System efficiency</w:t>
      </w:r>
    </w:p>
    <w:p>
      <w:pPr>
        <w:spacing w:after="0" w:line="5"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 in those reports whether the Administration has implanted recommendations and suggestions as result of the evaluations of the internal control system executed by Internal Audit Unit and the External Audit firm</w:t>
      </w:r>
    </w:p>
    <w:p>
      <w:pPr>
        <w:sectPr>
          <w:pgSz w:w="11900" w:h="16838" w:orient="portrait"/>
          <w:cols w:equalWidth="0" w:num="1">
            <w:col w:w="10219"/>
          </w:cols>
          <w:pgMar w:left="240" w:top="136" w:right="1440" w:bottom="0" w:gutter="0" w:footer="0" w:header="0"/>
        </w:sectPr>
      </w:pPr>
    </w:p>
    <w:bookmarkStart w:id="8" w:name="page9"/>
    <w:bookmarkEnd w:id="8"/>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Supervise the fulfillment of the Code of Ethics of Credicorp</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involved in analyzing deficiencies in the internal control system and administrative fraud</w:t>
      </w:r>
    </w:p>
    <w:p>
      <w:pPr>
        <w:spacing w:after="0" w:line="200" w:lineRule="exact"/>
        <w:rPr>
          <w:sz w:val="20"/>
          <w:szCs w:val="20"/>
          <w:color w:val="auto"/>
        </w:rPr>
      </w:pP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Financial Control Functions</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Screening:</w:t>
      </w:r>
    </w:p>
    <w:p>
      <w:pPr>
        <w:ind w:left="1060" w:hanging="52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administration and accounting</w:t>
      </w:r>
    </w:p>
    <w:p>
      <w:pPr>
        <w:ind w:left="1060" w:hanging="52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integrity, and</w:t>
      </w:r>
    </w:p>
    <w:p>
      <w:pPr>
        <w:ind w:left="1060" w:hanging="52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Credicorp's process of Audit, Accounting and Finance reports</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 the most important aspects of:</w:t>
      </w:r>
    </w:p>
    <w:p>
      <w:pPr>
        <w:ind w:left="1060" w:hanging="52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principles</w:t>
      </w:r>
    </w:p>
    <w:p>
      <w:pPr>
        <w:ind w:left="1060" w:hanging="52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submitting, including to:</w:t>
      </w:r>
    </w:p>
    <w:p>
      <w:pPr>
        <w:spacing w:after="0" w:line="4" w:lineRule="exact"/>
        <w:rPr>
          <w:rFonts w:ascii="Courier New" w:cs="Courier New" w:eastAsia="Courier New" w:hAnsi="Courier New"/>
          <w:sz w:val="18"/>
          <w:szCs w:val="18"/>
          <w:color w:val="auto"/>
        </w:rPr>
      </w:pPr>
    </w:p>
    <w:p>
      <w:pPr>
        <w:ind w:left="106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significant changes made to the accounting principles The company adequacy to the internal controls</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measure adopted against material control deficiencies</w:t>
      </w:r>
    </w:p>
    <w:p>
      <w:pPr>
        <w:spacing w:after="0" w:line="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 the analysis made by the administration  and/or by the independent</w:t>
      </w:r>
    </w:p>
    <w:p>
      <w:pPr>
        <w:spacing w:after="0" w:line="16" w:lineRule="exact"/>
        <w:rPr>
          <w:sz w:val="20"/>
          <w:szCs w:val="20"/>
          <w:color w:val="auto"/>
        </w:rPr>
      </w:pPr>
    </w:p>
    <w:p>
      <w:pPr>
        <w:ind w:left="540"/>
        <w:spacing w:after="0"/>
        <w:tabs>
          <w:tab w:leader="none" w:pos="1460" w:val="left"/>
          <w:tab w:leader="none" w:pos="2300" w:val="left"/>
          <w:tab w:leader="none" w:pos="2720" w:val="left"/>
          <w:tab w:leader="none" w:pos="3560" w:val="left"/>
        </w:tabs>
        <w:rPr>
          <w:sz w:val="20"/>
          <w:szCs w:val="20"/>
          <w:color w:val="auto"/>
        </w:rPr>
      </w:pPr>
      <w:r>
        <w:rPr>
          <w:rFonts w:ascii="Courier New" w:cs="Courier New" w:eastAsia="Courier New" w:hAnsi="Courier New"/>
          <w:sz w:val="18"/>
          <w:szCs w:val="18"/>
          <w:color w:val="auto"/>
        </w:rPr>
        <w:t>auditor</w:t>
        <w:tab/>
        <w:t>mainly</w:t>
        <w:tab/>
        <w:t>in</w:t>
        <w:tab/>
        <w:t>issues</w:t>
      </w:r>
      <w:r>
        <w:rPr>
          <w:sz w:val="20"/>
          <w:szCs w:val="20"/>
          <w:color w:val="auto"/>
        </w:rPr>
        <w:tab/>
      </w:r>
      <w:r>
        <w:rPr>
          <w:rFonts w:ascii="Courier New" w:cs="Courier New" w:eastAsia="Courier New" w:hAnsi="Courier New"/>
          <w:sz w:val="16"/>
          <w:szCs w:val="16"/>
          <w:color w:val="auto"/>
        </w:rPr>
        <w:t>such as:</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Financial reports</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made regarding with financial statement preparation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Analyze the effects of the US GAAP (Generally Accepted Accounting Principles) on the Financial Statements</w:t>
      </w:r>
    </w:p>
    <w:p>
      <w:pPr>
        <w:spacing w:after="0" w:line="5"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that does not appear in the Company's Financial Statements</w:t>
      </w:r>
    </w:p>
    <w:p>
      <w:pPr>
        <w:spacing w:after="0" w:line="21" w:lineRule="exact"/>
        <w:rPr>
          <w:rFonts w:ascii="Courier New" w:cs="Courier New" w:eastAsia="Courier New" w:hAnsi="Courier New"/>
          <w:sz w:val="16"/>
          <w:szCs w:val="16"/>
          <w:color w:val="auto"/>
        </w:rPr>
      </w:pPr>
    </w:p>
    <w:p>
      <w:pPr>
        <w:ind w:left="540" w:right="177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 to the External Audit firm reports that are related with significant accounting policies and alternatives to be implanted</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Credicorp's financial report</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Transparent</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 to the revelations assumed</w:t>
      </w:r>
    </w:p>
    <w:p>
      <w:pPr>
        <w:spacing w:after="0" w:line="4"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 on essential controls and adequate instruments to verify that financial statements reveal Credicorp's actual situation and the value of its assets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 and evaluate: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Company's Financial Statements draft</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External auditors' opinion of the financial statements</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Internal Audit plan and External Audit plan, and many others important and significant to Credicorp</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quarterly financial statements</w:t>
      </w:r>
    </w:p>
    <w:p>
      <w:pPr>
        <w:spacing w:after="0" w:line="4"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the annual audited financial statements and financial statements of each period with Credicorp's administration and with the external audit firm including the analysis of financial results</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Solve any disagreement generated respecting financial statement reports between External Auditors and Credicorp's administration</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along with the members of financial administration and independent auditors those reports to be submitted to SEC and other competitive authorities</w:t>
      </w: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Committee Functions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Organizational Structure</w:t>
      </w:r>
    </w:p>
    <w:p>
      <w:pPr>
        <w:ind w:left="540"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w:t>
      </w: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4 members of the Board</w:t>
      </w: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of the members shall be the President</w:t>
      </w: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Among others will be elected one Secretary and Deputy Secretary</w:t>
      </w:r>
    </w:p>
    <w:p>
      <w:pPr>
        <w:ind w:left="540"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Requisites:</w:t>
      </w: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Must be "independent" officers of Credicorp</w:t>
      </w:r>
    </w:p>
    <w:p>
      <w:pPr>
        <w:spacing w:after="0" w:line="4"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Audit Committee, it will be considered the whole Board of Directors as to assume its functions. The Committee will be integrated by Directors, but only by Independent directors of Credicorp</w:t>
      </w:r>
    </w:p>
    <w:p>
      <w:pPr>
        <w:spacing w:after="0" w:line="4"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Sarbanes Oxley Act, no later that April 26th, 2003 all the members of the Audit Committee shall be "independents", in the sense that they should not perceive any additional salary from Credicorp, unless such salary as Directors and/or committee member</w:t>
      </w:r>
    </w:p>
    <w:p>
      <w:pPr>
        <w:spacing w:after="0" w:line="4"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Must be financial expert and have basic knowledge of accounting, which will be evaluated by the Board of Directors based on his/her studies and experiences in this business field</w:t>
      </w:r>
    </w:p>
    <w:p>
      <w:pPr>
        <w:spacing w:after="0" w:line="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Sarbanes Oxley Act, no later than January 26th, 2003, it must be declared that at least one of the members of the committee be an expert in finance</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should be for 3 years, being able to be relected in a row for similar periods of time</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w:t>
      </w:r>
    </w:p>
    <w:p>
      <w:pPr>
        <w:ind w:left="1060" w:hanging="525"/>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should elect them in its annual meeting</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vacancy from one of the members, will be named another succesor</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are not allowed to be members of the Audit Committee:</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being Directors work for Credicorp and are Executives or Officers from any subsidiary</w:t>
      </w:r>
    </w:p>
    <w:p>
      <w:pPr>
        <w:sectPr>
          <w:pgSz w:w="11900" w:h="16838" w:orient="portrait"/>
          <w:cols w:equalWidth="0" w:num="1">
            <w:col w:w="10219"/>
          </w:cols>
          <w:pgMar w:left="240" w:top="136" w:right="1440" w:bottom="0" w:gutter="0" w:footer="0" w:header="0"/>
        </w:sectPr>
      </w:pPr>
    </w:p>
    <w:bookmarkStart w:id="9" w:name="page10"/>
    <w:bookmarkEnd w:id="9"/>
    <w:p>
      <w:pPr>
        <w:ind w:left="1060" w:right="17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as Shareholder, partner or Executive officers of any subsidiary of Credicorp</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that have close relationships with Credicorp</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About meetings</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will be held at least 4 times a year or more depending on:</w:t>
      </w:r>
    </w:p>
    <w:p>
      <w:pPr>
        <w:ind w:left="1060" w:hanging="525"/>
        <w:spacing w:after="0" w:line="238" w:lineRule="auto"/>
        <w:tabs>
          <w:tab w:leader="none" w:pos="10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Control System deficiencies</w:t>
      </w:r>
    </w:p>
    <w:p>
      <w:pPr>
        <w:ind w:left="1060" w:hanging="525"/>
        <w:spacing w:after="0" w:line="238" w:lineRule="auto"/>
        <w:tabs>
          <w:tab w:leader="none" w:pos="10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Important policy changes to the entity</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may be required the presence of the Administration members or others</w:t>
      </w:r>
    </w:p>
    <w:p>
      <w:pPr>
        <w:spacing w:after="0" w:line="4"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should be held at least one time a year with the Administration, Chief Internal Audit Unit from each subsidiary or Credicorp's Internal Audit Responsable along with the External Audit firm in separate sesions</w:t>
      </w:r>
    </w:p>
    <w:p>
      <w:pPr>
        <w:spacing w:after="0" w:line="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or at least its President, shall hold a meeting with Independent auditors and Administration on quarterly basis to discuss corporate finance</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adopted on meetings shall be signed in a minute which its holding will be in charge of the Committee Secretary</w:t>
      </w:r>
    </w:p>
    <w:p>
      <w:pPr>
        <w:spacing w:after="0" w:line="200" w:lineRule="exact"/>
        <w:rPr>
          <w:sz w:val="20"/>
          <w:szCs w:val="20"/>
          <w:color w:val="auto"/>
        </w:rPr>
      </w:pP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External Audit firm</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Sarbanes Oxley Act, it is not permitted to hire a person who may cover job positions such us General Manager, Controller, CFO, Accountant Manager for Credicorp or its subsidiaries. Additionally, it is also not allowed that if this person have been part or member of the External Audit firm of Credicorp in the year before the auditing was performed.</w:t>
      </w:r>
    </w:p>
    <w:p>
      <w:pPr>
        <w:spacing w:after="0" w:line="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 Committee shall approve previously, any other service and the auditing service as well, the External Audit firm might offer.</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External Audit firm must report in a regular basis to the Committee, the following:</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Important Accounting and Practices policies to be performed</w:t>
      </w:r>
    </w:p>
    <w:p>
      <w:pPr>
        <w:ind w:left="1060" w:hanging="525"/>
        <w:spacing w:after="0" w:line="238"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Alternative financial report discussed with administration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communication system between the auditing firm and Credicorp's administration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Protecting filing of complaints</w:t>
      </w:r>
    </w:p>
    <w:p>
      <w:pPr>
        <w:spacing w:after="0" w:line="201"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who may file a complaint will be protected, without any restriction</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Fraud: Includes employees involved in illicit activities that affect the company</w:t>
      </w:r>
    </w:p>
    <w:p>
      <w:pPr>
        <w:sectPr>
          <w:pgSz w:w="11900" w:h="16838" w:orient="portrait"/>
          <w:cols w:equalWidth="0" w:num="1">
            <w:col w:w="10219"/>
          </w:cols>
          <w:pgMar w:left="240" w:top="14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Corporate Governance Policy – Credicorp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Policies</w:t>
      </w:r>
    </w:p>
    <w:p>
      <w:pPr>
        <w:spacing w:after="0" w:line="238" w:lineRule="auto"/>
        <w:rPr>
          <w:sz w:val="20"/>
          <w:szCs w:val="20"/>
          <w:color w:val="auto"/>
        </w:rPr>
      </w:pPr>
      <w:r>
        <w:rPr>
          <w:rFonts w:ascii="Courier New" w:cs="Courier New" w:eastAsia="Courier New" w:hAnsi="Courier New"/>
          <w:sz w:val="18"/>
          <w:szCs w:val="18"/>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Persons involved</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Directors, Chief Executives, Chief Financial and Accounting Officer, Managers, Executive Officers, and employees of Credicorp and its subsidiaries must comply with the following:</w:t>
      </w:r>
    </w:p>
    <w:p>
      <w:pPr>
        <w:spacing w:after="0" w:line="209" w:lineRule="exact"/>
        <w:rPr>
          <w:sz w:val="20"/>
          <w:szCs w:val="20"/>
          <w:color w:val="auto"/>
        </w:rPr>
      </w:pPr>
    </w:p>
    <w:p>
      <w:pPr>
        <w:ind w:left="540" w:right="177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high standard levels professionally in order to follow the code of ethics</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Obey and adhere to the law of those countries in where Credicorp is operating</w:t>
      </w:r>
    </w:p>
    <w:p>
      <w:pPr>
        <w:spacing w:after="0" w:line="203"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Objectives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Serve as a guide to all employees in order to maintain a code of ethics in their job performance Reflect our cultural identity and our commitment assumed for customers and market in where we participate as well as our values</w:t>
      </w:r>
    </w:p>
    <w:p>
      <w:pPr>
        <w:spacing w:after="0" w:line="203"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Ethics Principles</w:t>
      </w:r>
    </w:p>
    <w:p>
      <w:pPr>
        <w:spacing w:after="0" w:line="201"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aware of the Code of Ethics objective and our business sector</w:t>
      </w:r>
    </w:p>
    <w:p>
      <w:pPr>
        <w:spacing w:after="0" w:line="4"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Contribute with Credicorp in its strategic endeavors, consolidate its leadership in activities in which are involved, offer an excellent quality service and try to achieve clients satisfaction</w:t>
      </w:r>
    </w:p>
    <w:p>
      <w:pPr>
        <w:spacing w:after="0" w:line="6" w:lineRule="exact"/>
        <w:rPr>
          <w:rFonts w:ascii="Courier New" w:cs="Courier New" w:eastAsia="Courier New" w:hAnsi="Courier New"/>
          <w:sz w:val="18"/>
          <w:szCs w:val="18"/>
          <w:color w:val="auto"/>
        </w:rPr>
      </w:pPr>
    </w:p>
    <w:p>
      <w:pPr>
        <w:ind w:left="540" w:right="1779" w:hanging="532"/>
        <w:spacing w:after="0" w:line="268" w:lineRule="auto"/>
        <w:tabs>
          <w:tab w:leader="none" w:pos="5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 perfect reputation, Social and entrepreneurial responsibility of Credicorp by disclosing honest, legal and transparent earnings and profits</w:t>
      </w:r>
    </w:p>
    <w:p>
      <w:pPr>
        <w:ind w:left="540" w:right="1779" w:hanging="532"/>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Compete honestly and legally with great justice criteria according to ethical and efficient practices</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Avoid obtaining illegal advantages by means of manipulation, concealment and privilege information abuse, material event distortion or any other unfair and intentional business practice</w:t>
      </w:r>
    </w:p>
    <w:p>
      <w:pPr>
        <w:spacing w:after="0" w:line="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that financial reports issued be transparent, complete and conclude to appropriate issues</w:t>
      </w:r>
    </w:p>
    <w:p>
      <w:pPr>
        <w:spacing w:after="0" w:line="5"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Highlight that the work done imply value practices of integrity, confidentiality and as well as respect and appreciation to human beings in their privacy, individuality and dignity.</w:t>
      </w:r>
    </w:p>
    <w:p>
      <w:pPr>
        <w:spacing w:after="0" w:line="6"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unacceptable any attitude related with prejudice such us racial, religious or social, of sex and color, age disabilities, or any other discriminatory consideration</w:t>
      </w:r>
    </w:p>
    <w:p>
      <w:pPr>
        <w:spacing w:after="0" w:line="203"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Principles related with other people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Audit Committee of Credicorp</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Acting as entity responsible for the application of the Code of Ethics the following should be considered:</w:t>
      </w:r>
    </w:p>
    <w:p>
      <w:pPr>
        <w:spacing w:after="0" w:line="6" w:lineRule="exact"/>
        <w:rPr>
          <w:sz w:val="20"/>
          <w:szCs w:val="20"/>
          <w:color w:val="auto"/>
        </w:rPr>
      </w:pPr>
    </w:p>
    <w:p>
      <w:pPr>
        <w:ind w:left="540" w:right="177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and moderate practices according to maximum ethical standards within Credicorp</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Constantly evaluate pertinence and updating of this Code of Ethics as well as to disclose and publish these standards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Apply sanctions of being the case</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 possible situations of exception to the application to this Code</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interpret the correct sense and scope of the principles</w:t>
      </w:r>
    </w:p>
    <w:p>
      <w:pPr>
        <w:spacing w:after="0" w:line="4"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Must use the support of the units of internal Audit, responsible of guarding over the fulfillment of the code of ethics in Credicorp</w:t>
      </w:r>
    </w:p>
    <w:p>
      <w:pPr>
        <w:sectPr>
          <w:pgSz w:w="11900" w:h="16838" w:orient="portrait"/>
          <w:cols w:equalWidth="0" w:num="1">
            <w:col w:w="10219"/>
          </w:cols>
          <w:pgMar w:left="240" w:top="339"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April 10,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Ray Campos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Ray Campos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lowerLetter"/>
      <w:start w:val="1"/>
    </w:lvl>
    <w:lvl w:ilvl="1">
      <w:lvlJc w:val="left"/>
      <w:lvlText w:val="•"/>
      <w:numFmt w:val="bullet"/>
      <w:start w:val="1"/>
    </w:lvl>
  </w:abstractNum>
  <w:abstractNum w:abstractNumId="9">
    <w:nsid w:val="2443A858"/>
    <w:multiLevelType w:val="hybridMultilevel"/>
    <w:lvl w:ilvl="0">
      <w:lvlJc w:val="left"/>
      <w:lvlText w:val="%1."/>
      <w:numFmt w:val="decimal"/>
      <w:start w:val="2"/>
    </w:lvl>
  </w:abstractNum>
  <w:abstractNum w:abstractNumId="10">
    <w:nsid w:val="2D1D5AE9"/>
    <w:multiLevelType w:val="hybridMultilevel"/>
    <w:lvl w:ilvl="0">
      <w:lvlJc w:val="left"/>
      <w:lvlText w:val="%1."/>
      <w:numFmt w:val="decimal"/>
      <w:start w:val="1"/>
    </w:lvl>
    <w:lvl w:ilvl="1">
      <w:lvlJc w:val="left"/>
      <w:lvlText w:val="%2)"/>
      <w:numFmt w:val="lowerLetter"/>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lowerLetter"/>
      <w:start w:val="1"/>
    </w:lvl>
    <w:lvl w:ilvl="1">
      <w:lvlJc w:val="left"/>
      <w:lvlText w:val="•"/>
      <w:numFmt w:val="bullet"/>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lowerLetter"/>
      <w:start w:val="1"/>
    </w:lvl>
    <w:lvl w:ilvl="1">
      <w:lvlJc w:val="left"/>
      <w:lvlText w:val="•"/>
      <w:numFmt w:val="bullet"/>
      <w:start w:val="1"/>
    </w:lvl>
  </w:abstractNum>
  <w:abstractNum w:abstractNumId="15">
    <w:nsid w:val="4353D0CD"/>
    <w:multiLevelType w:val="hybridMultilevel"/>
    <w:lvl w:ilvl="0">
      <w:lvlJc w:val="left"/>
      <w:lvlText w:val="%1."/>
      <w:numFmt w:val="decimal"/>
      <w:start w:val="3"/>
    </w:lvl>
  </w:abstractNum>
  <w:abstractNum w:abstractNumId="16">
    <w:nsid w:val="B03E0C6"/>
    <w:multiLevelType w:val="hybridMultilevel"/>
    <w:lvl w:ilvl="0">
      <w:lvlJc w:val="left"/>
      <w:lvlText w:val="%1)"/>
      <w:numFmt w:val="lowerLetter"/>
      <w:start w:val="1"/>
    </w:lvl>
    <w:lvl w:ilvl="1">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Letter"/>
      <w:start w:val="1"/>
    </w:lvl>
    <w:lvl w:ilvl="1">
      <w:lvlJc w:val="left"/>
      <w:lvlText w:val="•"/>
      <w:numFmt w:val="bullet"/>
      <w:start w:val="1"/>
    </w:lvl>
  </w:abstractNum>
  <w:abstractNum w:abstractNumId="19">
    <w:nsid w:val="71F32454"/>
    <w:multiLevelType w:val="hybridMultilevel"/>
    <w:lvl w:ilvl="0">
      <w:lvlJc w:val="left"/>
      <w:lvlText w:val="%1)"/>
      <w:numFmt w:val="lowerLetter"/>
      <w:start w:val="1"/>
    </w:lvl>
    <w:lvl w:ilvl="1">
      <w:lvlJc w:val="left"/>
      <w:lvlText w:val="•"/>
      <w:numFmt w:val="bullet"/>
      <w:start w:val="1"/>
    </w:lvl>
  </w:abstractNum>
  <w:abstractNum w:abstractNumId="20">
    <w:nsid w:val="2CA88611"/>
    <w:multiLevelType w:val="hybridMultilevel"/>
    <w:lvl w:ilvl="0">
      <w:lvlJc w:val="left"/>
      <w:lvlText w:val="%1)"/>
      <w:numFmt w:val="lowerLetter"/>
      <w:start w:val="5"/>
    </w:lvl>
  </w:abstractNum>
  <w:abstractNum w:abstractNumId="21">
    <w:nsid w:val="836C40E"/>
    <w:multiLevelType w:val="hybridMultilevel"/>
    <w:lvl w:ilvl="0">
      <w:lvlJc w:val="left"/>
      <w:lvlText w:val="%1)"/>
      <w:numFmt w:val="lowerLetter"/>
      <w:start w:val="1"/>
    </w:lvl>
    <w:lvl w:ilvl="1">
      <w:lvlJc w:val="left"/>
      <w:lvlText w:val="•"/>
      <w:numFmt w:val="bullet"/>
      <w:start w:val="1"/>
    </w:lvl>
  </w:abstractNum>
  <w:abstractNum w:abstractNumId="22">
    <w:nsid w:val="2901D82"/>
    <w:multiLevelType w:val="hybridMultilevel"/>
    <w:lvl w:ilvl="0">
      <w:lvlJc w:val="left"/>
      <w:lvlText w:val="%1)"/>
      <w:numFmt w:val="lowerLetter"/>
      <w:start w:val="3"/>
    </w:lvl>
    <w:lvl w:ilvl="1">
      <w:lvlJc w:val="left"/>
      <w:lvlText w:val="•"/>
      <w:numFmt w:val="bullet"/>
      <w:start w:val="1"/>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1)"/>
      <w:numFmt w:val="lowerLetter"/>
      <w:start w:val="1"/>
    </w:lvl>
    <w:lvl w:ilvl="1">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lowerLetter"/>
      <w:start w:val="1"/>
    </w:lvl>
    <w:lvl w:ilvl="1">
      <w:lvlJc w:val="left"/>
      <w:lvlText w:val="•"/>
      <w:numFmt w:val="bullet"/>
      <w:start w:val="1"/>
    </w:lvl>
  </w:abstractNum>
  <w:abstractNum w:abstractNumId="27">
    <w:nsid w:val="737B8DDC"/>
    <w:multiLevelType w:val="hybridMultilevel"/>
    <w:lvl w:ilvl="0">
      <w:lvlJc w:val="left"/>
      <w:lvlText w:val="%1)"/>
      <w:numFmt w:val="lowerLetter"/>
      <w:start w:val="1"/>
    </w:lvl>
    <w:lvl w:ilvl="1">
      <w:lvlJc w:val="left"/>
      <w:lvlText w:val="•"/>
      <w:numFmt w:val="bullet"/>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2"/>
    </w:lvl>
  </w:abstractNum>
  <w:abstractNum w:abstractNumId="31">
    <w:nsid w:val="3006C83E"/>
    <w:multiLevelType w:val="hybridMultilevel"/>
    <w:lvl w:ilvl="0">
      <w:lvlJc w:val="left"/>
      <w:lvlText w:val="%1."/>
      <w:numFmt w:val="decimal"/>
      <w:start w:val="3"/>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4"/>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2019-12-14T06:56:19Z</dcterms:created>
  <dcterms:modified xsi:type="dcterms:W3CDTF">2019-12-14T06:56:19Z</dcterms:modified>
</cp:coreProperties>
</file>