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For the month of April 2020</w:t>
      </w:r>
    </w:p>
    <w:p>
      <w:pPr>
        <w:spacing w:after="0" w:line="22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 xml:space="preserve">Lima 12, Peru </w:t>
      </w: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456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193675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210820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527685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79"/>
          </w:cols>
          <w:pgMar w:left="380" w:top="70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5283200</wp:posOffset>
            </wp:positionH>
            <wp:positionV relativeFrom="page">
              <wp:posOffset>586105</wp:posOffset>
            </wp:positionV>
            <wp:extent cx="2057400" cy="574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574040"/>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April 23,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Form 6-K furnished to the SEC on March 23, 2020, Credicorp Ltd. (the ‘Company’) notifies you, as a material event, that the Board of Directors of the Company, in its session held on April 23, 2020, agreed unanimously on the following matters:</w:t>
      </w:r>
    </w:p>
    <w:p>
      <w:pPr>
        <w:spacing w:after="0" w:line="170" w:lineRule="exact"/>
        <w:rPr>
          <w:sz w:val="20"/>
          <w:szCs w:val="20"/>
          <w:color w:val="auto"/>
        </w:rPr>
      </w:pPr>
    </w:p>
    <w:p>
      <w:pPr>
        <w:jc w:val="both"/>
        <w:ind w:left="340" w:hanging="332"/>
        <w:spacing w:after="0" w:line="26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set the date for the Annual General Meeting of Shareholders for Friday, June 5, 2020, at 3 p.m. (Peru time) in a pure virtual meeting through an electronic portal. In accordance with the Company’s Bye-Laws, if the required quorum is not met in the first instance, the meeting will be postponed until Friday, June 12, 2020, at the same place (electronic portal) and time.</w:t>
      </w:r>
    </w:p>
    <w:p>
      <w:pPr>
        <w:spacing w:after="0" w:line="183"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The Board has established that those shareholders who are officially registered as shareholders of the Company as of Tuesday, May 6, 2020 (‘Record Date’) will be entitled to attend and vote in the above-mentioned meeting.</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Agenda defined for such Annual General Meeting of Shareholders will address the following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Presentation by the Chairman of the Board of the Annual Report for the financial year ended December 31, 2019.</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Presentation by the Chairman of the Board of the audited consolidated financial statements of the Company and its subsidiaries for the financial year ended December 31, 2019, including the report of the external auditors of the Company thereon.</w:t>
      </w:r>
    </w:p>
    <w:p>
      <w:pPr>
        <w:spacing w:after="0" w:line="170" w:lineRule="exact"/>
        <w:rPr>
          <w:rFonts w:ascii="Arial" w:cs="Arial" w:eastAsia="Arial" w:hAnsi="Arial"/>
          <w:sz w:val="18"/>
          <w:szCs w:val="18"/>
          <w:color w:val="auto"/>
        </w:rPr>
      </w:pPr>
    </w:p>
    <w:p>
      <w:pPr>
        <w:ind w:left="660" w:right="5880" w:hanging="328"/>
        <w:spacing w:after="0" w:line="383"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To elect Directors of the Company and define their remuneration. The proposed candidates are:</w:t>
      </w:r>
    </w:p>
    <w:p>
      <w:pPr>
        <w:spacing w:after="0" w:line="1" w:lineRule="exact"/>
        <w:rPr>
          <w:rFonts w:ascii="Arial" w:cs="Arial" w:eastAsia="Arial" w:hAnsi="Arial"/>
          <w:sz w:val="18"/>
          <w:szCs w:val="18"/>
          <w:color w:val="auto"/>
        </w:rPr>
      </w:pPr>
    </w:p>
    <w:p>
      <w:pPr>
        <w:ind w:left="1020" w:hanging="324"/>
        <w:spacing w:after="0"/>
        <w:tabs>
          <w:tab w:leader="none" w:pos="1020" w:val="left"/>
        </w:tabs>
        <w:numPr>
          <w:ilvl w:val="2"/>
          <w:numId w:val="1"/>
        </w:numPr>
        <w:rPr>
          <w:rFonts w:ascii="Arial" w:cs="Arial" w:eastAsia="Arial" w:hAnsi="Arial"/>
          <w:sz w:val="18"/>
          <w:szCs w:val="18"/>
          <w:color w:val="auto"/>
        </w:rPr>
      </w:pPr>
      <w:r>
        <w:rPr>
          <w:rFonts w:ascii="Arial" w:cs="Arial" w:eastAsia="Arial" w:hAnsi="Arial"/>
          <w:sz w:val="18"/>
          <w:szCs w:val="18"/>
          <w:color w:val="auto"/>
        </w:rPr>
        <w:t>Antonio Abruña Puyol</w:t>
      </w:r>
    </w:p>
    <w:p>
      <w:pPr>
        <w:spacing w:after="0" w:line="9" w:lineRule="exact"/>
        <w:rPr>
          <w:rFonts w:ascii="Arial" w:cs="Arial" w:eastAsia="Arial" w:hAnsi="Arial"/>
          <w:sz w:val="18"/>
          <w:szCs w:val="18"/>
          <w:color w:val="auto"/>
        </w:rPr>
      </w:pPr>
    </w:p>
    <w:p>
      <w:pPr>
        <w:ind w:left="1020" w:hanging="324"/>
        <w:spacing w:after="0"/>
        <w:tabs>
          <w:tab w:leader="none" w:pos="1020" w:val="left"/>
        </w:tabs>
        <w:numPr>
          <w:ilvl w:val="2"/>
          <w:numId w:val="1"/>
        </w:numPr>
        <w:rPr>
          <w:rFonts w:ascii="Arial" w:cs="Arial" w:eastAsia="Arial" w:hAnsi="Arial"/>
          <w:sz w:val="18"/>
          <w:szCs w:val="18"/>
          <w:color w:val="auto"/>
        </w:rPr>
      </w:pPr>
      <w:r>
        <w:rPr>
          <w:rFonts w:ascii="Arial" w:cs="Arial" w:eastAsia="Arial" w:hAnsi="Arial"/>
          <w:sz w:val="18"/>
          <w:szCs w:val="18"/>
          <w:color w:val="auto"/>
        </w:rPr>
        <w:t>Maite Aranzábal Harreguy</w:t>
      </w:r>
    </w:p>
    <w:p>
      <w:pPr>
        <w:spacing w:after="0" w:line="9" w:lineRule="exact"/>
        <w:rPr>
          <w:rFonts w:ascii="Arial" w:cs="Arial" w:eastAsia="Arial" w:hAnsi="Arial"/>
          <w:sz w:val="18"/>
          <w:szCs w:val="18"/>
          <w:color w:val="auto"/>
        </w:rPr>
      </w:pPr>
    </w:p>
    <w:p>
      <w:pPr>
        <w:ind w:left="1020" w:hanging="324"/>
        <w:spacing w:after="0"/>
        <w:tabs>
          <w:tab w:leader="none" w:pos="1020" w:val="left"/>
        </w:tabs>
        <w:numPr>
          <w:ilvl w:val="2"/>
          <w:numId w:val="1"/>
        </w:numPr>
        <w:rPr>
          <w:rFonts w:ascii="Arial" w:cs="Arial" w:eastAsia="Arial" w:hAnsi="Arial"/>
          <w:sz w:val="18"/>
          <w:szCs w:val="18"/>
          <w:color w:val="auto"/>
        </w:rPr>
      </w:pPr>
      <w:r>
        <w:rPr>
          <w:rFonts w:ascii="Arial" w:cs="Arial" w:eastAsia="Arial" w:hAnsi="Arial"/>
          <w:sz w:val="18"/>
          <w:szCs w:val="18"/>
          <w:color w:val="auto"/>
        </w:rPr>
        <w:t>Fernando Fort Marie</w:t>
      </w:r>
    </w:p>
    <w:p>
      <w:pPr>
        <w:spacing w:after="0" w:line="9" w:lineRule="exact"/>
        <w:rPr>
          <w:rFonts w:ascii="Arial" w:cs="Arial" w:eastAsia="Arial" w:hAnsi="Arial"/>
          <w:sz w:val="18"/>
          <w:szCs w:val="18"/>
          <w:color w:val="auto"/>
        </w:rPr>
      </w:pPr>
    </w:p>
    <w:p>
      <w:pPr>
        <w:ind w:left="1020" w:hanging="324"/>
        <w:spacing w:after="0"/>
        <w:tabs>
          <w:tab w:leader="none" w:pos="1020" w:val="left"/>
        </w:tabs>
        <w:numPr>
          <w:ilvl w:val="2"/>
          <w:numId w:val="1"/>
        </w:numPr>
        <w:rPr>
          <w:rFonts w:ascii="Arial" w:cs="Arial" w:eastAsia="Arial" w:hAnsi="Arial"/>
          <w:sz w:val="18"/>
          <w:szCs w:val="18"/>
          <w:color w:val="auto"/>
        </w:rPr>
      </w:pPr>
      <w:r>
        <w:rPr>
          <w:rFonts w:ascii="Arial" w:cs="Arial" w:eastAsia="Arial" w:hAnsi="Arial"/>
          <w:sz w:val="18"/>
          <w:szCs w:val="18"/>
          <w:color w:val="auto"/>
        </w:rPr>
        <w:t>Alexandre Gouvea</w:t>
      </w:r>
    </w:p>
    <w:p>
      <w:pPr>
        <w:spacing w:after="0" w:line="9" w:lineRule="exact"/>
        <w:rPr>
          <w:rFonts w:ascii="Arial" w:cs="Arial" w:eastAsia="Arial" w:hAnsi="Arial"/>
          <w:sz w:val="18"/>
          <w:szCs w:val="18"/>
          <w:color w:val="auto"/>
        </w:rPr>
      </w:pPr>
    </w:p>
    <w:p>
      <w:pPr>
        <w:ind w:left="1020" w:hanging="324"/>
        <w:spacing w:after="0"/>
        <w:tabs>
          <w:tab w:leader="none" w:pos="1020" w:val="left"/>
        </w:tabs>
        <w:numPr>
          <w:ilvl w:val="2"/>
          <w:numId w:val="1"/>
        </w:numPr>
        <w:rPr>
          <w:rFonts w:ascii="Arial" w:cs="Arial" w:eastAsia="Arial" w:hAnsi="Arial"/>
          <w:sz w:val="18"/>
          <w:szCs w:val="18"/>
          <w:color w:val="auto"/>
        </w:rPr>
      </w:pPr>
      <w:r>
        <w:rPr>
          <w:rFonts w:ascii="Arial" w:cs="Arial" w:eastAsia="Arial" w:hAnsi="Arial"/>
          <w:sz w:val="18"/>
          <w:szCs w:val="18"/>
          <w:color w:val="auto"/>
        </w:rPr>
        <w:t>Patricia Lizárraga Guthertz</w:t>
      </w:r>
    </w:p>
    <w:p>
      <w:pPr>
        <w:spacing w:after="0" w:line="9" w:lineRule="exact"/>
        <w:rPr>
          <w:rFonts w:ascii="Arial" w:cs="Arial" w:eastAsia="Arial" w:hAnsi="Arial"/>
          <w:sz w:val="18"/>
          <w:szCs w:val="18"/>
          <w:color w:val="auto"/>
        </w:rPr>
      </w:pPr>
    </w:p>
    <w:p>
      <w:pPr>
        <w:ind w:left="1020" w:hanging="324"/>
        <w:spacing w:after="0"/>
        <w:tabs>
          <w:tab w:leader="none" w:pos="1020" w:val="left"/>
        </w:tabs>
        <w:numPr>
          <w:ilvl w:val="2"/>
          <w:numId w:val="1"/>
        </w:numPr>
        <w:rPr>
          <w:rFonts w:ascii="Arial" w:cs="Arial" w:eastAsia="Arial" w:hAnsi="Arial"/>
          <w:sz w:val="18"/>
          <w:szCs w:val="18"/>
          <w:color w:val="auto"/>
        </w:rPr>
      </w:pPr>
      <w:r>
        <w:rPr>
          <w:rFonts w:ascii="Arial" w:cs="Arial" w:eastAsia="Arial" w:hAnsi="Arial"/>
          <w:sz w:val="18"/>
          <w:szCs w:val="18"/>
          <w:color w:val="auto"/>
        </w:rPr>
        <w:t>Raimundo Morales Dasso</w:t>
      </w:r>
    </w:p>
    <w:p>
      <w:pPr>
        <w:spacing w:after="0" w:line="9" w:lineRule="exact"/>
        <w:rPr>
          <w:rFonts w:ascii="Arial" w:cs="Arial" w:eastAsia="Arial" w:hAnsi="Arial"/>
          <w:sz w:val="18"/>
          <w:szCs w:val="18"/>
          <w:color w:val="auto"/>
        </w:rPr>
      </w:pPr>
    </w:p>
    <w:p>
      <w:pPr>
        <w:ind w:left="1020" w:hanging="324"/>
        <w:spacing w:after="0"/>
        <w:tabs>
          <w:tab w:leader="none" w:pos="1020" w:val="left"/>
        </w:tabs>
        <w:numPr>
          <w:ilvl w:val="2"/>
          <w:numId w:val="1"/>
        </w:numPr>
        <w:rPr>
          <w:rFonts w:ascii="Arial" w:cs="Arial" w:eastAsia="Arial" w:hAnsi="Arial"/>
          <w:sz w:val="18"/>
          <w:szCs w:val="18"/>
          <w:color w:val="auto"/>
        </w:rPr>
      </w:pPr>
      <w:r>
        <w:rPr>
          <w:rFonts w:ascii="Arial" w:cs="Arial" w:eastAsia="Arial" w:hAnsi="Arial"/>
          <w:sz w:val="18"/>
          <w:szCs w:val="18"/>
          <w:color w:val="auto"/>
        </w:rPr>
        <w:t>Irzio Pinasco Menchelli</w:t>
      </w:r>
    </w:p>
    <w:p>
      <w:pPr>
        <w:spacing w:after="0" w:line="9" w:lineRule="exact"/>
        <w:rPr>
          <w:rFonts w:ascii="Arial" w:cs="Arial" w:eastAsia="Arial" w:hAnsi="Arial"/>
          <w:sz w:val="18"/>
          <w:szCs w:val="18"/>
          <w:color w:val="auto"/>
        </w:rPr>
      </w:pPr>
    </w:p>
    <w:p>
      <w:pPr>
        <w:ind w:left="1020" w:hanging="324"/>
        <w:spacing w:after="0"/>
        <w:tabs>
          <w:tab w:leader="none" w:pos="1020" w:val="left"/>
        </w:tabs>
        <w:numPr>
          <w:ilvl w:val="2"/>
          <w:numId w:val="1"/>
        </w:numPr>
        <w:rPr>
          <w:rFonts w:ascii="Arial" w:cs="Arial" w:eastAsia="Arial" w:hAnsi="Arial"/>
          <w:sz w:val="18"/>
          <w:szCs w:val="18"/>
          <w:color w:val="auto"/>
        </w:rPr>
      </w:pPr>
      <w:r>
        <w:rPr>
          <w:rFonts w:ascii="Arial" w:cs="Arial" w:eastAsia="Arial" w:hAnsi="Arial"/>
          <w:sz w:val="18"/>
          <w:szCs w:val="18"/>
          <w:color w:val="auto"/>
        </w:rPr>
        <w:t>Luis Enrique Romero Belismelis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To partially amend the Bye-laws, to amend, among other provisions, Bye-law 4.11 with respect to the number of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To appoint the external auditors of the Company to perform such services for the 2020 financial year.</w:t>
      </w:r>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64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646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April 23, 2020</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134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20"/>
      </w:cols>
      <w:pgMar w:left="320" w:top="904"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2020-04-24T05:19:16Z</dcterms:created>
  <dcterms:modified xsi:type="dcterms:W3CDTF">2020-04-24T05:19:16Z</dcterms:modified>
</cp:coreProperties>
</file>