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February 2015</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February 10, 2015</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193" w:lineRule="exact"/>
        <w:rPr>
          <w:sz w:val="20"/>
          <w:szCs w:val="20"/>
          <w:color w:val="auto"/>
        </w:rPr>
      </w:pPr>
    </w:p>
    <w:p>
      <w:pPr>
        <w:ind w:left="572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Mario Ferrari</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873" w:right="8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151130</wp:posOffset>
            </wp:positionV>
            <wp:extent cx="1483360" cy="8301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3360" cy="8301355"/>
                    </a:xfrm>
                    <a:prstGeom prst="rect">
                      <a:avLst/>
                    </a:prstGeom>
                    <a:noFill/>
                  </pic:spPr>
                </pic:pic>
              </a:graphicData>
            </a:graphic>
          </wp:anchor>
        </w:drawing>
        <w:drawing>
          <wp:anchor simplePos="0" relativeHeight="251657728" behindDoc="1" locked="0" layoutInCell="0" allowOverlap="1">
            <wp:simplePos x="0" y="0"/>
            <wp:positionH relativeFrom="column">
              <wp:posOffset>3084830</wp:posOffset>
            </wp:positionH>
            <wp:positionV relativeFrom="paragraph">
              <wp:posOffset>151130</wp:posOffset>
            </wp:positionV>
            <wp:extent cx="1346200" cy="266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620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18"/>
          <w:szCs w:val="18"/>
          <w:b w:val="1"/>
          <w:bCs w:val="1"/>
          <w:color w:val="auto"/>
        </w:rPr>
        <w:t>Fourth Quarter 2014 Results</w:t>
      </w:r>
    </w:p>
    <w:p>
      <w:pPr>
        <w:spacing w:after="0" w:line="229" w:lineRule="exact"/>
        <w:rPr>
          <w:sz w:val="20"/>
          <w:szCs w:val="20"/>
          <w:color w:val="auto"/>
        </w:rPr>
      </w:pPr>
    </w:p>
    <w:p>
      <w:pPr>
        <w:jc w:val="both"/>
        <w:ind w:left="1680"/>
        <w:spacing w:after="0" w:line="223" w:lineRule="auto"/>
        <w:rPr>
          <w:sz w:val="20"/>
          <w:szCs w:val="20"/>
          <w:color w:val="auto"/>
        </w:rPr>
      </w:pPr>
      <w:r>
        <w:rPr>
          <w:rFonts w:ascii="Times New Roman" w:cs="Times New Roman" w:eastAsia="Times New Roman" w:hAnsi="Times New Roman"/>
          <w:sz w:val="18"/>
          <w:szCs w:val="18"/>
          <w:b w:val="1"/>
          <w:bCs w:val="1"/>
          <w:color w:val="auto"/>
        </w:rPr>
        <w:t>Lima, Perú, February 09</w:t>
      </w:r>
      <w:r>
        <w:rPr>
          <w:rFonts w:ascii="Times New Roman" w:cs="Times New Roman" w:eastAsia="Times New Roman" w:hAnsi="Times New Roman"/>
          <w:sz w:val="30"/>
          <w:szCs w:val="30"/>
          <w:b w:val="1"/>
          <w:bCs w:val="1"/>
          <w:color w:val="auto"/>
          <w:vertAlign w:val="superscript"/>
        </w:rPr>
        <w:t>th</w:t>
      </w:r>
      <w:r>
        <w:rPr>
          <w:rFonts w:ascii="Times New Roman" w:cs="Times New Roman" w:eastAsia="Times New Roman" w:hAnsi="Times New Roman"/>
          <w:sz w:val="18"/>
          <w:szCs w:val="18"/>
          <w:b w:val="1"/>
          <w:bCs w:val="1"/>
          <w:color w:val="auto"/>
        </w:rPr>
        <w:t xml:space="preserve">, 2015 - </w:t>
      </w:r>
      <w:r>
        <w:rPr>
          <w:rFonts w:ascii="Times New Roman" w:cs="Times New Roman" w:eastAsia="Times New Roman" w:hAnsi="Times New Roman"/>
          <w:sz w:val="18"/>
          <w:szCs w:val="18"/>
          <w:color w:val="auto"/>
        </w:rPr>
        <w:t>Credicorp (NYSE:BAP) announced today its unaudited results for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2014. These results are reported on a consolidated basis in accordance with IFRS in nominal Peruvian Nuevos Soles (PEN).</w:t>
      </w:r>
    </w:p>
    <w:p>
      <w:pPr>
        <w:spacing w:after="0" w:line="196"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jc w:val="both"/>
        <w:ind w:left="1680" w:hanging="9"/>
        <w:spacing w:after="0" w:line="253" w:lineRule="auto"/>
        <w:tabs>
          <w:tab w:leader="none" w:pos="18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Credicorp reported this 4Q14 net income affected by a series of extraordinary costs related to the Mibanco acquisition, the re-orientation of its business strategy and focus to take better advantage of the acquisition, and substantial impairment on its investment in the Chilean capital markets-operation as a result of a more difficult market environment in LatAm. Consequently, reported net income for 4Q14 reached PEN 495.6 million, which compared to PEN 645.4 million the previous Q, represents a drop of 23% leading to a ROAE of 14.5% for the Q. For the year 2014, total net income reported reached PEN 2,388 million reflecting a ROAE of 18.5%, a strong result considering the substantial extraordinary costs incurred, and the cost of the learning curve in our SME/Retail business.</w:t>
      </w:r>
    </w:p>
    <w:p>
      <w:pPr>
        <w:spacing w:after="0" w:line="3" w:lineRule="exact"/>
        <w:rPr>
          <w:rFonts w:ascii="Times New Roman" w:cs="Times New Roman" w:eastAsia="Times New Roman" w:hAnsi="Times New Roman"/>
          <w:sz w:val="18"/>
          <w:szCs w:val="18"/>
          <w:color w:val="auto"/>
        </w:rPr>
      </w:pPr>
    </w:p>
    <w:p>
      <w:pPr>
        <w:jc w:val="both"/>
        <w:ind w:left="1680" w:hanging="9"/>
        <w:spacing w:after="0" w:line="250" w:lineRule="auto"/>
        <w:tabs>
          <w:tab w:leader="none" w:pos="178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impact of the mentioned extraordinary items after tax adjustments, which accounted for a total net expense (after extraordinary income) of PEN 73 million in aggregate for the year 2014, and explains a net non-recurrent expense of PEN 130 million affecting 4Q14, net income generated by the core business evolution showed an excellent performance, revealing recurrent net income for the 4Q of PEN 626 million, and PEN 2,461 million for the year 2014, and adjusted ROAEs of 18.2% in 4Q and 18.6% for the full year.</w:t>
      </w:r>
    </w:p>
    <w:p>
      <w:pPr>
        <w:spacing w:after="0" w:line="2" w:lineRule="exact"/>
        <w:rPr>
          <w:rFonts w:ascii="Times New Roman" w:cs="Times New Roman" w:eastAsia="Times New Roman" w:hAnsi="Times New Roman"/>
          <w:sz w:val="18"/>
          <w:szCs w:val="18"/>
          <w:color w:val="auto"/>
        </w:rPr>
      </w:pPr>
    </w:p>
    <w:p>
      <w:pPr>
        <w:jc w:val="both"/>
        <w:ind w:left="1680" w:hanging="9"/>
        <w:spacing w:after="0" w:line="250" w:lineRule="auto"/>
        <w:tabs>
          <w:tab w:leader="none" w:pos="177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performance was possible since total loans continued expanding and were up 5.6% QoQ, despite the persistent economic slowdown in the last Q of the year. On a yearly basis, the reported expansion reached a high 24.3%. Nevertheless, this growth includes the non-organic expansion through the Mibanco acquisition. Thus, organic growth was around 15.4%, though adjusting for the revaluation of the USD denominated portfolio, real organic growth was about 12% for the year.</w:t>
      </w:r>
    </w:p>
    <w:p>
      <w:pPr>
        <w:spacing w:after="0" w:line="2" w:lineRule="exact"/>
        <w:rPr>
          <w:rFonts w:ascii="Times New Roman" w:cs="Times New Roman" w:eastAsia="Times New Roman" w:hAnsi="Times New Roman"/>
          <w:sz w:val="18"/>
          <w:szCs w:val="18"/>
          <w:color w:val="auto"/>
        </w:rPr>
      </w:pPr>
    </w:p>
    <w:p>
      <w:pPr>
        <w:jc w:val="both"/>
        <w:ind w:left="1680" w:hanging="9"/>
        <w:spacing w:after="0" w:line="250" w:lineRule="auto"/>
        <w:tabs>
          <w:tab w:leader="none" w:pos="177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mix and timing of such portfolio expansion (concentrated in the low margin business / disbursed at the end of the Q) NII expansion was lower than portfolio expansion reaching 1.5% QoQ, a fact that affected the NIM negatively, reporting a contraction of 10 bps to 5.65% for the 4Q. For the full year, however, the NIM shows an excellent expansion of 60 bps resulting from the price corrections and good cost of funds management. NIM reached 5.7% vs. 5.1% in 2013.</w:t>
      </w:r>
    </w:p>
    <w:p>
      <w:pPr>
        <w:spacing w:after="0" w:line="2" w:lineRule="exact"/>
        <w:rPr>
          <w:rFonts w:ascii="Times New Roman" w:cs="Times New Roman" w:eastAsia="Times New Roman" w:hAnsi="Times New Roman"/>
          <w:sz w:val="18"/>
          <w:szCs w:val="18"/>
          <w:color w:val="auto"/>
        </w:rPr>
      </w:pPr>
    </w:p>
    <w:p>
      <w:pPr>
        <w:jc w:val="both"/>
        <w:ind w:left="1680" w:hanging="9"/>
        <w:spacing w:after="0" w:line="250" w:lineRule="auto"/>
        <w:tabs>
          <w:tab w:leader="none" w:pos="177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loan losses continued its improving trend, expanding less than net interest income and resulting in a further drop in cost of risk to 2.2% from 2.3% in the previous Q. The latter is also reflected in an improved PDL ratio of 2.51% down from 2.59%. On a yearly basis, provisions do reflect the higher cost of risk assumed this year which lifted to a peak in 2Q, and accumulated for 2014 a total of 2.15% of the book. It is worthwhile to point out that Mibanco accounts for about all of the incremental cost of risk.</w:t>
      </w:r>
    </w:p>
    <w:p>
      <w:pPr>
        <w:spacing w:after="0" w:line="2" w:lineRule="exact"/>
        <w:rPr>
          <w:rFonts w:ascii="Times New Roman" w:cs="Times New Roman" w:eastAsia="Times New Roman" w:hAnsi="Times New Roman"/>
          <w:sz w:val="18"/>
          <w:szCs w:val="18"/>
          <w:color w:val="auto"/>
        </w:rPr>
      </w:pPr>
    </w:p>
    <w:p>
      <w:pPr>
        <w:jc w:val="both"/>
        <w:ind w:left="1680" w:hanging="9"/>
        <w:spacing w:after="0" w:line="250" w:lineRule="auto"/>
        <w:tabs>
          <w:tab w:leader="none" w:pos="178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income expanded 11.5% for the Q, explained by a stronger lending and commercial activity and gains of FX-transaction expanded also 14.5% helped by the increase in volatility of the Nuevo Sol/USD exchange rate. However, gains on the sale of securities were down for the Q given the absence of gains on investments as reported in previous Qs and a substantial impairment on Credicorp’s investment in the Chilean capital markets-operation. On a yearly basis, non-financial income as a whole expands 17.6%, with all elements showing a strong expansion on the overall.</w:t>
      </w:r>
    </w:p>
    <w:p>
      <w:pPr>
        <w:spacing w:after="0" w:line="2" w:lineRule="exact"/>
        <w:rPr>
          <w:rFonts w:ascii="Times New Roman" w:cs="Times New Roman" w:eastAsia="Times New Roman" w:hAnsi="Times New Roman"/>
          <w:sz w:val="18"/>
          <w:szCs w:val="18"/>
          <w:color w:val="auto"/>
        </w:rPr>
      </w:pPr>
    </w:p>
    <w:p>
      <w:pPr>
        <w:jc w:val="both"/>
        <w:ind w:left="1680" w:hanging="9"/>
        <w:spacing w:after="0" w:line="250" w:lineRule="auto"/>
        <w:tabs>
          <w:tab w:leader="none" w:pos="178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the insurance business were affected by provision reversals, income deferrals, extraordinary gains and others, generating some volatility in reported results and a QoQ drop in technical results for both the insurance business and the Medical services in the 4Q. However, on an YTD performance, the significant improvement of the business results is evident, with a 10% improvement in insurance services technical results for the year and 53% improvement in medical services result. Consequently, contribution to Credicorp’s bottom line, though slightly lower QoQ, improved substantially when comparing year end totals, reaching an 84% higher bottom line contribution in 2014 vs 2013.</w:t>
      </w:r>
    </w:p>
    <w:p>
      <w:pPr>
        <w:spacing w:after="0" w:line="3" w:lineRule="exact"/>
        <w:rPr>
          <w:rFonts w:ascii="Times New Roman" w:cs="Times New Roman" w:eastAsia="Times New Roman" w:hAnsi="Times New Roman"/>
          <w:sz w:val="18"/>
          <w:szCs w:val="18"/>
          <w:color w:val="auto"/>
        </w:rPr>
      </w:pPr>
    </w:p>
    <w:p>
      <w:pPr>
        <w:jc w:val="both"/>
        <w:ind w:left="1680" w:hanging="9"/>
        <w:spacing w:after="0" w:line="250" w:lineRule="auto"/>
        <w:tabs>
          <w:tab w:leader="none" w:pos="178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had in 4Q the traditional seasonal increase, but also significant one-off expenses related to the acquisition of Mibanco and market valuations of recent acquisitions, all of which affected operating expenses and led to a QoQ expansion of 13% and 17.5% for the year. Despite a seasonal regression in the efficiency ratio for 4Q, in the aggregate year, income generation was superior and the sought efficiency improvement of approximately 100 bps in the efficiency ratio was achieved.</w:t>
      </w:r>
    </w:p>
    <w:p>
      <w:pPr>
        <w:spacing w:after="0" w:line="2" w:lineRule="exact"/>
        <w:rPr>
          <w:rFonts w:ascii="Times New Roman" w:cs="Times New Roman" w:eastAsia="Times New Roman" w:hAnsi="Times New Roman"/>
          <w:sz w:val="18"/>
          <w:szCs w:val="18"/>
          <w:color w:val="auto"/>
        </w:rPr>
      </w:pPr>
    </w:p>
    <w:p>
      <w:pPr>
        <w:ind w:left="1680" w:hanging="9"/>
        <w:spacing w:after="0" w:line="250" w:lineRule="auto"/>
        <w:tabs>
          <w:tab w:leader="none" w:pos="177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Consequently, net impact of such non-recurrent expenses &amp; income affected operating income for Credicorp which dropped 20.2% QoQ, but improved 29.4% for the year end results.</w:t>
      </w:r>
    </w:p>
    <w:p>
      <w:pPr>
        <w:jc w:val="both"/>
        <w:ind w:left="1680" w:hanging="9"/>
        <w:spacing w:after="0" w:line="250" w:lineRule="auto"/>
        <w:tabs>
          <w:tab w:leader="none" w:pos="179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Though the small open US Dollar position held in the balance sheet has today little impact through translation results, the recent change in the corporate tax rates from which we will benefit in the future, did generate an initial reversal of tax credits that resulted in a one-off negative adjustment for 2014.</w:t>
      </w:r>
    </w:p>
    <w:p>
      <w:pPr>
        <w:spacing w:after="0" w:line="1" w:lineRule="exact"/>
        <w:rPr>
          <w:rFonts w:ascii="Times New Roman" w:cs="Times New Roman" w:eastAsia="Times New Roman" w:hAnsi="Times New Roman"/>
          <w:sz w:val="18"/>
          <w:szCs w:val="18"/>
          <w:color w:val="auto"/>
        </w:rPr>
      </w:pPr>
    </w:p>
    <w:p>
      <w:pPr>
        <w:jc w:val="both"/>
        <w:ind w:left="1680" w:hanging="9"/>
        <w:spacing w:after="0" w:line="253" w:lineRule="auto"/>
        <w:tabs>
          <w:tab w:leader="none" w:pos="18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a solid core business performance, these significant extraordinary costs that affected Credicorp´s 4Q prevented Credicorp from reporting a ROAE in line with our 20% target, as reflected by the 14.5% ROAE for 4Q and 18.5% ROAE for the year. However, excluding the one-off costs incurred throughout the year and especially this 4Q14, ROAE reaches 18.2% for the 4Q and 18.6% for the year. It is only when excluding the whole of Mibanco that ROAE for 2014 reaches19.1%.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405130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51"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I. Credicorp Ltd.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Credicorp reported net income for 4Q14 of PEN 495.6 million, which compared to PEN 645.4 million the previous Q, represents a drop of 23% leading to a ROAE of 14.5% for the Q. For the year 2014, total net income reported reached PEN 2,388 million reflecting a ROAE of 18.5%.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Though at first sight these numbers fail to reach the expected performance of the business, core business results tell a different story and show the strength of the business and strong results despite the cost of the learning curve which translated into higher cost of risk in our SME/Retail business, and the slow economic environment. These core results were however affected by substantial extraordinary costs incurred, and reported mainly this 4Q14, related to the Mibanco acquisition, the re-orientation of BCP’s business strategy and focus to take better advantage of the acquisition, and substantial impairment on Credicorp’s investment in the Chilean capital markets-operation as a result of a more difficult market environment in LatAm. Extraordinary items for the year however, include also substantial non-recurrent income reported previously that reduced the negative impact for the year.</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significant extraordinary / non-recurrent charges incurred, it becomes relevant to identify them clearly and upfront in order to isolate Credicorp’s core business to be able to report its true evolution.</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Non-recurring Income / Expenses 2014</w:t>
            </w:r>
          </w:p>
        </w:tc>
        <w:tc>
          <w:tcPr>
            <w:tcW w:w="1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4Q14</w:t>
            </w:r>
          </w:p>
        </w:tc>
        <w:tc>
          <w:tcPr>
            <w:tcW w:w="8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 million)</w:t>
            </w:r>
          </w:p>
        </w:tc>
        <w:tc>
          <w:tcPr>
            <w:tcW w:w="106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Non-recurrent expenses in Mibanco and Edyficar</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Impairment - Credicorp Capital and others </w:t>
            </w:r>
            <w:r>
              <w:rPr>
                <w:rFonts w:ascii="Times New Roman" w:cs="Times New Roman" w:eastAsia="Times New Roman" w:hAnsi="Times New Roman"/>
                <w:sz w:val="29"/>
                <w:szCs w:val="29"/>
                <w:color w:val="auto"/>
                <w:vertAlign w:val="superscript"/>
              </w:rPr>
              <w:t>(1)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of Calls and Puts - Credicorp Capital</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Shutdown of Tarjeta Naranja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sale - Prima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from reinsurers - ASB</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Non-recurrent gain from investments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 (DTA)</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adjustments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result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Tax adjustment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-130.2</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-73.0</w:t>
            </w:r>
          </w:p>
        </w:tc>
        <w:tc>
          <w:tcPr>
            <w:tcW w:w="0" w:type="dxa"/>
            <w:vAlign w:val="bottom"/>
          </w:tcPr>
          <w:p>
            <w:pPr>
              <w:spacing w:after="0"/>
              <w:rPr>
                <w:sz w:val="1"/>
                <w:szCs w:val="1"/>
                <w:color w:val="auto"/>
              </w:rPr>
            </w:pPr>
          </w:p>
        </w:tc>
      </w:tr>
      <w:tr>
        <w:trPr>
          <w:trHeight w:val="21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Others referes to impairment of PEN 2.3 at SAHSAC in Pacifico</w:t>
            </w: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list of non-recurrent expenses allows a better understanding of these, which have their source in 4 main events:</w:t>
      </w:r>
    </w:p>
    <w:p>
      <w:pPr>
        <w:spacing w:after="0" w:line="225" w:lineRule="exact"/>
        <w:rPr>
          <w:sz w:val="20"/>
          <w:szCs w:val="20"/>
          <w:color w:val="auto"/>
        </w:rPr>
      </w:pPr>
    </w:p>
    <w:p>
      <w:pPr>
        <w:jc w:val="both"/>
        <w:ind w:left="660" w:hanging="323"/>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w:t>
        <w:tab/>
        <w:t>The largest impact is generated by the Mibanco acquisition, merger charges and business model implementation charges at Mibanco, which accounted for PEN 39.7 million in 4Q2014, and an aggregate amount for the year of PEN 77.7 million. This amount involves charges such as systems migration and charge-off of redundant &amp; obsolete systems, closure of some branches, staff lay-off costs, amortization of intangibles, etc.</w:t>
      </w:r>
    </w:p>
    <w:p>
      <w:pPr>
        <w:spacing w:after="0" w:line="176" w:lineRule="exact"/>
        <w:rPr>
          <w:sz w:val="20"/>
          <w:szCs w:val="20"/>
          <w:color w:val="auto"/>
        </w:rPr>
      </w:pPr>
    </w:p>
    <w:p>
      <w:pPr>
        <w:jc w:val="both"/>
        <w:ind w:left="660" w:hanging="323"/>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w:t>
        <w:tab/>
        <w:t>Another relevant source of one-off charges has been our acquisition of IM Trust in Chile. The operation was acquired in 2012, a time when markets were bullish and valuations high compared to today’s environment. The acquisition involved a series of Puts and Calls which generate valuation adjustments using a contractual formula as a function of the business results, that has worked against us and explain an extraordinary charge of PEN 51.8 million. In addition, given today’s market conditions, an impairment of an additional PEN 67.5 million of the “goodwill” imbedded in the price was necessary.</w:t>
      </w:r>
    </w:p>
    <w:p>
      <w:pPr>
        <w:spacing w:after="0" w:line="184" w:lineRule="exact"/>
        <w:rPr>
          <w:sz w:val="20"/>
          <w:szCs w:val="20"/>
          <w:color w:val="auto"/>
        </w:rPr>
      </w:pPr>
    </w:p>
    <w:p>
      <w:pPr>
        <w:jc w:val="both"/>
        <w:ind w:left="660" w:hanging="323"/>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w:t>
        <w:tab/>
        <w:t>A non-recurrent negative adjustment (increase) of PEN 23.9 million in net tax provisions resulting from lower expected future tax credits due to the recent corporate tax reductions introduced by the government.</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4" w:name="page5"/>
    <w:bookmarkEnd w:id="4"/>
    <w:p>
      <w:pPr>
        <w:ind w:left="660" w:hanging="323"/>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4-</w:t>
        <w:tab/>
        <w:t>The last relevant one-off charge of PEN 7.6 million is related to the closure of Tarjeta Naranja, a “green-field” investment that proved unprofitable at this time and we decided to withdraw from, to give the market for such low income lending business time to develop.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charges are clearly extraordinary and allowed for the closure of the related businesses. On the other hand, Credicorp was in the position to also realize some extraordinary gains that helped in the aggregate for the year, compensate to a good extent those non-recurrent expenses. Those include the gain on the sale of assets and non-strategic investments, such as the Alicorp shares sold in 1Q14 which generated PEN 62 million extraordinary income, the sale of some other corporate shares (PEN 28 million), corporate bonds (PEN 15 million) and real estate (PEN 7.6 million). In addition, Credicorp was successful in a lawsuit and won a claim related to the losses incurred during the 2008 crisis in connection to the Madoff scandal and recovered PEN 40.8 million in the 2Q14.</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extraordinary items, as shown in the previous tables, accounted for a total net expense (after extraordinary income) of PEN 73 million in aggregate for the year 2014, which includes a net non-recurrent expense of PEN 130 million in the last Q which strongly affected 4Q14 reported results.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2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PEN million</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4Q14</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excluding Mibanco</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2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2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ROAE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ROAE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ROAE excluding Mibanco</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ROAA</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ROAA</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ROAA excluding Mibanco</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convenience and to facilitate your analysis, in the previous charts we have also excluded the translation gains/losses of 2013 and 2014, and excluded the Mibanco operation and impact of this acquisition on the 2014 results to make these numbers comparable with the 2013 numbers -net of the extraordinary items of that year- isolating this way core business performance of both years to evaluate its evolution.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Therefore, excluding the net impact of extraordinary items, core business evolution showed an excellent performance, revealing recurrent net income for the 4Q of PEN 626 million, and PEN 2,461 million for the year 2014, and adjusted ROAE of 18.2% in 4Q and 18.6% for the full year. Furthermore, what becomes also evident in this chart is that despite the Mibanco acquisition and all related costs, Credicorp continues delivering a substantial ROAE, a fact that</w:t>
      </w:r>
    </w:p>
    <w:p>
      <w:pPr>
        <w:spacing w:after="0" w:line="2" w:lineRule="exact"/>
        <w:rPr>
          <w:sz w:val="20"/>
          <w:szCs w:val="20"/>
          <w:color w:val="auto"/>
        </w:rPr>
      </w:pPr>
    </w:p>
    <w:p>
      <w:pPr>
        <w:ind w:right="20" w:firstLine="8"/>
        <w:spacing w:after="0" w:line="261" w:lineRule="auto"/>
        <w:tabs>
          <w:tab w:leader="none" w:pos="2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determine the small impact (approx. 1% of ROE) of the SME-business learning curve and general market slowdown on the total of Credicorp’s business, and b) helps quantify the real cost of the acquisition: a drop of 0.5% of ROE.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performance was possible despite the persistent economic slowdown in the last Q of the year since total loans continued expanding and were up a significant 5.6% QoQ. On a yearly basis, the reported expansion reached a high 24.3%, growth that includes the non-organic expansion through the Mibanco acquisition, and the revaluation of the USD denominated portfolio which still accounts for close to 50% of the portfolio. Therefore, organic growth reaches about 15.4% per annum, and adjusting for the FX variation, real growth is closer to 12% for the year, which reveals a still dynamic portfolio given the slowdown in GDP expansion experienced in this period.</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the mix of such portfolio expansion (concentrated in the low margin business, with the wholesale business explaining approximately 30% of the expansion), and the timing (disbursements towards the end of the Q), NII improved a significantly lower 1.5% QoQ, a fact that affected the NIM negatively, reporting a contraction of 10bps to 5.65% for the 4Q. For the full year, however, the NIM shows an excellent expansion of 60bps resulting from the price corrections introduced in the course of the year and good cost of funds management. Thus, NIM reached 5.7% vs. 5.1% in 2013. At this point it is important to point at the extremely proactive approach of the BCRP to provide the necessary liquidity to the financial system through low cost CBk instruments, and promote this way a de-dollarization process that is becoming evident. The availability of liquidity has allowed for the portfolios to grow according to demand and risk appetite without constraints and/or tangible pressure on margins.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Excluding MiBanco</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Including MiBanco</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Credicorp Ltd.</w:t>
            </w:r>
          </w:p>
        </w:tc>
        <w:tc>
          <w:tcPr>
            <w:tcW w:w="1720" w:type="dxa"/>
            <w:vAlign w:val="bottom"/>
            <w:gridSpan w:val="4"/>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 Change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4"/>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740" w:type="dxa"/>
            <w:vAlign w:val="bottom"/>
            <w:gridSpan w:val="4"/>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Year to date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55"/>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PEN (000)</w:t>
            </w:r>
          </w:p>
        </w:tc>
        <w:tc>
          <w:tcPr>
            <w:tcW w:w="100" w:type="dxa"/>
            <w:vAlign w:val="bottom"/>
          </w:tcPr>
          <w:p>
            <w:pPr>
              <w:spacing w:after="0"/>
              <w:rPr>
                <w:sz w:val="13"/>
                <w:szCs w:val="13"/>
                <w:color w:val="auto"/>
              </w:rPr>
            </w:pPr>
          </w:p>
        </w:tc>
        <w:tc>
          <w:tcPr>
            <w:tcW w:w="6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3Q14</w:t>
            </w:r>
          </w:p>
        </w:tc>
        <w:tc>
          <w:tcPr>
            <w:tcW w:w="200" w:type="dxa"/>
            <w:vAlign w:val="bottom"/>
          </w:tcPr>
          <w:p>
            <w:pPr>
              <w:spacing w:after="0"/>
              <w:rPr>
                <w:sz w:val="13"/>
                <w:szCs w:val="13"/>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4Q14</w:t>
            </w:r>
          </w:p>
        </w:tc>
        <w:tc>
          <w:tcPr>
            <w:tcW w:w="2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QoQ</w:t>
            </w:r>
          </w:p>
        </w:tc>
        <w:tc>
          <w:tcPr>
            <w:tcW w:w="220" w:type="dxa"/>
            <w:vAlign w:val="bottom"/>
          </w:tcPr>
          <w:p>
            <w:pPr>
              <w:spacing w:after="0"/>
              <w:rPr>
                <w:sz w:val="13"/>
                <w:szCs w:val="13"/>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4Q13</w:t>
            </w:r>
          </w:p>
        </w:tc>
        <w:tc>
          <w:tcPr>
            <w:tcW w:w="200" w:type="dxa"/>
            <w:vAlign w:val="bottom"/>
          </w:tcPr>
          <w:p>
            <w:pPr>
              <w:spacing w:after="0"/>
              <w:rPr>
                <w:sz w:val="13"/>
                <w:szCs w:val="13"/>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3Q14</w:t>
            </w:r>
          </w:p>
        </w:tc>
        <w:tc>
          <w:tcPr>
            <w:tcW w:w="20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4Q14</w:t>
            </w:r>
          </w:p>
        </w:tc>
        <w:tc>
          <w:tcPr>
            <w:tcW w:w="20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QoQ</w:t>
            </w:r>
          </w:p>
        </w:tc>
        <w:tc>
          <w:tcPr>
            <w:tcW w:w="240" w:type="dxa"/>
            <w:vAlign w:val="bottom"/>
          </w:tcPr>
          <w:p>
            <w:pPr>
              <w:spacing w:after="0"/>
              <w:rPr>
                <w:sz w:val="13"/>
                <w:szCs w:val="13"/>
                <w:color w:val="auto"/>
              </w:rPr>
            </w:pP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YoY</w:t>
            </w:r>
          </w:p>
        </w:tc>
        <w:tc>
          <w:tcPr>
            <w:tcW w:w="220" w:type="dxa"/>
            <w:vAlign w:val="bottom"/>
          </w:tcPr>
          <w:p>
            <w:pPr>
              <w:spacing w:after="0"/>
              <w:rPr>
                <w:sz w:val="13"/>
                <w:szCs w:val="13"/>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Dec 13</w:t>
            </w:r>
          </w:p>
        </w:tc>
        <w:tc>
          <w:tcPr>
            <w:tcW w:w="22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Dec 14</w:t>
            </w:r>
          </w:p>
        </w:tc>
        <w:tc>
          <w:tcPr>
            <w:tcW w:w="2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4"/>
              </w:rPr>
              <w:t>Dec 14 / Dec 13</w:t>
            </w:r>
          </w:p>
        </w:tc>
        <w:tc>
          <w:tcPr>
            <w:tcW w:w="0" w:type="dxa"/>
            <w:vAlign w:val="bottom"/>
          </w:tcPr>
          <w:p>
            <w:pPr>
              <w:spacing w:after="0"/>
              <w:rPr>
                <w:sz w:val="1"/>
                <w:szCs w:val="1"/>
                <w:color w:val="auto"/>
              </w:rPr>
            </w:pPr>
          </w:p>
        </w:tc>
      </w:tr>
      <w:tr>
        <w:trPr>
          <w:trHeight w:val="20"/>
        </w:trPr>
        <w:tc>
          <w:tcPr>
            <w:tcW w:w="20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Net Interest income</w:t>
            </w:r>
          </w:p>
        </w:tc>
        <w:tc>
          <w:tcPr>
            <w:tcW w:w="10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1,513,111</w:t>
            </w:r>
          </w:p>
        </w:tc>
        <w:tc>
          <w:tcPr>
            <w:tcW w:w="20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1,545,123</w:t>
            </w:r>
          </w:p>
        </w:tc>
        <w:tc>
          <w:tcPr>
            <w:tcW w:w="20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2.1%</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1,319,422</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1,686,184</w:t>
            </w:r>
          </w:p>
        </w:tc>
        <w:tc>
          <w:tcPr>
            <w:tcW w:w="20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1,711,398</w:t>
            </w:r>
          </w:p>
        </w:tc>
        <w:tc>
          <w:tcPr>
            <w:tcW w:w="200" w:type="dxa"/>
            <w:vAlign w:val="bottom"/>
            <w:vMerge w:val="continue"/>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1.5%</w:t>
            </w:r>
          </w:p>
        </w:tc>
        <w:tc>
          <w:tcPr>
            <w:tcW w:w="7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29.7%</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4,964,551</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6,409,805</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29.1%</w:t>
            </w: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Net provisions for loan losses</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(330,398)</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(361,027)</w:t>
            </w: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(348,981)</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(433,219)</w:t>
            </w: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(437,258)</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25.3%</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(1,238,279)</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(1,715,809)</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38.6%</w:t>
            </w:r>
          </w:p>
        </w:tc>
        <w:tc>
          <w:tcPr>
            <w:tcW w:w="0" w:type="dxa"/>
            <w:vAlign w:val="bottom"/>
          </w:tcPr>
          <w:p>
            <w:pPr>
              <w:spacing w:after="0"/>
              <w:rPr>
                <w:sz w:val="1"/>
                <w:szCs w:val="1"/>
                <w:color w:val="auto"/>
              </w:rPr>
            </w:pPr>
          </w:p>
        </w:tc>
      </w:tr>
      <w:tr>
        <w:trPr>
          <w:trHeight w:val="115"/>
        </w:trPr>
        <w:tc>
          <w:tcPr>
            <w:tcW w:w="21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Net interest income after net</w:t>
            </w: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provisions for loan losses</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1,182,712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1,184,096</w:t>
            </w:r>
          </w:p>
        </w:tc>
        <w:tc>
          <w:tcPr>
            <w:tcW w:w="20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0.1%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970,441</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1,252,965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1,274,140</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1.7%</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31.3%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3,726,272</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4,693,996</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26.0%</w:t>
            </w: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Non financial income</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869,150</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851,675</w:t>
            </w: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796,419</w:t>
            </w:r>
          </w:p>
        </w:tc>
        <w:tc>
          <w:tcPr>
            <w:tcW w:w="20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881,287</w:t>
            </w: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865,920</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2,982,225</w:t>
            </w: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3,505,209</w:t>
            </w:r>
          </w:p>
        </w:tc>
        <w:tc>
          <w:tcPr>
            <w:tcW w:w="200" w:type="dxa"/>
            <w:vAlign w:val="bottom"/>
          </w:tcPr>
          <w:p>
            <w:pPr>
              <w:spacing w:after="0"/>
              <w:rPr>
                <w:sz w:val="11"/>
                <w:szCs w:val="11"/>
                <w:color w:val="auto"/>
              </w:rPr>
            </w:pP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Insurance services technical result</w:t>
            </w:r>
          </w:p>
        </w:tc>
        <w:tc>
          <w:tcPr>
            <w:tcW w:w="8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117,638</w:t>
            </w:r>
          </w:p>
        </w:tc>
        <w:tc>
          <w:tcPr>
            <w:tcW w:w="8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103,992</w:t>
            </w: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-11.6%</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102,806</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117,638</w:t>
            </w: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103,992</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-11.6%</w:t>
            </w: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383,871</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422,898</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Medical Services Technical Result</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28,813</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23,467</w:t>
            </w: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-18.6%</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12,990</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28,813</w:t>
            </w: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23,467</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-18.6%</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80.7%</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64,147</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98,232</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53.1%</w:t>
            </w: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Operating expenses</w:t>
            </w:r>
          </w:p>
        </w:tc>
        <w:tc>
          <w:tcPr>
            <w:tcW w:w="8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(1,235,614)</w:t>
            </w:r>
          </w:p>
        </w:tc>
        <w:tc>
          <w:tcPr>
            <w:tcW w:w="8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(1,373,334)</w:t>
            </w: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8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(1,261,806)</w:t>
            </w:r>
          </w:p>
        </w:tc>
        <w:tc>
          <w:tcPr>
            <w:tcW w:w="8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(1,349,566)</w:t>
            </w: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(1,524,644)</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13.0%</w:t>
            </w: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20.8%</w:t>
            </w: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(4,537,272)</w:t>
            </w:r>
          </w:p>
        </w:tc>
        <w:tc>
          <w:tcPr>
            <w:tcW w:w="8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(5,331,188)</w:t>
            </w:r>
          </w:p>
        </w:tc>
        <w:tc>
          <w:tcPr>
            <w:tcW w:w="9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income</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962,699</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789,896</w:t>
            </w: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-17.9%</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620,850</w:t>
            </w:r>
          </w:p>
        </w:tc>
        <w:tc>
          <w:tcPr>
            <w:tcW w:w="20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931,137</w:t>
            </w: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742,875</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19.7%</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2,619,243</w:t>
            </w: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3,389,147</w:t>
            </w:r>
          </w:p>
        </w:tc>
        <w:tc>
          <w:tcPr>
            <w:tcW w:w="200" w:type="dxa"/>
            <w:vAlign w:val="bottom"/>
          </w:tcPr>
          <w:p>
            <w:pPr>
              <w:spacing w:after="0"/>
              <w:rPr>
                <w:sz w:val="11"/>
                <w:szCs w:val="11"/>
                <w:color w:val="auto"/>
              </w:rPr>
            </w:pP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29.4%</w:t>
            </w: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Core operating income</w:t>
            </w:r>
          </w:p>
        </w:tc>
        <w:tc>
          <w:tcPr>
            <w:tcW w:w="8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995,507</w:t>
            </w:r>
          </w:p>
        </w:tc>
        <w:tc>
          <w:tcPr>
            <w:tcW w:w="8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855,387</w:t>
            </w: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649,607</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984,298</w:t>
            </w: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874,250</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34.6%</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2,846,566</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3,466,469</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0" w:type="dxa"/>
            <w:vAlign w:val="bottom"/>
          </w:tcPr>
          <w:p>
            <w:pPr>
              <w:spacing w:after="0"/>
              <w:rPr>
                <w:sz w:val="1"/>
                <w:szCs w:val="1"/>
                <w:color w:val="auto"/>
              </w:rPr>
            </w:pPr>
          </w:p>
        </w:tc>
      </w:tr>
      <w:tr>
        <w:trPr>
          <w:trHeight w:val="135"/>
        </w:trPr>
        <w:tc>
          <w:tcPr>
            <w:tcW w:w="21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color w:val="auto"/>
              </w:rPr>
              <w:t>Non core operating income</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(32,808)</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(65,491)</w:t>
            </w: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99.6%</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(28,757)</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(53,161)</w:t>
            </w: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(131,376)</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147.1%</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356.8%</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(227,323)</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(77,321)</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-66.0%</w:t>
            </w: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Translation results</w:t>
            </w:r>
          </w:p>
        </w:tc>
        <w:tc>
          <w:tcPr>
            <w:tcW w:w="8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2,478</w:t>
            </w:r>
          </w:p>
        </w:tc>
        <w:tc>
          <w:tcPr>
            <w:tcW w:w="8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(1,975)</w:t>
            </w: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-179.7%</w:t>
            </w:r>
          </w:p>
        </w:tc>
        <w:tc>
          <w:tcPr>
            <w:tcW w:w="8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(13,564)</w:t>
            </w:r>
          </w:p>
        </w:tc>
        <w:tc>
          <w:tcPr>
            <w:tcW w:w="8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2,603</w:t>
            </w: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(1,751)</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-167.3%</w:t>
            </w: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-87.1%</w:t>
            </w: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(284,072)</w:t>
            </w:r>
          </w:p>
        </w:tc>
        <w:tc>
          <w:tcPr>
            <w:tcW w:w="8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430</w:t>
            </w:r>
          </w:p>
        </w:tc>
        <w:tc>
          <w:tcPr>
            <w:tcW w:w="9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-100.2%</w:t>
            </w: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Income taxes</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(286,006)</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(264,028)</w:t>
            </w: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(188,448)</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(275,364)</w:t>
            </w: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(257,220)</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36.5%</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(777,630)</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(968,333)</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8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679,171</w:t>
            </w:r>
          </w:p>
        </w:tc>
        <w:tc>
          <w:tcPr>
            <w:tcW w:w="8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523,893</w:t>
            </w: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-22.9%</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418,838</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658,376</w:t>
            </w: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483,903</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-26.5%</w:t>
            </w: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1,557,541</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2,421,245</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55.5%</w:t>
            </w: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Minority Interest</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12,941</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(11,703)</w:t>
            </w: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-190.4%</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(3,536)</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12,941</w:t>
            </w: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(11,703)</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-190.4%</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231.0%</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18,832</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33,394</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77.3%</w:t>
            </w: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income attributed to Credicorp</w:t>
            </w:r>
          </w:p>
        </w:tc>
        <w:tc>
          <w:tcPr>
            <w:tcW w:w="8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666,230</w:t>
            </w:r>
          </w:p>
        </w:tc>
        <w:tc>
          <w:tcPr>
            <w:tcW w:w="8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535,596</w:t>
            </w: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-19.6%</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422,374</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645,435</w:t>
            </w: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495,606</w:t>
            </w: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-23.2%</w:t>
            </w: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17.3%</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1,538,709</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2,387,851</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55.2%</w:t>
            </w: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 / share (S/.)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6.71</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-19.6%</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5.30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8.09</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6.21</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-23.2%</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17.3%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19.29</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29.94</w:t>
            </w:r>
          </w:p>
        </w:tc>
        <w:tc>
          <w:tcPr>
            <w:tcW w:w="20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55.2%</w:t>
            </w:r>
          </w:p>
        </w:tc>
        <w:tc>
          <w:tcPr>
            <w:tcW w:w="0" w:type="dxa"/>
            <w:vAlign w:val="bottom"/>
          </w:tcPr>
          <w:p>
            <w:pPr>
              <w:spacing w:after="0"/>
              <w:rPr>
                <w:sz w:val="1"/>
                <w:szCs w:val="1"/>
                <w:color w:val="auto"/>
              </w:rPr>
            </w:pPr>
          </w:p>
        </w:tc>
      </w:tr>
      <w:tr>
        <w:trPr>
          <w:trHeight w:val="20"/>
        </w:trPr>
        <w:tc>
          <w:tcPr>
            <w:tcW w:w="2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loans</w:t>
            </w: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60" w:type="dxa"/>
            <w:vAlign w:val="bottom"/>
            <w:gridSpan w:val="2"/>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71,448,819</w:t>
            </w:r>
          </w:p>
        </w:tc>
        <w:tc>
          <w:tcPr>
            <w:tcW w:w="20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75,708,871</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6.0%</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64,294,241</w:t>
            </w:r>
          </w:p>
        </w:tc>
        <w:tc>
          <w:tcPr>
            <w:tcW w:w="20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75,680,558</w:t>
            </w:r>
          </w:p>
        </w:tc>
        <w:tc>
          <w:tcPr>
            <w:tcW w:w="20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79,889,948</w:t>
            </w:r>
          </w:p>
        </w:tc>
        <w:tc>
          <w:tcPr>
            <w:tcW w:w="200" w:type="dxa"/>
            <w:vAlign w:val="bottom"/>
            <w:vMerge w:val="continue"/>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5.6%</w:t>
            </w:r>
          </w:p>
        </w:tc>
        <w:tc>
          <w:tcPr>
            <w:tcW w:w="7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24.3%</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64,294,241</w:t>
            </w:r>
          </w:p>
        </w:tc>
        <w:tc>
          <w:tcPr>
            <w:tcW w:w="22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79,889,948</w:t>
            </w:r>
          </w:p>
        </w:tc>
        <w:tc>
          <w:tcPr>
            <w:tcW w:w="200" w:type="dxa"/>
            <w:vAlign w:val="bottom"/>
            <w:vMerge w:val="continue"/>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24.3%</w:t>
            </w: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Deposits and obligations</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71,232,545</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73,167,695</w:t>
            </w: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68,431,226</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74,863,232</w:t>
            </w: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77,160,494</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12.8%</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68,431,226</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77,160,494</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shareholders' equity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12,599,399</w:t>
            </w:r>
          </w:p>
        </w:tc>
        <w:tc>
          <w:tcPr>
            <w:tcW w:w="20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13,211,594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11,831,512</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13,414,052</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13,979,455</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18.2%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11,831,512</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13,979,455</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18.2%</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Net interest margin</w:t>
            </w: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60" w:type="dxa"/>
            <w:vAlign w:val="bottom"/>
            <w:gridSpan w:val="2"/>
            <w:vMerge w:val="continue"/>
          </w:tcPr>
          <w:p>
            <w:pPr>
              <w:spacing w:after="0"/>
              <w:rPr>
                <w:sz w:val="11"/>
                <w:szCs w:val="11"/>
                <w:color w:val="auto"/>
              </w:rPr>
            </w:pPr>
          </w:p>
        </w:tc>
        <w:tc>
          <w:tcPr>
            <w:tcW w:w="8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5.41%</w:t>
            </w:r>
          </w:p>
        </w:tc>
        <w:tc>
          <w:tcPr>
            <w:tcW w:w="8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5.49%</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5.16%</w:t>
            </w:r>
          </w:p>
        </w:tc>
        <w:tc>
          <w:tcPr>
            <w:tcW w:w="8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5.75%</w:t>
            </w:r>
          </w:p>
        </w:tc>
        <w:tc>
          <w:tcPr>
            <w:tcW w:w="8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5.65%</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5.11%</w:t>
            </w:r>
          </w:p>
        </w:tc>
        <w:tc>
          <w:tcPr>
            <w:tcW w:w="8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5.68%</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Efficiency ratio</w:t>
            </w: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40.4%</w:t>
            </w:r>
          </w:p>
        </w:tc>
        <w:tc>
          <w:tcPr>
            <w:tcW w:w="86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41.7%</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43.7%</w:t>
            </w:r>
          </w:p>
        </w:tc>
        <w:tc>
          <w:tcPr>
            <w:tcW w:w="8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41.5%</w:t>
            </w: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43.3%</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43.3%</w:t>
            </w: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42.4%</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Return on average shareholders' equity</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21.7%</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17.0%</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14.6%</w:t>
            </w:r>
          </w:p>
        </w:tc>
        <w:tc>
          <w:tcPr>
            <w:tcW w:w="8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19.7%</w:t>
            </w: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14.5%</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13.7%</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18.5%</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Return on average total assets</w:t>
            </w: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86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8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PDL ratio</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2.33%</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2.27%</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2.24%</w:t>
            </w:r>
          </w:p>
        </w:tc>
        <w:tc>
          <w:tcPr>
            <w:tcW w:w="8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2.59%</w:t>
            </w: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2.51%</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2.24%</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2.51%</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PDL over 90 days (1)</w:t>
            </w: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1.70%</w:t>
            </w:r>
          </w:p>
        </w:tc>
        <w:tc>
          <w:tcPr>
            <w:tcW w:w="86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1.53%</w:t>
            </w:r>
          </w:p>
        </w:tc>
        <w:tc>
          <w:tcPr>
            <w:tcW w:w="8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1.70%</w:t>
            </w: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1.53%</w:t>
            </w: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NPL ratio (2)</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2.93%</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3.03%</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2.81%</w:t>
            </w:r>
          </w:p>
        </w:tc>
        <w:tc>
          <w:tcPr>
            <w:tcW w:w="8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3.26%</w:t>
            </w: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3.33%</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2.81%</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3.33%</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Annualized net provisions / Total loans</w:t>
            </w: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1.85%</w:t>
            </w:r>
          </w:p>
        </w:tc>
        <w:tc>
          <w:tcPr>
            <w:tcW w:w="86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1.91%</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2.17%</w:t>
            </w:r>
          </w:p>
        </w:tc>
        <w:tc>
          <w:tcPr>
            <w:tcW w:w="8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2.19%</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2.15%</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Coverage of PDLs</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154.8%</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158.7%</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157.5%</w:t>
            </w:r>
          </w:p>
        </w:tc>
        <w:tc>
          <w:tcPr>
            <w:tcW w:w="8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161.5%</w:t>
            </w: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164.7%</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157.5%</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164.7%</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Coverage of NPLs</w:t>
            </w: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123.3%</w:t>
            </w:r>
          </w:p>
        </w:tc>
        <w:tc>
          <w:tcPr>
            <w:tcW w:w="86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118.8%</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125.1%</w:t>
            </w:r>
          </w:p>
        </w:tc>
        <w:tc>
          <w:tcPr>
            <w:tcW w:w="8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128.3%</w:t>
            </w: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124.5%</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125.1%</w:t>
            </w: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124.5%</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Employees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28,443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28,646</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27,638</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32,162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32,313</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27,638</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32,313</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-869950</wp:posOffset>
            </wp:positionV>
            <wp:extent cx="600075" cy="8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 cy="8572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-698500</wp:posOffset>
            </wp:positionV>
            <wp:extent cx="600075"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0075" cy="8572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-527050</wp:posOffset>
            </wp:positionV>
            <wp:extent cx="600075"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75" cy="8572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-354965</wp:posOffset>
            </wp:positionV>
            <wp:extent cx="600075" cy="8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 cy="8572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-183515</wp:posOffset>
            </wp:positionV>
            <wp:extent cx="600075"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0075" cy="8572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-3810</wp:posOffset>
            </wp:positionV>
            <wp:extent cx="9690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9010"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-3810</wp:posOffset>
            </wp:positionV>
            <wp:extent cx="31216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ind w:left="220" w:hanging="212"/>
        <w:spacing w:after="0" w:line="221" w:lineRule="auto"/>
        <w:tabs>
          <w:tab w:leader="none" w:pos="2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PDL 90 days for BCP without Mibanco.</w:t>
      </w:r>
    </w:p>
    <w:p>
      <w:pPr>
        <w:ind w:left="220" w:hanging="212"/>
        <w:spacing w:after="0"/>
        <w:tabs>
          <w:tab w:leader="none" w:pos="2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NPLs: Non-performing loans = Past due loans + Refinanced and restructued loans. NPL Ratio = NPLs / Total loans.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Net Interest Margin’s breakdown and explains the individual contributions to the margin by Credicorp’s subsidiaries: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NIM Breakdown</w:t>
            </w: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4Q14</w:t>
            </w: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3"/>
              </w:rPr>
              <w:t xml:space="preserve">Others </w:t>
            </w:r>
            <w:r>
              <w:rPr>
                <w:rFonts w:ascii="Times New Roman" w:cs="Times New Roman" w:eastAsia="Times New Roman" w:hAnsi="Times New Roman"/>
                <w:sz w:val="30"/>
                <w:szCs w:val="30"/>
                <w:b w:val="1"/>
                <w:bCs w:val="1"/>
                <w:color w:val="auto"/>
                <w:w w:val="93"/>
                <w:vertAlign w:val="superscript"/>
              </w:rPr>
              <w:t>(1)</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 (000)</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BCP Cons.</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ASB</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Pacífico</w:t>
            </w:r>
          </w:p>
        </w:tc>
        <w:tc>
          <w:tcPr>
            <w:tcW w:w="1080" w:type="dxa"/>
            <w:vAlign w:val="bottom"/>
            <w:gridSpan w:val="2"/>
            <w:vMerge w:val="continue"/>
          </w:tcPr>
          <w:p>
            <w:pPr>
              <w:spacing w:after="0"/>
              <w:rPr>
                <w:sz w:val="22"/>
                <w:szCs w:val="22"/>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Credicorp</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IEA</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108,568,968</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5,678,760</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5,705,239</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1,136,891</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121,089,865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Total IEA Credicorp</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NII for 4Q14 (Annualized)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6,447,222</w:t>
            </w: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123,276</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263,797</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11,296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6,845,592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Total NII Credicorp</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NIM for 4Q14</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5.94%</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2.17%</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4.62%</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0.99%</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5.65%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spacing w:after="0"/>
        <w:rPr>
          <w:sz w:val="20"/>
          <w:szCs w:val="20"/>
          <w:color w:val="auto"/>
        </w:rPr>
      </w:pPr>
      <w:r>
        <w:rPr>
          <w:rFonts w:ascii="Times New Roman" w:cs="Times New Roman" w:eastAsia="Times New Roman" w:hAnsi="Times New Roman"/>
          <w:sz w:val="18"/>
          <w:szCs w:val="18"/>
          <w:i w:val="1"/>
          <w:iCs w:val="1"/>
          <w:color w:val="auto"/>
        </w:rPr>
        <w:t>NIM: Annualized Net interest income / Average period end and period beginning interest earning assets.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(1) Others include Credicorp Capital, Prima, Grupo Credito and Eliminations for consolidation.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Provisions for loan losses continued its improving trend, expanding less than net interest income and resulting in a further drop in cost of risk to 2.2% from 2.3% in the previous Q. The latter is also reflected in an improved PDL ratio of 2.51% down from 2.59%, as the improvement in PDL ratios was recorded in basically all business lines. On a yearly basis, provisions do reflect the higher cost of risk assumed this year which lifted to a peak in 2Q, and accumulated for 2014 a total of 2.15% of total portfolio vs. 1.93% in 2013. It is worthwhile to point out that Mibanco accounts for basically all (21 of 22 bps) of the incremental cost of risk in the full year.</w:t>
      </w: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The following tables show the decomposition of the PDL ratio: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 14 – Dec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157480</wp:posOffset>
            </wp:positionV>
            <wp:extent cx="5231130" cy="129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3113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 13 – Dec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157480</wp:posOffset>
            </wp:positionV>
            <wp:extent cx="5154295" cy="1252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5429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Fee income expanded +11.5% for the Q, explained by increased lending and commercial activity, better capital markets business and good asset management business, while Gains of FX-transactions expanded also +14.5% helped by the increase in the volatility of the PEN/USD exchange rate. However, Gains on the sale of securities were down for the Q given a substantial impairment on Credicorp’s investment in the Chilean capital markets-operation as well as a more difficult and volatile market environment. On a yearly basis, non-financial income as a whole expands +17.5%, with all elements showing a strong expansion on the overall.</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Insurance business has gone and continues going through a revision of its business and cost structures and has been able to report significant progress in cost management as well as premium adjustments. Nevertheless, and given the process it is undergoing, results were affected by provision reversals, income deferrals, extraordinary gains and others, generating some volatility in reported results. As part of such process, it reported a QoQ drop in technical results for both the insurance business and the Medical services in the 4Q. However, on an YTD performance, the significant improvement of the business results is evident, with a 10% improvement in insurance services technical results for the year and 53% improvement in medical services result. Consequently, contribution to Credicorp’s bottom line though slightly lower QoQ, improved substantially when comparing year end totals, reaching an 84% higher bottom line contribution in 2014 vs 2013.</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expenses showed in 4Q the traditional seasonal increase, however significant one-off expenses related to: (i) the acquisition of Mibanco, (ii) the re-focus in business strategy and (iii) market valuations of recent acquisitions affected Credicorp’s operating expenses especially in the 4Q. Therefore, QoQ expansion of operating expenses reached 13%, and a cumulative 17.5% for the year. Nevertheless, most of these costs are non-recurrent and do not affect the efficiency ratios which showed only the impact of seasonality and moved from 41.5% to 43.3% for the Q. Despite this QoQ regression in the efficiency ratio, in the aggregate year, income generation was superior and the sought efficiency improvement for the year was achieved and represented a reduction of 1% in the efficiency ratio.</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BCP Cons</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Prima</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ASB</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PGA</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Credicorp Capital</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xml:space="preserve">Others </w:t>
            </w:r>
            <w:r>
              <w:rPr>
                <w:rFonts w:ascii="Times New Roman" w:cs="Times New Roman" w:eastAsia="Times New Roman" w:hAnsi="Times New Roman"/>
                <w:sz w:val="23"/>
                <w:szCs w:val="23"/>
                <w:b w:val="1"/>
                <w:bCs w:val="1"/>
                <w:color w:val="auto"/>
                <w:vertAlign w:val="superscript"/>
              </w:rPr>
              <w:t>(1)</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Credicorp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3Q14</w:t>
            </w:r>
          </w:p>
        </w:tc>
        <w:tc>
          <w:tcPr>
            <w:tcW w:w="12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1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2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13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1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4Q14</w:t>
            </w: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48.0%</w:t>
            </w: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45.6%</w:t>
            </w: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13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107.5%</w:t>
            </w: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Var 4Q14/3Q14</w:t>
            </w:r>
          </w:p>
        </w:tc>
        <w:tc>
          <w:tcPr>
            <w:tcW w:w="14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+310 bps</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+390 bps</w:t>
            </w: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+300 bps</w:t>
            </w:r>
          </w:p>
        </w:tc>
        <w:tc>
          <w:tcPr>
            <w:tcW w:w="12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-150 bps</w:t>
            </w:r>
          </w:p>
        </w:tc>
        <w:tc>
          <w:tcPr>
            <w:tcW w:w="4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-40 bps</w:t>
            </w: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+180 bps</w:t>
            </w:r>
          </w:p>
        </w:tc>
        <w:tc>
          <w:tcPr>
            <w:tcW w:w="0" w:type="dxa"/>
            <w:vAlign w:val="bottom"/>
          </w:tcPr>
          <w:p>
            <w:pPr>
              <w:spacing w:after="0"/>
              <w:rPr>
                <w:sz w:val="1"/>
                <w:szCs w:val="1"/>
                <w:color w:val="auto"/>
              </w:rPr>
            </w:pPr>
          </w:p>
        </w:tc>
      </w:tr>
      <w:tr>
        <w:trPr>
          <w:trHeight w:val="20"/>
        </w:trPr>
        <w:tc>
          <w:tcPr>
            <w:tcW w:w="274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98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w w:val="99"/>
              </w:rPr>
              <w:t>(1) Others include Grupo Credito and Eliminations for consolidations.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BCP Cons</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Prima</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ASB</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PGA</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Credicorp Capital</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Others</w:t>
            </w:r>
            <w:r>
              <w:rPr>
                <w:rFonts w:ascii="Times New Roman" w:cs="Times New Roman" w:eastAsia="Times New Roman" w:hAnsi="Times New Roman"/>
                <w:sz w:val="23"/>
                <w:szCs w:val="23"/>
                <w:b w:val="1"/>
                <w:bCs w:val="1"/>
                <w:color w:val="auto"/>
                <w:vertAlign w:val="superscript"/>
              </w:rPr>
              <w:t>(1)</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Credicorp</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2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1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2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3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110.7%</w:t>
            </w:r>
          </w:p>
        </w:tc>
        <w:tc>
          <w:tcPr>
            <w:tcW w:w="1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13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106.4%</w:t>
            </w: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20" w:type="dxa"/>
            <w:vAlign w:val="bottom"/>
          </w:tcPr>
          <w:p>
            <w:pPr>
              <w:jc w:val="center"/>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Var 2014/2013</w:t>
            </w:r>
          </w:p>
        </w:tc>
        <w:tc>
          <w:tcPr>
            <w:tcW w:w="1440" w:type="dxa"/>
            <w:vAlign w:val="bottom"/>
            <w:gridSpan w:val="3"/>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-120 bps</w:t>
            </w: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-360 bps</w:t>
            </w:r>
          </w:p>
        </w:tc>
        <w:tc>
          <w:tcPr>
            <w:tcW w:w="12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+380 bps</w:t>
            </w:r>
          </w:p>
        </w:tc>
        <w:tc>
          <w:tcPr>
            <w:tcW w:w="120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-90 bps</w:t>
            </w:r>
          </w:p>
        </w:tc>
        <w:tc>
          <w:tcPr>
            <w:tcW w:w="40" w:type="dxa"/>
            <w:vAlign w:val="bottom"/>
          </w:tcPr>
          <w:p>
            <w:pPr>
              <w:spacing w:after="0"/>
              <w:rPr>
                <w:sz w:val="13"/>
                <w:szCs w:val="13"/>
                <w:color w:val="auto"/>
              </w:rPr>
            </w:pPr>
          </w:p>
        </w:tc>
        <w:tc>
          <w:tcPr>
            <w:tcW w:w="13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-430 bps</w:t>
            </w:r>
          </w:p>
        </w:tc>
        <w:tc>
          <w:tcPr>
            <w:tcW w:w="12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-90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-3810</wp:posOffset>
            </wp:positionV>
            <wp:extent cx="5436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368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i w:val="1"/>
          <w:iCs w:val="1"/>
          <w:color w:val="auto"/>
        </w:rPr>
        <w:t>(1) Others include Grupo Credito and Eliminations for consolidations.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already mentioned, the non-recurrent one-off expenses were partially compensated by also non-recurrent gains (such as those generated by the sale of shares or other assets) leading to a total negative impact at the operating level of PEN 77.3 million which reduces the overall improvement in the operating results of Credicorp. Consequently, operating income for Credicorp dropped 20.2% QoQ, but improved 29.4% for the year end results.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Though the small open US Dollar position held in the balance sheet has today little impact through translation results, the recent change in the corporate tax rates from which we will benefit in the future, did generate an initial reversal of tax credits that resulted in an increase in tax provisions for 2014.</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in all, despite a solid core business performance, all the different and significant extraordinary costs that affected Credicorp´s 4Q prevented Credicorp from reporting a ROAE for that period that is a true reflection of its profitable business, as reflected by the reported 14.5% ROAE for 4Q and 18.5% ROAE for the year. However, excluding the impact of one-off items (income &amp; expenses) incurred throughout the year and especially this 4Q14, ROAE improves significantly to 18.2% for the 4Q, but only marginally to 18.6% for the year, since most extraordinary items get netted out in the course of the year. It is only excluding the Mibanco operation as a whole of the total results, that ROAE for the full year returns to above 19.1%, which only means that the Mibanco</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acquisition this year has had a cost to Credicorp of less than 1% in profitability, which is a small cost to incur for having acquired what has become the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largest financial institution in the Peruvian financial system, specialized in the most attractive and fastest growing segment, the low SME-Pyme &amp; Micro-lending sectors.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Though closed and announced publicly after the close of the year 2014, the following two events were discussed &amp; negotiated before the end of the year as part of the strategies implemented to strengthen the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with Banmedica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Teaming up in a 50/50 Joint Venture for the medical healthcare &amp; insurance business with the leader in the Andean region was the result of careful business evaluation and long negotiations.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partnership reflects Credicorp’s strategy to capitalize on Pacifico’s in-depth knowledge of the Peruvian market, and Banmedica’s extensive know-how and successful experience in the health care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Credicorp had been exploring opportunities to develop associations and/or joint ventures with regional leaders in these businesses. Banmedica was since identified as a sophisticated and important player in the Latin American market and is therefore a valuable partner for our strategy to offer increasingly higher standards of quality service and efficiency, satisfying the growing demand for health services and insurance nationwide.</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0" w:right="239" w:bottom="1440" w:gutter="0" w:footer="0" w:header="0"/>
        </w:sectPr>
      </w:pPr>
    </w:p>
    <w:bookmarkStart w:id="8" w:name="page9"/>
    <w:bookmarkEnd w:id="8"/>
    <w:p>
      <w:pPr>
        <w:jc w:val="both"/>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Banmedica acquires the 50% share of the referred business through the contribution of its Peruvian assets (a High-end Clinic and Laboratory network) plus a cash portion of US$ 57 million, an amount that will be used to fund future joint operations in the healthcare market of Peru. This transaction, closed on January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of 2015.</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view this partnership as a milestone in the development of the insurance and health-care business in Peru and believe it adds value to the corporation, more so in light of our future plans to capture the growth potential of this business segment.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Re-allocation of the BCI shares from BCP to Credicorp</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a public market transaction at the Stock Exchange of Chile, approx. 4.24 million shares of Banco de Credito e Inversiones de Chile (BCI) held by BCP through its subsidiary in Chile were transferred to Credicorp Ltd. for a price of US$ 188.94 million. The sole purpose of this transaction was to realize and capitalize the gain on this investment at BCP to re-enforce capital, and at the same time, also improve the capitalization ratios of BCP eliminating an investment that has to be deducted from BCP’s capital base. As a result of this transaction, BCP’s Common Equity Tier 1 ratio based on the application of fully compliant Basel III regulations, improves 47 bps from 7.45% to 7.92%, of which 46 bps stem from the capitalized gain from the sale and 11 bps from freed up capital.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no doubt a move to improve capital allocation within the Credicorp group to achieve the most efficient use of capital.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Credicorp – The Sum of Its Parts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4Q, </w:t>
      </w:r>
      <w:r>
        <w:rPr>
          <w:rFonts w:ascii="Times New Roman" w:cs="Times New Roman" w:eastAsia="Times New Roman" w:hAnsi="Times New Roman"/>
          <w:sz w:val="18"/>
          <w:szCs w:val="18"/>
          <w:b w:val="1"/>
          <w:bCs w:val="1"/>
          <w:i w:val="1"/>
          <w:iCs w:val="1"/>
          <w:color w:val="auto"/>
        </w:rPr>
        <w:t>BCP</w:t>
      </w:r>
      <w:r>
        <w:rPr>
          <w:rFonts w:ascii="Times New Roman" w:cs="Times New Roman" w:eastAsia="Times New Roman" w:hAnsi="Times New Roman"/>
          <w:sz w:val="18"/>
          <w:szCs w:val="18"/>
          <w:color w:val="auto"/>
        </w:rPr>
        <w:t xml:space="preserve"> maintained the excellent dynamism posted last quarter, as is evident in the growth registered for core business elements including loans (+4.4% QoQ), fee income (+8% QoQ) and gains on foreign exchange transactions (+11.1% QoQ). Nevertheless, net income totaled PEN 451.8 million, which represented a drop of -22.9% with regard to last quarter. As extensively explained in the previous section, this decline was primarily attributable to non-recurring expenses this quarter for PEN 74.1 million due to the acquisition of Mibanco, the amortization of the Edyficar Brand, and higher provisions for income tax. The aforementioned translated into an ROAE of 18.6% (vs. 25.4% in 3Q). If we exclude extraordinary effect, ROAE situates at 21.4%.</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terms of operating efficiency, seasonal effects explain the increase in the efficiency ratio, which went from 44.9% in 3Q14 to 48.0% in 4Q14. Nevertheless, in 2014 the efficiency ratio was situated at 46.6% (vs. 47.7% in 2013) due to the efficiency program.</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annual accumulated terms BCP reported net income of PEN 1,949 million, which represents a 54.7% increase with regard to 2013’s figure. In this context, ROAE was 21.4% (vs. 16.4% in 2013). Better performance in 2014 was reflected in: (i) +30.8% growth in net interest income and (ii) a +16.3% increase in non-financial income due to higher fee income, gains on foreign exchange transactions and gains on sales of securities.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NIM increased from 5.26% in 2013 to 5.93% in 2014. This was due, in large part, to (i) the acquisition of Mibanco, (ii) growth in Retail Banking and (iii) growth in the local currency portfolio, where margins are better, and not to underestimate: a better funding management.</w:t>
      </w:r>
    </w:p>
    <w:p>
      <w:pPr>
        <w:spacing w:after="0" w:line="378"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 contribution to Credicorp</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PEN (000)</w:t>
            </w:r>
          </w:p>
        </w:tc>
        <w:tc>
          <w:tcPr>
            <w:tcW w:w="120" w:type="dxa"/>
            <w:vAlign w:val="bottom"/>
          </w:tcPr>
          <w:p>
            <w:pPr>
              <w:spacing w:after="0"/>
              <w:rPr>
                <w:sz w:val="15"/>
                <w:szCs w:val="15"/>
                <w:color w:val="auto"/>
              </w:rPr>
            </w:pP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4Q13</w:t>
            </w:r>
          </w:p>
        </w:tc>
        <w:tc>
          <w:tcPr>
            <w:tcW w:w="200" w:type="dxa"/>
            <w:vAlign w:val="bottom"/>
          </w:tcPr>
          <w:p>
            <w:pPr>
              <w:spacing w:after="0"/>
              <w:rPr>
                <w:sz w:val="15"/>
                <w:szCs w:val="15"/>
                <w:color w:val="auto"/>
              </w:rPr>
            </w:pP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3Q14</w:t>
            </w:r>
          </w:p>
        </w:tc>
        <w:tc>
          <w:tcPr>
            <w:tcW w:w="200" w:type="dxa"/>
            <w:vAlign w:val="bottom"/>
          </w:tcPr>
          <w:p>
            <w:pPr>
              <w:spacing w:after="0"/>
              <w:rPr>
                <w:sz w:val="15"/>
                <w:szCs w:val="15"/>
                <w:color w:val="auto"/>
              </w:rPr>
            </w:pP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4Q14</w:t>
            </w:r>
          </w:p>
        </w:tc>
        <w:tc>
          <w:tcPr>
            <w:tcW w:w="200" w:type="dxa"/>
            <w:vAlign w:val="bottom"/>
          </w:tcPr>
          <w:p>
            <w:pPr>
              <w:spacing w:after="0"/>
              <w:rPr>
                <w:sz w:val="15"/>
                <w:szCs w:val="15"/>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QoQ</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Pr>
          <w:p>
            <w:pPr>
              <w:spacing w:after="0"/>
              <w:rPr>
                <w:sz w:val="15"/>
                <w:szCs w:val="15"/>
                <w:color w:val="auto"/>
              </w:rPr>
            </w:pP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Dec-13</w:t>
            </w:r>
          </w:p>
        </w:tc>
        <w:tc>
          <w:tcPr>
            <w:tcW w:w="220" w:type="dxa"/>
            <w:vAlign w:val="bottom"/>
          </w:tcPr>
          <w:p>
            <w:pPr>
              <w:spacing w:after="0"/>
              <w:rPr>
                <w:sz w:val="15"/>
                <w:szCs w:val="15"/>
                <w:color w:val="auto"/>
              </w:rPr>
            </w:pP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Dec-14</w:t>
            </w:r>
          </w:p>
        </w:tc>
        <w:tc>
          <w:tcPr>
            <w:tcW w:w="120" w:type="dxa"/>
            <w:vAlign w:val="bottom"/>
          </w:tcPr>
          <w:p>
            <w:pPr>
              <w:spacing w:after="0"/>
              <w:rPr>
                <w:sz w:val="15"/>
                <w:szCs w:val="15"/>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 14 / Sep 13</w:t>
            </w:r>
          </w:p>
        </w:tc>
        <w:tc>
          <w:tcPr>
            <w:tcW w:w="0" w:type="dxa"/>
            <w:vAlign w:val="bottom"/>
          </w:tcPr>
          <w:p>
            <w:pPr>
              <w:spacing w:after="0"/>
              <w:rPr>
                <w:sz w:val="1"/>
                <w:szCs w:val="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Banco de Crédito BCP (1)</w:t>
            </w:r>
          </w:p>
        </w:tc>
        <w:tc>
          <w:tcPr>
            <w:tcW w:w="12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392,306</w:t>
            </w:r>
          </w:p>
        </w:tc>
        <w:tc>
          <w:tcPr>
            <w:tcW w:w="20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572,056</w:t>
            </w:r>
          </w:p>
        </w:tc>
        <w:tc>
          <w:tcPr>
            <w:tcW w:w="20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441,223</w:t>
            </w:r>
          </w:p>
        </w:tc>
        <w:tc>
          <w:tcPr>
            <w:tcW w:w="200" w:type="dxa"/>
            <w:vAlign w:val="bottom"/>
            <w:vMerge w:val="continue"/>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-22.9%</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1,246,173</w:t>
            </w:r>
          </w:p>
        </w:tc>
        <w:tc>
          <w:tcPr>
            <w:tcW w:w="22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1,903,158</w:t>
            </w:r>
          </w:p>
        </w:tc>
        <w:tc>
          <w:tcPr>
            <w:tcW w:w="12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149"/>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BCB (2)</w:t>
            </w: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12,488</w:t>
            </w: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17,418</w:t>
            </w: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14,568</w:t>
            </w: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46,588</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66,483</w:t>
            </w:r>
          </w:p>
        </w:tc>
        <w:tc>
          <w:tcPr>
            <w:tcW w:w="11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Edyficar (3)</w:t>
            </w: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27,606</w:t>
            </w: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19,643</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(3,691)</w:t>
            </w: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-118.8%</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-113.4%</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93,788</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75,559</w:t>
            </w:r>
          </w:p>
        </w:tc>
        <w:tc>
          <w:tcPr>
            <w:tcW w:w="11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Pacifico Grupo Asegurador</w:t>
            </w: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13,184</w:t>
            </w: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60,031</w:t>
            </w: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54,890</w:t>
            </w: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316.3%</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108,478</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199,270</w:t>
            </w:r>
          </w:p>
        </w:tc>
        <w:tc>
          <w:tcPr>
            <w:tcW w:w="11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83.7%</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Atlantic Security Bank</w:t>
            </w: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34,042</w:t>
            </w: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28,112</w:t>
            </w: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21,616</w:t>
            </w: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137,726</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159,441</w:t>
            </w:r>
          </w:p>
        </w:tc>
        <w:tc>
          <w:tcPr>
            <w:tcW w:w="11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Prima</w:t>
            </w: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34,146</w:t>
            </w: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37,363</w:t>
            </w: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37,086</w:t>
            </w: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138,042</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153,362</w:t>
            </w:r>
          </w:p>
        </w:tc>
        <w:tc>
          <w:tcPr>
            <w:tcW w:w="11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Credicorp Capital (4)</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(32,452)</w:t>
            </w: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11,308</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(53,875)</w:t>
            </w: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-576.5%</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(9,131)</w:t>
            </w: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(14,139)</w:t>
            </w:r>
          </w:p>
        </w:tc>
        <w:tc>
          <w:tcPr>
            <w:tcW w:w="11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Credicorp Ltd. (5)</w:t>
            </w: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5,447</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(48,106)</w:t>
            </w: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532</w:t>
            </w: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-90.2%</w:t>
            </w: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(40,544)</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27,594</w:t>
            </w:r>
          </w:p>
        </w:tc>
        <w:tc>
          <w:tcPr>
            <w:tcW w:w="11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Others (6)</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(24,299)</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(15,330)</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(5,865)</w:t>
            </w: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-61.7%</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-75.9%</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(42,036)</w:t>
            </w: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(40,835)</w:t>
            </w:r>
          </w:p>
        </w:tc>
        <w:tc>
          <w:tcPr>
            <w:tcW w:w="11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9"/>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Credicorp</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422,374</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645,435</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495,606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-23.2%</w:t>
            </w:r>
          </w:p>
        </w:tc>
        <w:tc>
          <w:tcPr>
            <w:tcW w:w="2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17.3%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1,538,708</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2,387,851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55.2%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-3810</wp:posOffset>
            </wp:positionV>
            <wp:extent cx="56172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14"/>
          <w:szCs w:val="14"/>
          <w:i w:val="1"/>
          <w:iCs w:val="1"/>
          <w:color w:val="auto"/>
        </w:rPr>
        <w:t>(1) Includes Banco de Crédito de Bolivia, Edyficar and Mibanco.</w:t>
      </w:r>
    </w:p>
    <w:p>
      <w:pPr>
        <w:spacing w:after="0" w:line="221" w:lineRule="auto"/>
        <w:rPr>
          <w:sz w:val="20"/>
          <w:szCs w:val="20"/>
          <w:color w:val="auto"/>
        </w:rPr>
      </w:pPr>
      <w:r>
        <w:rPr>
          <w:rFonts w:ascii="Times New Roman" w:cs="Times New Roman" w:eastAsia="Times New Roman" w:hAnsi="Times New Roman"/>
          <w:sz w:val="14"/>
          <w:szCs w:val="14"/>
          <w:i w:val="1"/>
          <w:iCs w:val="1"/>
          <w:color w:val="auto"/>
        </w:rPr>
        <w:t>(2)The figure is lower than the net income of BCB because Credicorp owns 97.7% of BCB (directly and inderectly).</w:t>
      </w:r>
    </w:p>
    <w:p>
      <w:pPr>
        <w:ind w:left="220" w:hanging="212"/>
        <w:spacing w:after="0" w:line="222" w:lineRule="auto"/>
        <w:tabs>
          <w:tab w:leader="none" w:pos="22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investment in Mibanco.</w:t>
      </w:r>
    </w:p>
    <w:p>
      <w:pPr>
        <w:ind w:right="340" w:firstLine="8"/>
        <w:spacing w:after="0" w:line="221" w:lineRule="auto"/>
        <w:tabs>
          <w:tab w:leader="none" w:pos="204"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Credicorp Inv, which includes IM Trust, Credicorp Capital Individual, Credicorp Capital Colombia and CSI; and Credicorp Capital Peru which includes Credicorp Capital Bolsa, Credicorp Capital Fondos and Credicorp Capital Titulizadora.</w:t>
      </w:r>
    </w:p>
    <w:p>
      <w:pPr>
        <w:ind w:right="20" w:firstLine="8"/>
        <w:spacing w:after="0" w:line="221" w:lineRule="auto"/>
        <w:tabs>
          <w:tab w:leader="none" w:pos="204"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taxes on BCP's and PPS's dividends, and other expenses at the holding company level. Also, at 3T14, includes other expenses related to the valuation of derivatives in Credicorp Capital associated to the acdquisition of Correval and IMTrust.</w:t>
      </w:r>
    </w:p>
    <w:p>
      <w:pPr>
        <w:ind w:left="220" w:hanging="212"/>
        <w:spacing w:after="0"/>
        <w:tabs>
          <w:tab w:leader="none" w:pos="22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Grupo Crédito excluding Prima (Servicorp and Emisiones BCP Latam), others of Atlantic Security Holding Corporation and others of Credicorp Ltd.</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Atlantic Security Bank (ASB) </w:t>
      </w:r>
      <w:r>
        <w:rPr>
          <w:rFonts w:ascii="Times New Roman" w:cs="Times New Roman" w:eastAsia="Times New Roman" w:hAnsi="Times New Roman"/>
          <w:sz w:val="18"/>
          <w:szCs w:val="18"/>
          <w:color w:val="auto"/>
        </w:rPr>
        <w:t>reported net income of US$7.4 million with an ROAE of 13.5% in 4Q14, which falls below the figure reported in 3Q14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(US$9.7 million) due to a drop in the value of investments in the proprietary portfolio, which was in turn associated with market volatility in the last months of 2014. The majority of these investments (bonds) are linked to the energy sector and to Brazilian businesses that have been adversely affected by the Petrobras Contratistas scandal. Nevertheless, ASB’s contribution to Credicorp’s annual results totaled US$ 56.6 million. This represents annual expansion of 11.6% and an improvement in the ROAE, which was situated at 27.4%.</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Interest-earning assets increased US$38 million QoQ, which was due primarily to a 6.1% increase in loans. Investments fell US$11 million due to a variation in the value of proprietary positions.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deposits reflect an increase of US$63 million QoQ to total US$1,613 million in 4Q14 due to the Treasury Division’s efforts to retain and capture new deposits through fidelity campaigns.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BCP Bolivia </w:t>
      </w:r>
      <w:r>
        <w:rPr>
          <w:rFonts w:ascii="Times New Roman" w:cs="Times New Roman" w:eastAsia="Times New Roman" w:hAnsi="Times New Roman"/>
          <w:sz w:val="18"/>
          <w:szCs w:val="18"/>
          <w:color w:val="auto"/>
        </w:rPr>
        <w:t>reported net income of PEN 14.9 million (-16.4% QoQ), which was due primarily to an increase in net provisions for loan losses,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growth in information security projects, and the fact that the tax of sales of foreign currency (IVME) increased this quarter. This was offset by higher non-financial income from foreign currency transactions (20.8% QoQ). Nevertheless, the YoY analysis reveals a +35.0% YoY increase in net income due to a drop in net provisions for loan losses (-37.6% YoY) and growth in net interest income (16.2% YoY); the latter helped reduce the impact of an increase in income tax (+169.3% YoY).</w:t>
      </w:r>
    </w:p>
    <w:p>
      <w:pPr>
        <w:spacing w:after="0" w:line="1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Edyficar </w:t>
      </w:r>
      <w:r>
        <w:rPr>
          <w:rFonts w:ascii="Times New Roman" w:cs="Times New Roman" w:eastAsia="Times New Roman" w:hAnsi="Times New Roman"/>
          <w:sz w:val="18"/>
          <w:szCs w:val="18"/>
          <w:color w:val="auto"/>
        </w:rPr>
        <w:t>continued to evolve in line with our forecasts and performed better than the local economy in general and the SME sector in particular. In 2014,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continued to lead the loan market for the microbusiness segment (17.44% share at the end of November 2014). It is important to note that Edyficar’s loan growth is higher than that of its competitors (+29.6% YoY) and its portfolio quality indicators were the only ones in the system to remain stable and, by sector standards, low (4.03%). At the end of November 2014, we brought 87,640 individuals into the banking system, which represents 18.9% of the total number of persons brought into the formal financial system nationwide.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loans were situated at PEN 3,450 million at the end of 4Q14 and net interest income grew 9.7% QoQ. These results (without including the effect of Mibanco) helped generate net income of PEN 36.7 million and a ROAE of 26.3%. Nevertheless, if we include the effects of Mibanco, net income was -PEN 3.8 million with a ROAE of -1.2%. This was attributable to non-recurring expenses for approximately PEN 41 million in 4Q14 that were related primarily to efforts to implement Edyficar’s business model in Mibanco and to capture synergies as part of the process to integrate both institutions (which is subject to SBS’s approval). To accompany growth and increase contact with our clients, we grew the number of branches YoY, which totaled 214 at the end of 4Q14.</w:t>
      </w: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1" w:right="2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 xml:space="preserve">Pacifico Insurance Group </w:t>
      </w:r>
      <w:r>
        <w:rPr>
          <w:rFonts w:ascii="Times New Roman" w:cs="Times New Roman" w:eastAsia="Times New Roman" w:hAnsi="Times New Roman"/>
          <w:sz w:val="18"/>
          <w:szCs w:val="18"/>
          <w:color w:val="auto"/>
        </w:rPr>
        <w:t>reported net income before minority interest of PEN 57.7 million in 4Q14, which represents a 9.0% decline with regard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PEN 62.3 million reported in 3Q14 but reflects growth of more than 5 times the PEN 11.8 million reported in 4Q13. This result shows significant improvement with regard to previous years. Nevertheless, a QoQ analysis still shows a degree of volatility in income due to extraordinary elements. In this context, the QoQ decline was due primarily to (i) a decrease in PPS’s underwriting result due to an increase in the loss ratio and the fact that no provisions were released for reinsurance uncollectibles, as was the case last quarter; and (ii) lower financial income given that in 3Q14, profit sharing was registered along with gains on sales of securities for ad hoc transactions that were not repeated in 4Q14. The aforementioned was offset, in part, by a decrease in income tax, higher miscellaneous income and an increase in the translation result.</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4Q14, </w:t>
      </w:r>
      <w:r>
        <w:rPr>
          <w:rFonts w:ascii="Times New Roman" w:cs="Times New Roman" w:eastAsia="Times New Roman" w:hAnsi="Times New Roman"/>
          <w:sz w:val="18"/>
          <w:szCs w:val="18"/>
          <w:b w:val="1"/>
          <w:bCs w:val="1"/>
          <w:i w:val="1"/>
          <w:iCs w:val="1"/>
          <w:color w:val="auto"/>
        </w:rPr>
        <w:t>Prima AFP’s</w:t>
      </w:r>
      <w:r>
        <w:rPr>
          <w:rFonts w:ascii="Times New Roman" w:cs="Times New Roman" w:eastAsia="Times New Roman" w:hAnsi="Times New Roman"/>
          <w:sz w:val="18"/>
          <w:szCs w:val="18"/>
          <w:color w:val="auto"/>
        </w:rPr>
        <w:t xml:space="preserve"> results remained stable and posted little expansion due to low economic growth in the country. Nonetheless, the company maintained its high profitability levels with net income of PEN 37.1 MM, which represents a return on equity of 26.2%. Income fell slightly below that posted in 3Q14 (-0.8%). This was due to the fact that Prima AFP chose not to participate in tenders for the exclusive right to capture new affiliates; registered a seasonal increase in expenses, mainly for marketing; and set aside provisions at year-end (deferral of income and taxes), which led to a decline in the operating result and subsequent net income that was slightly less than 37.1 million.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accumulated terms, net income in 2014 increased 10.9% vs. 2013; nevertheless, ROE fell from 31.4% to 29.8% due to an increase in Net Shareholders’ Equity due to higher accumulated income this year.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Prima AFP’s funds under management totaled PEN 36,741 million, which translated into a high market share of 32.1% of total funds in the private pension system thanks to its good position in the profitability rankings.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Credicorp Capital </w:t>
      </w:r>
      <w:r>
        <w:rPr>
          <w:rFonts w:ascii="Times New Roman" w:cs="Times New Roman" w:eastAsia="Times New Roman" w:hAnsi="Times New Roman"/>
          <w:sz w:val="18"/>
          <w:szCs w:val="18"/>
          <w:color w:val="auto"/>
        </w:rPr>
        <w:t>posted a 25% QoQ increase in non-financial income due to higher income from consultancy services and important transactions for some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main companies in the MILA region, which offset, in part, higher operating expenses this quarter (+28% vs. 3Q14). The aforementioned shows that the company has performed well despite the lag in economic activity in the country. Income before income tax and excluding extraordinary income totaled PEN 13.8 MM, which represents an increase of +21% QoQ.</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annual accumulated terms, Credicorp Capital’s net income excluding extraordinary income was PEN 53.9 million thanks to growth in non-financial income (+19%) and to a policy to control operating expenses. Nevertheless, these results were strongly affected by PEN 90.3 MM in extraordinary expenses following the impairment of goodwill due to the acquisition of operations in Chile, which led net income to drop to a level of - PEN 13.6 million.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Credicorp Ltd.</w:t>
      </w:r>
      <w:r>
        <w:rPr>
          <w:rFonts w:ascii="Times New Roman" w:cs="Times New Roman" w:eastAsia="Times New Roman" w:hAnsi="Times New Roman"/>
          <w:sz w:val="18"/>
          <w:szCs w:val="18"/>
          <w:color w:val="auto"/>
        </w:rPr>
        <w:t xml:space="preserve"> Line primarily includes provisions for income tax on dividends from BCP and other expenses at the holding level. The 4Q14’s results were positive because of the sale of the Intradevco shares in PEN 26 million; nevertheless, it is important to note that a loss of PEN 24 million, which was associated with interest expenses for adjustments to the valuation of Calls and Put in Credicorp Capital and the acquisition of IM Trust and Credicorp Capital Colombia, was reported this quarter.</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Others</w:t>
      </w:r>
      <w:r>
        <w:rPr>
          <w:rFonts w:ascii="Times New Roman" w:cs="Times New Roman" w:eastAsia="Times New Roman" w:hAnsi="Times New Roman"/>
          <w:sz w:val="18"/>
          <w:szCs w:val="18"/>
          <w:color w:val="auto"/>
        </w:rPr>
        <w:t xml:space="preserve"> account mainly contains the results of Grupo Crédito, which is in charge of handling endeavors such as Tarjeta Naranja (which still accounts for the majority of losses reported given that operations were closed down) and the fiduciary business. In 4Q14, the results remained negative and registered losses for PEN 5.87 million.</w:t>
      </w:r>
    </w:p>
    <w:p>
      <w:pPr>
        <w:spacing w:after="0" w:line="391"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52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Regulatory Capital and Capital Adequacy Ratios</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Balance as of</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gridSpan w:val="4"/>
          </w:tcPr>
          <w:p>
            <w:pPr>
              <w:ind w:left="84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55"/>
        </w:trPr>
        <w:tc>
          <w:tcPr>
            <w:tcW w:w="52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PEN (000)</w:t>
            </w: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Dec 13</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Sep 14</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 14</w:t>
            </w:r>
          </w:p>
        </w:tc>
        <w:tc>
          <w:tcPr>
            <w:tcW w:w="1260" w:type="dxa"/>
            <w:vAlign w:val="bottom"/>
            <w:gridSpan w:val="2"/>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Dec 14 / Sep 14</w:t>
            </w:r>
          </w:p>
        </w:tc>
        <w:tc>
          <w:tcPr>
            <w:tcW w:w="11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Dec 14 / Dec 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Capital Stock</w:t>
            </w:r>
          </w:p>
        </w:tc>
        <w:tc>
          <w:tcPr>
            <w:tcW w:w="120" w:type="dxa"/>
            <w:vAlign w:val="bottom"/>
            <w:vMerge w:val="continue"/>
            <w:shd w:val="clear" w:color="auto" w:fill="CCEEFF"/>
          </w:tcPr>
          <w:p>
            <w:pPr>
              <w:spacing w:after="0"/>
              <w:rPr>
                <w:sz w:val="11"/>
                <w:szCs w:val="11"/>
                <w:color w:val="auto"/>
              </w:rPr>
            </w:pPr>
          </w:p>
        </w:tc>
        <w:tc>
          <w:tcPr>
            <w:tcW w:w="10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1,386,435</w:t>
            </w:r>
          </w:p>
        </w:tc>
        <w:tc>
          <w:tcPr>
            <w:tcW w:w="240" w:type="dxa"/>
            <w:vAlign w:val="bottom"/>
            <w:vMerge w:val="continue"/>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1,410,614</w:t>
            </w:r>
          </w:p>
        </w:tc>
        <w:tc>
          <w:tcPr>
            <w:tcW w:w="200" w:type="dxa"/>
            <w:vAlign w:val="bottom"/>
            <w:vMerge w:val="continue"/>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1,413,749</w:t>
            </w:r>
          </w:p>
        </w:tc>
        <w:tc>
          <w:tcPr>
            <w:tcW w:w="220" w:type="dxa"/>
            <w:vAlign w:val="bottom"/>
            <w:vMerge w:val="continue"/>
            <w:shd w:val="clear" w:color="auto" w:fill="CCEEFF"/>
          </w:tcPr>
          <w:p>
            <w:pPr>
              <w:spacing w:after="0"/>
              <w:rPr>
                <w:sz w:val="11"/>
                <w:szCs w:val="11"/>
                <w:color w:val="auto"/>
              </w:rPr>
            </w:pPr>
          </w:p>
        </w:tc>
        <w:tc>
          <w:tcPr>
            <w:tcW w:w="126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0.2%</w:t>
            </w:r>
          </w:p>
        </w:tc>
        <w:tc>
          <w:tcPr>
            <w:tcW w:w="11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Legal and Other capital reserves (1)</w:t>
            </w:r>
          </w:p>
        </w:tc>
        <w:tc>
          <w:tcPr>
            <w:tcW w:w="12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8,115,309</w:t>
            </w:r>
          </w:p>
        </w:tc>
        <w:tc>
          <w:tcPr>
            <w:tcW w:w="12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9,303,397</w:t>
            </w:r>
          </w:p>
        </w:tc>
        <w:tc>
          <w:tcPr>
            <w:tcW w:w="12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9,316,314</w:t>
            </w:r>
          </w:p>
        </w:tc>
        <w:tc>
          <w:tcPr>
            <w:tcW w:w="12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Minority interest (2)</w:t>
            </w:r>
          </w:p>
        </w:tc>
        <w:tc>
          <w:tcPr>
            <w:tcW w:w="128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298,498</w:t>
            </w:r>
          </w:p>
        </w:tc>
        <w:tc>
          <w:tcPr>
            <w:tcW w:w="12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427,182</w:t>
            </w:r>
          </w:p>
        </w:tc>
        <w:tc>
          <w:tcPr>
            <w:tcW w:w="12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420,920</w:t>
            </w:r>
          </w:p>
        </w:tc>
        <w:tc>
          <w:tcPr>
            <w:tcW w:w="126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Loan loss reserves (3)</w:t>
            </w:r>
          </w:p>
        </w:tc>
        <w:tc>
          <w:tcPr>
            <w:tcW w:w="12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904,000</w:t>
            </w:r>
          </w:p>
        </w:tc>
        <w:tc>
          <w:tcPr>
            <w:tcW w:w="12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1,102,385</w:t>
            </w:r>
          </w:p>
        </w:tc>
        <w:tc>
          <w:tcPr>
            <w:tcW w:w="12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1,144,288</w:t>
            </w:r>
          </w:p>
        </w:tc>
        <w:tc>
          <w:tcPr>
            <w:tcW w:w="12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Perpetual subordinated debt</w:t>
            </w:r>
          </w:p>
        </w:tc>
        <w:tc>
          <w:tcPr>
            <w:tcW w:w="128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635,863</w:t>
            </w:r>
          </w:p>
        </w:tc>
        <w:tc>
          <w:tcPr>
            <w:tcW w:w="12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722,500</w:t>
            </w:r>
          </w:p>
        </w:tc>
        <w:tc>
          <w:tcPr>
            <w:tcW w:w="12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746,500</w:t>
            </w:r>
          </w:p>
        </w:tc>
        <w:tc>
          <w:tcPr>
            <w:tcW w:w="126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Subordinated Debt</w:t>
            </w:r>
          </w:p>
        </w:tc>
        <w:tc>
          <w:tcPr>
            <w:tcW w:w="12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3,576,944</w:t>
            </w:r>
          </w:p>
        </w:tc>
        <w:tc>
          <w:tcPr>
            <w:tcW w:w="12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4,476,785</w:t>
            </w:r>
          </w:p>
        </w:tc>
        <w:tc>
          <w:tcPr>
            <w:tcW w:w="12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4,598,249</w:t>
            </w:r>
          </w:p>
        </w:tc>
        <w:tc>
          <w:tcPr>
            <w:tcW w:w="12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Investments in equity and subordinated debt of financial and insurance companies</w:t>
            </w:r>
          </w:p>
        </w:tc>
        <w:tc>
          <w:tcPr>
            <w:tcW w:w="12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(500,729)</w:t>
            </w:r>
          </w:p>
        </w:tc>
        <w:tc>
          <w:tcPr>
            <w:tcW w:w="12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(509,210)</w:t>
            </w:r>
          </w:p>
        </w:tc>
        <w:tc>
          <w:tcPr>
            <w:tcW w:w="12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(500,100)</w:t>
            </w:r>
          </w:p>
        </w:tc>
        <w:tc>
          <w:tcPr>
            <w:tcW w:w="126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12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(920,938)</w:t>
            </w:r>
          </w:p>
        </w:tc>
        <w:tc>
          <w:tcPr>
            <w:tcW w:w="12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(1,242,768)</w:t>
            </w:r>
          </w:p>
        </w:tc>
        <w:tc>
          <w:tcPr>
            <w:tcW w:w="12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(976,855)</w:t>
            </w:r>
          </w:p>
        </w:tc>
        <w:tc>
          <w:tcPr>
            <w:tcW w:w="12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-21.4%</w:t>
            </w:r>
          </w:p>
        </w:tc>
        <w:tc>
          <w:tcPr>
            <w:tcW w:w="1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Deduction for subordinated debt limit (50% of Tier I excluding deductions) (4)</w:t>
            </w:r>
          </w:p>
        </w:tc>
        <w:tc>
          <w:tcPr>
            <w:tcW w:w="128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Deduction for Tier I Limit (50% of Regulatory capital) (4)</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Regulatory Capital (A)</w:t>
            </w: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13,495,381</w:t>
            </w:r>
          </w:p>
        </w:tc>
        <w:tc>
          <w:tcPr>
            <w:tcW w:w="24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15,690,887</w:t>
            </w:r>
          </w:p>
        </w:tc>
        <w:tc>
          <w:tcPr>
            <w:tcW w:w="2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16,163,065</w:t>
            </w:r>
          </w:p>
        </w:tc>
        <w:tc>
          <w:tcPr>
            <w:tcW w:w="2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ind w:left="860"/>
              <w:spacing w:after="0" w:line="129" w:lineRule="exact"/>
              <w:rPr>
                <w:sz w:val="20"/>
                <w:szCs w:val="20"/>
                <w:color w:val="auto"/>
              </w:rPr>
            </w:pPr>
            <w:r>
              <w:rPr>
                <w:rFonts w:ascii="Times New Roman" w:cs="Times New Roman" w:eastAsia="Times New Roman" w:hAnsi="Times New Roman"/>
                <w:sz w:val="13"/>
                <w:szCs w:val="13"/>
                <w:b w:val="1"/>
                <w:bCs w:val="1"/>
                <w:color w:val="auto"/>
                <w:w w:val="73"/>
              </w:rPr>
              <w:t>3.0</w:t>
            </w:r>
          </w:p>
        </w:tc>
        <w:tc>
          <w:tcPr>
            <w:tcW w:w="260" w:type="dxa"/>
            <w:vAlign w:val="bottom"/>
            <w:tcBorders>
              <w:top w:val="single" w:sz="8" w:color="CCEEFF"/>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19.8</w:t>
            </w:r>
          </w:p>
        </w:tc>
        <w:tc>
          <w:tcPr>
            <w:tcW w:w="14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Tier I (5)</w:t>
            </w:r>
          </w:p>
        </w:tc>
        <w:tc>
          <w:tcPr>
            <w:tcW w:w="128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8,017,505</w:t>
            </w:r>
          </w:p>
        </w:tc>
        <w:tc>
          <w:tcPr>
            <w:tcW w:w="12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9,131,803</w:t>
            </w:r>
          </w:p>
        </w:tc>
        <w:tc>
          <w:tcPr>
            <w:tcW w:w="12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9,423,143</w:t>
            </w:r>
          </w:p>
        </w:tc>
        <w:tc>
          <w:tcPr>
            <w:tcW w:w="126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Tier II (6) + Tier III (7)</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5,477,876</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6,559,083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6,739,922</w:t>
            </w:r>
          </w:p>
        </w:tc>
        <w:tc>
          <w:tcPr>
            <w:tcW w:w="12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2.8%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Financial Consolidated Group (FCG) Regulatory Capital Requirements</w:t>
            </w:r>
          </w:p>
        </w:tc>
        <w:tc>
          <w:tcPr>
            <w:tcW w:w="12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10,644,715</w:t>
            </w:r>
          </w:p>
        </w:tc>
        <w:tc>
          <w:tcPr>
            <w:tcW w:w="12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13,117,587</w:t>
            </w:r>
          </w:p>
        </w:tc>
        <w:tc>
          <w:tcPr>
            <w:tcW w:w="12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13,425,648</w:t>
            </w:r>
          </w:p>
        </w:tc>
        <w:tc>
          <w:tcPr>
            <w:tcW w:w="12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Insurance Consolidated Group (ICG) Capital Requirements</w:t>
            </w:r>
          </w:p>
        </w:tc>
        <w:tc>
          <w:tcPr>
            <w:tcW w:w="128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897,352</w:t>
            </w:r>
          </w:p>
        </w:tc>
        <w:tc>
          <w:tcPr>
            <w:tcW w:w="12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902,190</w:t>
            </w:r>
          </w:p>
        </w:tc>
        <w:tc>
          <w:tcPr>
            <w:tcW w:w="12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871,955</w:t>
            </w:r>
          </w:p>
        </w:tc>
        <w:tc>
          <w:tcPr>
            <w:tcW w:w="126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1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FCG Capital Requirements related to operations with ICG (8)</w:t>
            </w:r>
          </w:p>
        </w:tc>
        <w:tc>
          <w:tcPr>
            <w:tcW w:w="12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(169,081)</w:t>
            </w:r>
          </w:p>
        </w:tc>
        <w:tc>
          <w:tcPr>
            <w:tcW w:w="12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(163,420)</w:t>
            </w:r>
          </w:p>
        </w:tc>
        <w:tc>
          <w:tcPr>
            <w:tcW w:w="12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(137,255)</w:t>
            </w:r>
          </w:p>
        </w:tc>
        <w:tc>
          <w:tcPr>
            <w:tcW w:w="12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-16.0%</w:t>
            </w:r>
          </w:p>
        </w:tc>
        <w:tc>
          <w:tcPr>
            <w:tcW w:w="1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ICG Capital Requirements related to operations with FCG (9)</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Regulatory Capital Requirements (B)</w:t>
            </w: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11,372,986</w:t>
            </w:r>
          </w:p>
        </w:tc>
        <w:tc>
          <w:tcPr>
            <w:tcW w:w="240" w:type="dxa"/>
            <w:vAlign w:val="bottom"/>
            <w:tcBorders>
              <w:bottom w:val="single" w:sz="8" w:color="CCEEFF"/>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13,856,358</w:t>
            </w:r>
          </w:p>
        </w:tc>
        <w:tc>
          <w:tcPr>
            <w:tcW w:w="200" w:type="dxa"/>
            <w:vAlign w:val="bottom"/>
            <w:tcBorders>
              <w:bottom w:val="single" w:sz="8" w:color="CCEEFF"/>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14,160,347</w:t>
            </w:r>
          </w:p>
        </w:tc>
        <w:tc>
          <w:tcPr>
            <w:tcW w:w="220" w:type="dxa"/>
            <w:vAlign w:val="bottom"/>
            <w:tcBorders>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ind w:left="860"/>
              <w:spacing w:after="0" w:line="129" w:lineRule="exact"/>
              <w:rPr>
                <w:sz w:val="20"/>
                <w:szCs w:val="20"/>
                <w:color w:val="auto"/>
              </w:rPr>
            </w:pPr>
            <w:r>
              <w:rPr>
                <w:rFonts w:ascii="Times New Roman" w:cs="Times New Roman" w:eastAsia="Times New Roman" w:hAnsi="Times New Roman"/>
                <w:sz w:val="13"/>
                <w:szCs w:val="13"/>
                <w:b w:val="1"/>
                <w:bCs w:val="1"/>
                <w:color w:val="auto"/>
                <w:w w:val="73"/>
              </w:rPr>
              <w:t>2.2</w:t>
            </w:r>
          </w:p>
        </w:tc>
        <w:tc>
          <w:tcPr>
            <w:tcW w:w="260" w:type="dxa"/>
            <w:vAlign w:val="bottom"/>
            <w:tcBorders>
              <w:bottom w:val="single" w:sz="8" w:color="CCEEFF"/>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24.5</w:t>
            </w:r>
          </w:p>
        </w:tc>
        <w:tc>
          <w:tcPr>
            <w:tcW w:w="14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Regulatory Capital Ratio (A) / (B)</w:t>
            </w:r>
          </w:p>
        </w:tc>
        <w:tc>
          <w:tcPr>
            <w:tcW w:w="104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1.19</w:t>
            </w:r>
          </w:p>
        </w:tc>
        <w:tc>
          <w:tcPr>
            <w:tcW w:w="24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1.13</w:t>
            </w:r>
          </w:p>
        </w:tc>
        <w:tc>
          <w:tcPr>
            <w:tcW w:w="20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1.14</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6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Required Regulatory Capital Ratio (10)</w:t>
            </w:r>
          </w:p>
        </w:tc>
        <w:tc>
          <w:tcPr>
            <w:tcW w:w="10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1.00</w:t>
            </w:r>
          </w:p>
        </w:tc>
        <w:tc>
          <w:tcPr>
            <w:tcW w:w="24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1.00</w:t>
            </w:r>
          </w:p>
        </w:tc>
        <w:tc>
          <w:tcPr>
            <w:tcW w:w="20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1.00</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-200660</wp:posOffset>
            </wp:positionV>
            <wp:extent cx="152654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26540" cy="10287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-3810</wp:posOffset>
            </wp:positionV>
            <wp:extent cx="22383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ind w:left="220" w:hanging="212"/>
        <w:spacing w:after="0" w:line="221" w:lineRule="auto"/>
        <w:tabs>
          <w:tab w:leader="none" w:pos="22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Legal and other capital reserves include restricted capital reserves (PEN 8,071 million) and optional capital reserves (PEN 1,245 million).</w:t>
      </w:r>
    </w:p>
    <w:p>
      <w:pPr>
        <w:ind w:left="220" w:hanging="212"/>
        <w:spacing w:after="0" w:line="221" w:lineRule="auto"/>
        <w:tabs>
          <w:tab w:leader="none" w:pos="22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Minority interest includes Tier I (PEN 418.8 million) and Tier II (PEN 2.1 million) minority interests.</w:t>
      </w:r>
    </w:p>
    <w:p>
      <w:pPr>
        <w:ind w:left="220" w:hanging="212"/>
        <w:spacing w:after="0" w:line="221" w:lineRule="auto"/>
        <w:tabs>
          <w:tab w:leader="none" w:pos="22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Up to 1.25% of total risk-weighted assets of Banco de Crédito del Perú, Solución Empresa Administradora Hipotecaria, Financiera Edyficar and Atlantic Security Bank.</w:t>
      </w:r>
    </w:p>
    <w:p>
      <w:pPr>
        <w:ind w:left="220" w:hanging="212"/>
        <w:spacing w:after="0" w:line="221" w:lineRule="auto"/>
        <w:tabs>
          <w:tab w:leader="none" w:pos="22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Tier II + Tier III can not be more than 50% of total regulatory capital.</w:t>
      </w:r>
    </w:p>
    <w:p>
      <w:pPr>
        <w:ind w:right="640" w:firstLine="8"/>
        <w:spacing w:after="0" w:line="221" w:lineRule="auto"/>
        <w:tabs>
          <w:tab w:leader="none" w:pos="204"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Tier I = capital + restricted capital reserves + Tier I minority interest - goodwill - (0.5 x investment in equity and subordinated debt of financial and insurance companies) + perpetual subordinated debt.</w:t>
      </w:r>
    </w:p>
    <w:p>
      <w:pPr>
        <w:ind w:left="220" w:hanging="212"/>
        <w:spacing w:after="0" w:line="221" w:lineRule="auto"/>
        <w:tabs>
          <w:tab w:leader="none" w:pos="22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Tier II = subordinated debt + TierII minority interest tier + loan loss reserves - (0.5 x investment in equity and subordinated debt of financial and insurance companies).</w:t>
      </w:r>
    </w:p>
    <w:p>
      <w:pPr>
        <w:ind w:left="220" w:hanging="212"/>
        <w:spacing w:after="0" w:line="221" w:lineRule="auto"/>
        <w:tabs>
          <w:tab w:leader="none" w:pos="22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Tier III = Subordinated debt covering market risk only.</w:t>
      </w:r>
    </w:p>
    <w:p>
      <w:pPr>
        <w:ind w:left="220" w:hanging="212"/>
        <w:spacing w:after="0" w:line="221" w:lineRule="auto"/>
        <w:tabs>
          <w:tab w:leader="none" w:pos="22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regulatory capital requirements of the financial consolidated group.</w:t>
      </w:r>
    </w:p>
    <w:p>
      <w:pPr>
        <w:ind w:left="220" w:hanging="212"/>
        <w:spacing w:after="0" w:line="221" w:lineRule="auto"/>
        <w:tabs>
          <w:tab w:leader="none" w:pos="22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regulatory capital requirements of the insurance consolidated group.</w:t>
      </w:r>
    </w:p>
    <w:p>
      <w:pPr>
        <w:ind w:left="280" w:hanging="272"/>
        <w:spacing w:after="0"/>
        <w:tabs>
          <w:tab w:leader="none" w:pos="28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Regulatory Capital / Total Regulatory Capital Requirements (legal minimum = 1.00).</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table indicates, in general terms Credicorp has maintained a comfortable capitalization level that is equivalent to 1.14 times the capital required by the Peruvian regulator. This ratio slightly increased above the figure reported at the end of 3Q14, mainly because regulatory capital grew at a higher rate (+3% QoQ) than regulatory capital requirements (+2.2% QoQ).The increase in regulatory capital resulted from a lower deduction of Goodwill due to the recognition of Mibanco’s brand as an intangible asset and an impairment at Credicorp Capital.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YoY analysis, shows a reduction in the regulatory capital ratio (1.19 in 3Q14 vs. 1.14 in 4Q14) as a result of higher increase in capital requirements (+ 24.5% YoY) than in regulatory capital (+ 19.8% YoY). The increase in the former came from the Financial Consolidated Group and is mainly explained by an increase in Credit risk weighted assets at BCP; in line with BCP stand-alone loan growth of +16.8% YoY (measured in year-end balances and based on results in Peru GAAP).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it is also important to note that TIER 1 represents 58.3% of Credicorp’s total regulatory capital (similar to 58.2% in 3Q14).</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above also shows that the majority of the capital requirement (93.8%) is associated with its financial business, and in particular more than 70% of the group’s total regulatory capital requirement is concentrated in BCP.</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Credicorp’s income generation, coupled with the corporation’s policies on retained earnings, dividend payments, capitalization of earnings and reserve building, has allowed Credicorp to build a comfortable capital reserve to support its business expansion.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Finally, Credicorp holds approximately PEN 1,351 million in liquid investments that can be used at any time to strengthen its regulatory capital, which involves a capital buffer of 10% which could increase the regulatory capital ratio to 1.24.</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5"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II. Banco de Crédito del Peru Consolidated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Banco de Credito and Subsidiaries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92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PEN (000)</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4Q13</w:t>
            </w:r>
          </w:p>
        </w:tc>
        <w:tc>
          <w:tcPr>
            <w:tcW w:w="2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3Q14</w:t>
            </w:r>
          </w:p>
        </w:tc>
        <w:tc>
          <w:tcPr>
            <w:tcW w:w="2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4Q14</w:t>
            </w:r>
          </w:p>
        </w:tc>
        <w:tc>
          <w:tcPr>
            <w:tcW w:w="2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QoQ</w:t>
            </w:r>
          </w:p>
        </w:tc>
        <w:tc>
          <w:tcPr>
            <w:tcW w:w="2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YoY</w:t>
            </w: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 13</w:t>
            </w:r>
          </w:p>
        </w:tc>
        <w:tc>
          <w:tcPr>
            <w:tcW w:w="2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 14</w:t>
            </w:r>
          </w:p>
        </w:tc>
        <w:tc>
          <w:tcPr>
            <w:tcW w:w="2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 14 / Dec 13</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interest income</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1,228,739</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1,587,958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1,611,805</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92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31.2%</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4,584,135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5,998,222</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provisions for loan loasses</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(349,632)</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(433,343)</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(437,827)</w:t>
            </w:r>
          </w:p>
        </w:tc>
        <w:tc>
          <w:tcPr>
            <w:tcW w:w="8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(1,240,303)</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(1,717,226)</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interest income after net provisions for loan losses</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879,107</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1,154,615</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1,173,978</w:t>
            </w:r>
          </w:p>
        </w:tc>
        <w:tc>
          <w:tcPr>
            <w:tcW w:w="8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1.7%</w:t>
            </w: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33.5%</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3,343,832</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4,280,996</w:t>
            </w:r>
          </w:p>
        </w:tc>
        <w:tc>
          <w:tcPr>
            <w:tcW w:w="1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28.0%</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Non financial income</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630,682</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688,818</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719,814</w:t>
            </w:r>
          </w:p>
        </w:tc>
        <w:tc>
          <w:tcPr>
            <w:tcW w:w="8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9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2,287,857</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2,661,871</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(916,190)</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(1,049,174)</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(1,186,199)</w:t>
            </w:r>
          </w:p>
        </w:tc>
        <w:tc>
          <w:tcPr>
            <w:tcW w:w="8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9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(3,457,233)</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(4,167,335)</w:t>
            </w:r>
          </w:p>
        </w:tc>
        <w:tc>
          <w:tcPr>
            <w:tcW w:w="1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593,599</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794,259</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707,593</w:t>
            </w:r>
          </w:p>
        </w:tc>
        <w:tc>
          <w:tcPr>
            <w:tcW w:w="8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9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2,174,456</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2,775,532</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Core operating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593,599</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794,259</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707,593</w:t>
            </w:r>
          </w:p>
        </w:tc>
        <w:tc>
          <w:tcPr>
            <w:tcW w:w="8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9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2,174,456</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2,775,532</w:t>
            </w:r>
          </w:p>
        </w:tc>
        <w:tc>
          <w:tcPr>
            <w:tcW w:w="1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49"/>
        </w:trPr>
        <w:tc>
          <w:tcPr>
            <w:tcW w:w="37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Non core operating income</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Translation results</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(14,119)</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13,066</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11,449</w:t>
            </w:r>
          </w:p>
        </w:tc>
        <w:tc>
          <w:tcPr>
            <w:tcW w:w="8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9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-181.1%</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(235,117)</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21,370</w:t>
            </w:r>
          </w:p>
        </w:tc>
        <w:tc>
          <w:tcPr>
            <w:tcW w:w="1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(176,917)</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(224,940)</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(273,761)</w:t>
            </w:r>
          </w:p>
        </w:tc>
        <w:tc>
          <w:tcPr>
            <w:tcW w:w="8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9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54.7%</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(677,241)</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(855,563)</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62"/>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401,971</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585,764</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451,794</w:t>
            </w: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-22.9%</w:t>
            </w:r>
          </w:p>
        </w:tc>
        <w:tc>
          <w:tcPr>
            <w:tcW w:w="9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12.4%</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1,259,996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1,948,755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54.7%</w:t>
            </w:r>
          </w:p>
        </w:tc>
        <w:tc>
          <w:tcPr>
            <w:tcW w:w="0" w:type="dxa"/>
            <w:vAlign w:val="bottom"/>
          </w:tcPr>
          <w:p>
            <w:pPr>
              <w:spacing w:after="0"/>
              <w:rPr>
                <w:sz w:val="1"/>
                <w:szCs w:val="1"/>
                <w:color w:val="auto"/>
              </w:rPr>
            </w:pPr>
          </w:p>
        </w:tc>
      </w:tr>
      <w:tr>
        <w:trPr>
          <w:trHeight w:val="142"/>
        </w:trPr>
        <w:tc>
          <w:tcPr>
            <w:tcW w:w="372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income / share (PEN)</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0.09</w:t>
            </w:r>
          </w:p>
        </w:tc>
        <w:tc>
          <w:tcPr>
            <w:tcW w:w="2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0.12</w:t>
            </w:r>
          </w:p>
        </w:tc>
        <w:tc>
          <w:tcPr>
            <w:tcW w:w="2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0.10</w:t>
            </w:r>
          </w:p>
        </w:tc>
        <w:tc>
          <w:tcPr>
            <w:tcW w:w="2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-22.8</w:t>
            </w:r>
          </w:p>
        </w:tc>
        <w:tc>
          <w:tcPr>
            <w:tcW w:w="240" w:type="dxa"/>
            <w:vAlign w:val="bottom"/>
            <w:tcBorders>
              <w:bottom w:val="single" w:sz="8" w:color="CCEEF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240" w:type="dxa"/>
            <w:vAlign w:val="bottom"/>
            <w:tcBorders>
              <w:bottom w:val="single" w:sz="8" w:color="CCEEF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0.27</w:t>
            </w:r>
          </w:p>
        </w:tc>
        <w:tc>
          <w:tcPr>
            <w:tcW w:w="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0.41</w:t>
            </w:r>
          </w:p>
        </w:tc>
        <w:tc>
          <w:tcPr>
            <w:tcW w:w="2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54.6</w:t>
            </w:r>
          </w:p>
        </w:tc>
        <w:tc>
          <w:tcPr>
            <w:tcW w:w="14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37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loans</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62,352,702</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73,636,007</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77,521,459</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92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24.3%</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62,352,702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77,521,459</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Deposits and obligations</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64,771,582</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70,820,123</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72,863,245</w:t>
            </w:r>
          </w:p>
        </w:tc>
        <w:tc>
          <w:tcPr>
            <w:tcW w:w="8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9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64,771,582</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72,863,245</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62"/>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shareholders' equity</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8,306,919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9,513,534</w:t>
            </w: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9,930,296</w:t>
            </w:r>
          </w:p>
        </w:tc>
        <w:tc>
          <w:tcPr>
            <w:tcW w:w="8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8,306,919</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9,930,296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financial margin</w:t>
            </w: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20" w:type="dxa"/>
            <w:vAlign w:val="bottom"/>
            <w:gridSpan w:val="2"/>
            <w:vMerge w:val="continue"/>
          </w:tcPr>
          <w:p>
            <w:pPr>
              <w:spacing w:after="0"/>
              <w:rPr>
                <w:sz w:val="12"/>
                <w:szCs w:val="12"/>
                <w:color w:val="auto"/>
              </w:rPr>
            </w:pPr>
          </w:p>
        </w:tc>
        <w:tc>
          <w:tcPr>
            <w:tcW w:w="9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5.41%</w:t>
            </w:r>
          </w:p>
        </w:tc>
        <w:tc>
          <w:tcPr>
            <w:tcW w:w="9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6.02%</w:t>
            </w:r>
          </w:p>
        </w:tc>
        <w:tc>
          <w:tcPr>
            <w:tcW w:w="9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5.94%</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5.26%</w:t>
            </w:r>
          </w:p>
        </w:tc>
        <w:tc>
          <w:tcPr>
            <w:tcW w:w="9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5.93%</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Efficiency ratio</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48.0%</w:t>
            </w: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47.7%</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Return on average equity</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Return on average total assets</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PDL ratio</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NPL ratio (1)</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Coverage ratio of PDLs</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157.6%</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161.5%</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164.7%</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157.6%</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164.7%</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Coverage ratio of NPLs</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125.2%</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128.3%</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124.6%</w:t>
            </w: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125.2%</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124.6%</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BIS ratio</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14.46%</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14.78%</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14.45%</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14.46%</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14.45%</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Branches (2)</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784</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Agentes (3)</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5,870</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7,954</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8,517</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5,870</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8,517</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ATMs (3)</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2,337</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2,504</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2,545</w:t>
            </w: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2,337</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2,545</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Employees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22,657</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27,555</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27,750</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22,657</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27,750</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-1144270</wp:posOffset>
            </wp:positionV>
            <wp:extent cx="1089025"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89025" cy="9461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-1144270</wp:posOffset>
            </wp:positionV>
            <wp:extent cx="694690"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4690" cy="9461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-955675</wp:posOffset>
            </wp:positionV>
            <wp:extent cx="1089025" cy="94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89025" cy="9461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-955675</wp:posOffset>
            </wp:positionV>
            <wp:extent cx="694690" cy="94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690" cy="9461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-767080</wp:posOffset>
            </wp:positionV>
            <wp:extent cx="1089025"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89025" cy="9461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-767080</wp:posOffset>
            </wp:positionV>
            <wp:extent cx="694690"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4690" cy="9461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-578485</wp:posOffset>
            </wp:positionV>
            <wp:extent cx="1089025"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89025" cy="9461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-578485</wp:posOffset>
            </wp:positionV>
            <wp:extent cx="69469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4690" cy="9461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-389890</wp:posOffset>
            </wp:positionV>
            <wp:extent cx="1089025"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89025" cy="9461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-389890</wp:posOffset>
            </wp:positionV>
            <wp:extent cx="694690" cy="94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4690" cy="9461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-200660</wp:posOffset>
            </wp:positionV>
            <wp:extent cx="1089025" cy="94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9025" cy="9461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-200660</wp:posOffset>
            </wp:positionV>
            <wp:extent cx="694690"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4690" cy="9461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-3810</wp:posOffset>
            </wp:positionV>
            <wp:extent cx="10807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-3810</wp:posOffset>
            </wp:positionV>
            <wp:extent cx="16897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ind w:left="220" w:hanging="212"/>
        <w:spacing w:after="0" w:line="221" w:lineRule="auto"/>
        <w:tabs>
          <w:tab w:leader="none" w:pos="22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NPLs: Non-performing lons = Past due loans + Refinanced and restructured loans. NPL Ratio = NPLs / Total loans.</w:t>
      </w:r>
    </w:p>
    <w:p>
      <w:pPr>
        <w:ind w:left="220" w:hanging="212"/>
        <w:spacing w:after="0" w:line="221" w:lineRule="auto"/>
        <w:tabs>
          <w:tab w:leader="none" w:pos="22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BCP stand-alone, Edyficar, Mibanco and BCP Bolivia.</w:t>
      </w:r>
    </w:p>
    <w:p>
      <w:pPr>
        <w:ind w:left="220" w:hanging="212"/>
        <w:spacing w:after="0"/>
        <w:tabs>
          <w:tab w:leader="none" w:pos="22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BCP stand-alone, Mibanco and BCP Bolivia.</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BCP consolidated reported net income of PEN 451.8 million in 4Q14, which represented a decrease of 22.9% with regard to 3Q14’s result. Although the bank has maintained last quarter’s momentum, as is evident in the growth posted in core business segments such as loans, net interest income, fee income and gains on foreign exchange transactions, the quarterly result was affected by seasonal factors relative to operating expenses and the fact that some non-recurring expenses were posted this quarter (as will be explained later in the text). The aforementioned translated into a ROAE of 18.6% and an ROAA of 1.6% (vs. 25.4% and 2.1% in 3Q14, respectively). In this context, operating efficiency was situated at 48% (vs. 44.9% en el 3T14); NIM at 5.94% (vs. 6.02% in 3Q14); and a PDL ratio of 2.59% (vs. 2.66% in 3Q14).</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note that the non-recurring expenses that had the highest impact in 4Q were associated with Mibanco (PEN 35.1 million); the amortization of Edyficar (PEN 3.8 million); and an increase in income tax provisions due to an adjustment in the deferred income balance (PEN 34.4 million). In this context, net income excluding non-recurring expenses totaled PEN 522 million, which represents an ROAE of 21.4% and an ROAA of 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drop in net income in 4Q14 was due primarily to:</w:t>
      </w:r>
    </w:p>
    <w:p>
      <w:pPr>
        <w:spacing w:after="0" w:line="225" w:lineRule="exact"/>
        <w:rPr>
          <w:sz w:val="20"/>
          <w:szCs w:val="20"/>
          <w:color w:val="auto"/>
        </w:rPr>
      </w:pPr>
    </w:p>
    <w:p>
      <w:pPr>
        <w:jc w:val="both"/>
        <w:ind w:left="660" w:hanging="652"/>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+13.1% QoQ in operating expenses, which was mainly attributable to an increase in administrative expenses (+21.6% QoQ) due its seasonality in every 4Q relative to end-of-year marketing campaigns and expenses for consultancy services as well as non-recurring expenses (Other Expenses) related to the creation and capture of synergies with Mibanco, and costs associated with implementing Edyficar’s model in the new company.</w:t>
      </w:r>
    </w:p>
    <w:p>
      <w:pPr>
        <w:spacing w:after="0" w:line="18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provisions for income tax (+21.7% QoQ) due to a one-time adjustment in the deferred tax balance following a reduction of expected tax credits resulting from the announced drop in income tax rates, which will fall progressively from 30% in 2014 to 26% from 2019, according to the economic measures adopted by the Central Government.</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13" w:name="page14"/>
    <w:bookmarkEnd w:id="13"/>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A decrease in net gains on sales of securities (-83.9% QoQ) given that in the third quarter, significant gains were reported for sales of sovereign bonds.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was attenuated by:</w:t>
      </w:r>
    </w:p>
    <w:p>
      <w:pPr>
        <w:spacing w:after="0" w:line="225" w:lineRule="exact"/>
        <w:rPr>
          <w:sz w:val="20"/>
          <w:szCs w:val="20"/>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+1.5% QoQ in net interest income, which was attributable to higher interest income due to growth in average daily loan balances (+4.4% QoQ), which helped offset the increase in interest expenses.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fee income (+8% QoQ) and gains on foreign exchange transactions (+11.1% QoQ) due, in the first case, to higher transaction volumes and in the second case, to the fact that exchange rate volatility was relatively higher.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terms of loans, the good momentum achieved last quarter was maintained in 4Q with expansion of +5.3% QoQ in quarter-end balances, and +4.4% in average daily balances. This quarter, 42% of the growth in average daily balances was attributable to Wholesale Banking, which posted a +5.5% expansion QoQ. Retail Banking, which grew +3.9% QoQ, accounted for 31% of the increase, while Edyficar and BCP Bolivia, which increased their loans +4.8% and +6.4% respectively, accounted for 8% of total growth in average daily balances. Finally, the appreciation of the US Dollar in 4Q14 was responsible for 19% of the QoQ growth of the loan book.</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terms of portfolio quality, the PDL ratio fell once again to situate at 2.59% (vs. 2.66% in 3Q), which represents the lowest level of 2014. This quarter, the non-performing loan ratio increased slightly to 3.43% (vs. 3.35% in 3Q) due to on-going efforts to refinance debt. Nevertheless, it is important to note that due to an operating error, an installment payment for a mid-term corporate loan was reported as past due loan (approximately US$15.7 million, equivalent to PEN 41.1 million) and was regularized in the first half of January. Without this operating error, the PDL ratio drops to 2.53% and the ratio for the non-performing portfolio falls to 3.37%. The aforementioned helped maintain the coverage ratio for the PDLs and NPLs at levels similar to last quarter’s (164.7% and 124.6%, respectively).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terms of funding, the structure remained similar to that posted in 3Q with a share of 67% of deposits followed by due to banks and correspondents (12%), and bonds and subordinated debt (12%). Although the loan/deposit ratio (L/D) increased from 104% to 106.4% QoQ, this was primarily attributable to the fact that the Bank is using alternative sources of funding from BCRP, which helped keep the funding cost at 2.05% in 4Q14.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terms of the net interest margin (NIM), this indicator fell slightly to 5.94% (vs. 6.02% in 3Q) due to higher growth in average interest earning assets (+2.9% QoQ) in comparison to the expansion in net interest income (+1.6% QoQ). This was in turn attributable to a significant increase in loans toward the end of the quarter. However, the interest income generated by these loans is not completely reflected in the NII for 4Q. Additionally, although to a lesser extent, Mibanco loans contracted this quarter, which led to a decrease in income from loan interest.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regard to operating efficiency, the seasonality of administrative expenses explained the increase in the efficiency ratio, which went from 44.9% in 3Q14 to 48% in 4Q14.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in terms of capital ratios, although the BIS ratio fell slightly to 14.45% (vs. 14.78% in 3Q14), the Common Equity Tier 1 ratio increased from 7.20% to 7.45% QoQ. In the first case, the evolution was due to higher growth in risk-weighted assets - RWA (+3.8% QoQ) in comparison to the increase in regulatory capital (+1.4% QoQ). The most stringent capital ratio, Common Equity Tier 1, posted an improvement given that growth in the Common Equity Tier 1 ratio outpaced the expansion in RWA, which is in line with in the lower deduction of the investment in Mibanco.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2014’s result vs. 2013’s result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annual terms, BCP consolidated posted net income of PEN 1,949 million. This represents an increase of 54.7% with regard to PEN1,260 million in 2013, which led to an ROAE of 21.4% and an ROAA of 1.8% (vs. 16.4% and 1.3% in 2013, respectively). Although 2014’s result was far higher than that of the previous year, which was hit hard by the devaluation of the Nuevo Sol, the real and full potential of the business is not yet reflected, particularly in BCP’s ROAE and ROAA, due to the effects of non-recurring expenses, which totaled PEN 110.8 million. As such, if we consider recurring income, BCP’s ROAE and ROAA situates at 21.8% and 1.9%, respectively.</w:t>
      </w: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Better performance in 2014 was clearly reflected in +27.6% growth in operating income, which was due primarily to:</w:t>
      </w:r>
    </w:p>
    <w:p>
      <w:pPr>
        <w:spacing w:after="0" w:line="225" w:lineRule="exact"/>
        <w:rPr>
          <w:sz w:val="20"/>
          <w:szCs w:val="20"/>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 growth in net interest income; this was attributable to higher interest income, which was in line with a +21.5% expansion in average daily loan balances. This, coupled with the 1.1% increase in interest expenses, led to an NIM of 5.93%, which tops 2013’s level by 67 bps.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 expansion in non-financial income was attributable to an increase in fee income, gains on foreign exchange transactions and gains on sales of securities (which compares favorably with the loss posted in 2013 due to lower MtM of the investment portfolio).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helped offset:</w:t>
      </w:r>
    </w:p>
    <w:p>
      <w:pPr>
        <w:spacing w:after="0" w:line="22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provisions for loan losses (+38.5%), which was due in large part to the difficulties faced in the SME and Mibanco portfolios.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 growth in operating expenses was mainly due to an increase in compensation and administrative expenses, which was in line not only with business growth and initiatives to re-engineer the SME Business model; but also with the incorporation of Mibanco, and mainly, non-recurring expenses due to efforts to generate and capture synergies and to implement Edyficar’s model in the new organization.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a deceleration in growth in the Peruvian economy, BCP expanded its loan portfolio +24.3% in terms of year-end balances, and +21.5% in terms of average daily balances. Annual growth can be disaggregated as follows: 32% due to the excellent evolution of Wholesale Banking; 30% for the acquisition of Mibanco; 14% due to the recovery in Retail Banking, which was primarily evident in the second half of the year; 8% from Edyficar and BCP Bolivia; and finally, 16% due to the appreciation of the US Dollar in 2014, the latter due to the fact that 46% of loans are denominated in foreign currency.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regard to portfolio quality, the PDL ratio fell again this quarter to situate at 2.59%, higher than the 2.3% of 2013. It is important to consider that the higher PDL ratio was mainly due to the impact of Mibanco, after the acquisition in March 2014. In the same context, the NPL ratio increased slightly to 2.59% (vs. 2.9% in 2013), impacted also by that the fact that efforts to refinance debt continued in 4Q. In the terms of coverage, the coverage levels for the PDLs and the NPLs reached 164.7% and 124.6%, respectively, similar levels of 2013’s.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structure reflected considerable use of the alternative funding sources offered by BCRP in 2014, which helped reduce funding costs throughout the year. Within this structure, the share of deposits went from representing 72% of total funding to accounting for 68%; and BCRP instruments represented 4% of total funding. Due to banks and correspondents, and bonds and subordinated debt maintained similar shares of 12% and 17%, respectively at the end of 2014. The L/D ratio increased from 96.3% to 106.4%. This was due primarily to the use of BCRP’s alternative funding sources, which helped reduce the funding cost from 2.31% in 2013 to 2.07% in 2014.</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interest margin (NIM) rose from 5.26% in 2013 to 5.93% in 2014. This was primarily attributable to (i) the acquisition of Mibanco; (ii) the alignment of Retail Banking’s pricing with the cost of risk of each business segment; and (iii) the higher growth in the local currency portfolio in general, which offers better margins. Additionally, the aforementioned decrease in funding costs also helped to NIM’s evolution in 2014.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in terms of operating efficiency, the efforts of BCP Stand-Alone’s efficiency program were reflected in the annual evolution of BCP Consolidated’s efficiency ratio, which fell from 47.7% in 2013 to 46.6% in 2014. Nevertheless, it is important to note that the results of the efficiency program dissipate somewhat in the consolidated result due, in large part, to the acquisition of Mibanco. In this context, the BCP stand-alone ratio fell from 47.1% in 2013 to 44.2% in 2014.</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II.1 Interest-Earning Assets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Interest-earning assets grew +1.9% QoQ and +18.3% YoY. This was due primarily to expansion in total loans (+5.3% QoQ and +24.3% YoY), which are the Bank’s most profitable assets. Loan growth reflects the dynamism of Wholesale Banking in 2014, and the fact that Retail Banking continued to recover. The positive evolution of loans offset the decline in Investments securities available for sale (-24.7% QoQ and +32.6% YoY), which was in line with a decrease in investment in Certificates of Deposit from BCRP and Peruvian Government Bonds.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8"/>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PEN (000)</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4Q13</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3Q14</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4Q14</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BCRP and other banks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17,792,481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19,529,988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20,399,786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Interbank funds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189,462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435,939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30,002</w:t>
            </w: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-93.1%</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securities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1,219,185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2,460,868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1,967,385</w:t>
            </w: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securities available for sale</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10,433,313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9,336,182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7,027,752</w:t>
            </w: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-24.7%</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to maturity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676,975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2,122,790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2,669,777</w:t>
            </w: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62,352,702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73,636,007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77,521,459</w:t>
            </w: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0"/>
        </w:trPr>
        <w:tc>
          <w:tcPr>
            <w:tcW w:w="4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earning assets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92,664,118</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107,521,774</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109,616,161</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analysis of the evolution of BCP’s interest-earning assets shows the impact of the good dynamic of total loans, which increased +5.3% QoQ in terms of quarter-end balances and +4.4% with regard to average daily balances. A close look at the increase in average daily balances shows that growth is primarily the product of the following factors:</w:t>
      </w:r>
    </w:p>
    <w:p>
      <w:pPr>
        <w:spacing w:after="0" w:line="176" w:lineRule="exact"/>
        <w:rPr>
          <w:sz w:val="20"/>
          <w:szCs w:val="20"/>
          <w:color w:val="auto"/>
        </w:rPr>
      </w:pPr>
    </w:p>
    <w:p>
      <w:pPr>
        <w:ind w:left="760" w:hanging="509"/>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excellent evolution of Wholesale Banking, which accounted for 42% of total loan growth.</w:t>
      </w:r>
    </w:p>
    <w:p>
      <w:pPr>
        <w:spacing w:after="0" w:line="27" w:lineRule="exact"/>
        <w:rPr>
          <w:rFonts w:ascii="Times New Roman" w:cs="Times New Roman" w:eastAsia="Times New Roman" w:hAnsi="Times New Roman"/>
          <w:sz w:val="18"/>
          <w:szCs w:val="18"/>
          <w:color w:val="auto"/>
        </w:rPr>
      </w:pPr>
    </w:p>
    <w:p>
      <w:pPr>
        <w:ind w:left="760" w:hanging="509"/>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dynamism in the Retail Banking portfolio in the second half of the year, which was due to year-end campaigns (held every year), which generated 31% of the growth QoQ.</w:t>
      </w:r>
    </w:p>
    <w:p>
      <w:pPr>
        <w:ind w:left="760" w:hanging="509"/>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Solid growth in the portfolios of Edyficar and BCP Bolivia, which offset the slight decline in Mibanco’s portfolio QoQ. The increase in the portfolio of BCP’s subsidiaries generated an 8% of the total increase QoQ.</w:t>
      </w:r>
    </w:p>
    <w:p>
      <w:pPr>
        <w:ind w:left="760" w:hanging="509"/>
        <w:spacing w:after="0" w:line="26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+3.3% appreciation in the US Dollar against the Nuevo Sol in 4Q accounts for 19% of the increase in total loans. The aforementioned was due to the fact that 46% of the loan portfolio is denominated in foreign currency (FC).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increased +24.3% YoY in terms of year-end balances while average daily balances expanded +21.5% due to:</w:t>
      </w:r>
    </w:p>
    <w:p>
      <w:pPr>
        <w:spacing w:after="0" w:line="225" w:lineRule="exact"/>
        <w:rPr>
          <w:sz w:val="20"/>
          <w:szCs w:val="20"/>
          <w:color w:val="auto"/>
        </w:rPr>
      </w:pPr>
    </w:p>
    <w:p>
      <w:pPr>
        <w:ind w:left="760" w:hanging="509"/>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solid evolution of the Wholesale Banking portfolio in 2014, which generated 32% of annual growth.</w:t>
      </w:r>
    </w:p>
    <w:p>
      <w:pPr>
        <w:spacing w:after="0" w:line="27" w:lineRule="exact"/>
        <w:rPr>
          <w:rFonts w:ascii="Times New Roman" w:cs="Times New Roman" w:eastAsia="Times New Roman" w:hAnsi="Times New Roman"/>
          <w:sz w:val="18"/>
          <w:szCs w:val="18"/>
          <w:color w:val="auto"/>
        </w:rPr>
      </w:pPr>
    </w:p>
    <w:p>
      <w:pPr>
        <w:ind w:left="760" w:hanging="509"/>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Mibanco, which on its own accounts for 30% of annual growth in total loans.</w:t>
      </w:r>
    </w:p>
    <w:p>
      <w:pPr>
        <w:spacing w:after="0" w:line="9" w:lineRule="exact"/>
        <w:rPr>
          <w:rFonts w:ascii="Times New Roman" w:cs="Times New Roman" w:eastAsia="Times New Roman" w:hAnsi="Times New Roman"/>
          <w:sz w:val="18"/>
          <w:szCs w:val="18"/>
          <w:color w:val="auto"/>
        </w:rPr>
      </w:pPr>
    </w:p>
    <w:p>
      <w:pPr>
        <w:ind w:left="760" w:hanging="509"/>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Banking’s recovery in the second half of the year, which generated 14% of the annual increase posted by the portfolio. In this context, Retail Banking grew +9.5% in 2014, which tops the +9.3% expansion reported in 2013.</w:t>
      </w:r>
    </w:p>
    <w:p>
      <w:pPr>
        <w:ind w:left="760" w:hanging="509"/>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evolution of the loan portfolio of BCP’s subsidiaries accounted for 8% of the YoY variation.</w:t>
      </w:r>
    </w:p>
    <w:p>
      <w:pPr>
        <w:spacing w:after="0" w:line="9" w:lineRule="exact"/>
        <w:rPr>
          <w:rFonts w:ascii="Times New Roman" w:cs="Times New Roman" w:eastAsia="Times New Roman" w:hAnsi="Times New Roman"/>
          <w:sz w:val="18"/>
          <w:szCs w:val="18"/>
          <w:color w:val="auto"/>
        </w:rPr>
      </w:pPr>
    </w:p>
    <w:p>
      <w:pPr>
        <w:ind w:left="760" w:hanging="509"/>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6.7% appreciation of the US Dollar against the Nuevo Sol explains 16% of loan expansion in 2014.</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Due to the aforementioned, BCP’s loan expansion, without including the effect of the acquisition of Mibanco and the appreciation of the US Dollar, was situated at +11.5% in 2014.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Deposits in BCRP and other banks reported an increase of +4.5% QoQ and 14.7% YoY. The quarterly evolution is due mainly to an increase in deposits in local and foreign banks while the YoY evolution is primarily attributable to an increase in restricted funds due to REPO transactions with BCRP in 2014.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Investments securities held to maturity (+25.8% QoQ and +294.4% YoY) is associated with a higher position held in Peruvian Government Bonds.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aforementioned helped offset the -24.7% QoQ and -32.6% YoY decline in Investment securities available for sale due to a smaller position held in Certificates of Deposits from BCRP and Peruvian Government Bonds.</w:t>
      </w:r>
    </w:p>
    <w:p>
      <w:pPr>
        <w:spacing w:after="0" w:line="378"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Trading securities fell -20.1% QoQ due to a decrease in the position in Certificates of Deposits from BCRP, which was in line with a drop in yields on these instruments in 4Q14 and less investment in foreign government bonds (mainly in the United States, Colombia and Brazil) and corporate bonds.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Portfolio</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figure below shows the evolution in 2014 of the quarter-end balances of loans as well as the average daily balances for each month. Both include the effect of the Mibanco portfolio from the end of 1Q14 and 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Loans (PEN millon)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157480</wp:posOffset>
            </wp:positionV>
            <wp:extent cx="4193540" cy="18865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19354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4Q14, the favorable evolution of the loan portfolio, measured in average daily balances, generated a +4.4% increase QoQ that was led by Wholesale Banking. Total loans, expressed in quarter-end balances, were situated at PEN 77,521 million, which represents growth of +5.3% QoQ.</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important to note that higher growth in 4Q14 in quarter-end balances with regard to average daily balances is attributable to a peak in loans in December that was led by Corporate Banking loans to provide working capital in LC</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Average Daily Balances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4"/>
              </w:rPr>
              <w:t xml:space="preserve">TOTAL LOANS </w:t>
            </w:r>
            <w:r>
              <w:rPr>
                <w:rFonts w:ascii="Times New Roman" w:cs="Times New Roman" w:eastAsia="Times New Roman" w:hAnsi="Times New Roman"/>
                <w:sz w:val="30"/>
                <w:szCs w:val="30"/>
                <w:b w:val="1"/>
                <w:bCs w:val="1"/>
                <w:color w:val="auto"/>
                <w:w w:val="94"/>
                <w:vertAlign w:val="superscript"/>
              </w:rPr>
              <w:t>(1)</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2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i w:val="1"/>
                <w:iCs w:val="1"/>
                <w:color w:val="auto"/>
                <w:w w:val="99"/>
              </w:rPr>
              <w:t>(Expressed in million PEN)</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4Q13</w:t>
            </w:r>
          </w:p>
        </w:tc>
        <w:tc>
          <w:tcPr>
            <w:tcW w:w="1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3Q14</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4Q14</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QoQ</w:t>
            </w: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Wholesale Banking</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29,052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32,704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34,459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Middle-Market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Retail Banking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27,667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29,174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30,307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SME - Pyme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SME - Business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12.3%</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Card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Edyficar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2,504</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3,203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Bolivia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Mibanco</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4,136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8"/>
                <w:szCs w:val="18"/>
                <w:b w:val="1"/>
                <w:bCs w:val="1"/>
                <w:color w:val="auto"/>
              </w:rPr>
              <w:t xml:space="preserve">Ohers </w:t>
            </w:r>
            <w:r>
              <w:rPr>
                <w:rFonts w:ascii="Times New Roman" w:cs="Times New Roman" w:eastAsia="Times New Roman" w:hAnsi="Times New Roman"/>
                <w:sz w:val="30"/>
                <w:szCs w:val="30"/>
                <w:b w:val="1"/>
                <w:bCs w:val="1"/>
                <w:color w:val="auto"/>
                <w:vertAlign w:val="superscript"/>
              </w:rPr>
              <w:t>(2)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total loans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62,482</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72,718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75,932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360" w:hanging="250"/>
        <w:spacing w:after="0"/>
        <w:tabs>
          <w:tab w:leader="none" w:pos="13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daily balance.</w:t>
      </w:r>
    </w:p>
    <w:p>
      <w:pPr>
        <w:spacing w:after="0" w:line="9" w:lineRule="exact"/>
        <w:rPr>
          <w:rFonts w:ascii="Times New Roman" w:cs="Times New Roman" w:eastAsia="Times New Roman" w:hAnsi="Times New Roman"/>
          <w:sz w:val="18"/>
          <w:szCs w:val="18"/>
          <w:i w:val="1"/>
          <w:iCs w:val="1"/>
          <w:color w:val="auto"/>
        </w:rPr>
      </w:pPr>
    </w:p>
    <w:p>
      <w:pPr>
        <w:ind w:left="1360" w:hanging="250"/>
        <w:spacing w:after="0"/>
        <w:tabs>
          <w:tab w:leader="none" w:pos="13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Work out unit, and other banking.</w:t>
      </w:r>
    </w:p>
    <w:p>
      <w:pPr>
        <w:spacing w:after="0" w:line="9" w:lineRule="exact"/>
        <w:rPr>
          <w:sz w:val="20"/>
          <w:szCs w:val="20"/>
          <w:color w:val="auto"/>
        </w:rPr>
      </w:pPr>
    </w:p>
    <w:p>
      <w:pPr>
        <w:ind w:left="1120" w:right="4960" w:hanging="10"/>
        <w:spacing w:after="0" w:line="261" w:lineRule="auto"/>
        <w:tabs>
          <w:tab w:leader="none" w:pos="12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consolidation purposes, loans generated in FC are converted to LC. Source: BCP.</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Wholesale Banking registered an increase of +5.4% QoQ and +18.6% YoY that was due to:</w:t>
      </w:r>
    </w:p>
    <w:p>
      <w:pPr>
        <w:spacing w:after="0" w:line="225" w:lineRule="exact"/>
        <w:rPr>
          <w:sz w:val="20"/>
          <w:szCs w:val="20"/>
          <w:color w:val="auto"/>
        </w:rPr>
      </w:pPr>
    </w:p>
    <w:p>
      <w:pPr>
        <w:ind w:left="620" w:hanging="369"/>
        <w:spacing w:after="0" w:line="282"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Excellent dynamism in Corporate Banking (+5.3% QoQ and +17.2% YoY), which was in line with higher financing for working capital (mainly in LC); and</w:t>
      </w:r>
    </w:p>
    <w:p>
      <w:pPr>
        <w:spacing w:after="0" w:line="161" w:lineRule="exact"/>
        <w:rPr>
          <w:rFonts w:ascii="Times New Roman" w:cs="Times New Roman" w:eastAsia="Times New Roman" w:hAnsi="Times New Roman"/>
          <w:sz w:val="18"/>
          <w:szCs w:val="18"/>
          <w:color w:val="auto"/>
        </w:rPr>
      </w:pPr>
    </w:p>
    <w:p>
      <w:pPr>
        <w:ind w:left="620" w:hanging="369"/>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financing for mid and long term financing in Middle-Market Banking (+5.5% QoQ and +21.2% YoY).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analysis by currency indicates that both Corporate Banking and Middle-Market Banking reported excellent growth in their LC portfolios (+22% QoQ and +11.2% QoQ, respectively), which offset the decrease in their FC portfolio (-6% QoQ and -0.4% QoQ respectively). The aforementioned reflects the preference for LC loans, which was primarily attributable to volatility of the exchange rate in the last few quarters and better lending conditions in LC in a scenario of cuts in the reference rate and in legal reserve requirements.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Retail Banking portfolio experienced growth of +3.9% QoQ and +9.5% YoY. This was due primarily to expansion in LC loans (+3.2% QoQ and +11.1% YoY), which was in line with growth in Mortgage, SME-Business and Credit Card loan segments. Expansion in 4Q14 demonstrates the sustained recovery of Retail Banking throughout the year, as it is reflected in the quarterly growth rates of +0.5% in 1Q, +1.4% in 2Q and +3.5% in 3Q. Variations in the evolution of business segments within Retail Banking were due to:</w:t>
      </w:r>
    </w:p>
    <w:p>
      <w:pPr>
        <w:spacing w:after="0" w:line="180" w:lineRule="exact"/>
        <w:rPr>
          <w:sz w:val="20"/>
          <w:szCs w:val="20"/>
          <w:color w:val="auto"/>
        </w:rPr>
      </w:pPr>
    </w:p>
    <w:p>
      <w:pPr>
        <w:ind w:left="620" w:hanging="369"/>
        <w:spacing w:after="0" w:line="282"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segment increased +3.8% QoQ, which was in line with growth in the LC portfolio (+3.7% QoQ) while the FC portfolio remained stable (+0.7% QoQ). The evolution of Mortgage Loans was attributable to the BCP’s 8th Home Show, which was held at the beginning of the Q.</w:t>
      </w:r>
    </w:p>
    <w:p>
      <w:pPr>
        <w:spacing w:after="0" w:line="161" w:lineRule="exact"/>
        <w:rPr>
          <w:rFonts w:ascii="Times New Roman" w:cs="Times New Roman" w:eastAsia="Times New Roman" w:hAnsi="Times New Roman"/>
          <w:sz w:val="18"/>
          <w:szCs w:val="18"/>
          <w:color w:val="auto"/>
        </w:rPr>
      </w:pPr>
    </w:p>
    <w:p>
      <w:pPr>
        <w:jc w:val="both"/>
        <w:ind w:left="6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YoY evolution of the Mortgage Segment shows growth of +13.6%. This was attributable to a +22.3% increase in LC loans, which offset the -4.4% reduction in the FC portfolio. The aforementioned reflects the on-going de-dollarization process. In this context the LC portfolio represented 64.2% of total loans at the end of 4Q14, which tops the 59.7% registered in 4Q13.</w:t>
      </w:r>
    </w:p>
    <w:p>
      <w:pPr>
        <w:spacing w:after="0" w:line="176" w:lineRule="exact"/>
        <w:rPr>
          <w:rFonts w:ascii="Times New Roman" w:cs="Times New Roman" w:eastAsia="Times New Roman" w:hAnsi="Times New Roman"/>
          <w:sz w:val="18"/>
          <w:szCs w:val="18"/>
          <w:color w:val="auto"/>
        </w:rPr>
      </w:pPr>
    </w:p>
    <w:p>
      <w:pPr>
        <w:ind w:left="620" w:hanging="369"/>
        <w:spacing w:after="0" w:line="282"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SME-Business segment grew +12.3% QoQ and +20.3% YoY. This was mainly attributable to the fact that the LC portfolio expanded +11.2% QoQ and +34.7% YoY due to financing campaigns at year-end and to seasonal factors that affect this segment.</w:t>
      </w:r>
    </w:p>
    <w:p>
      <w:pPr>
        <w:spacing w:after="0" w:line="161" w:lineRule="exact"/>
        <w:rPr>
          <w:rFonts w:ascii="Times New Roman" w:cs="Times New Roman" w:eastAsia="Times New Roman" w:hAnsi="Times New Roman"/>
          <w:sz w:val="18"/>
          <w:szCs w:val="18"/>
          <w:color w:val="auto"/>
        </w:rPr>
      </w:pPr>
    </w:p>
    <w:p>
      <w:pPr>
        <w:jc w:val="both"/>
        <w:ind w:left="620" w:hanging="369"/>
        <w:spacing w:after="0" w:line="261"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Card segment increased +7.5% QoQ and +20.2% YoY, with larger growth in its LC portfolio (+7.5% QoQ and +21.1% YoY) vs. ME (+3.9% QoQ and +7.7% YoY). This growth is associated with on-going credit card campaigns (LAN pass program) throughout the year. It is important to note that this segment has recovered the growth levels of past years while improving portfolio quality. This was accomplished by applying adjustments in 2012 and 2013 to improve delinquency indicators.</w:t>
      </w:r>
    </w:p>
    <w:p>
      <w:pPr>
        <w:spacing w:after="0" w:line="180" w:lineRule="exact"/>
        <w:rPr>
          <w:rFonts w:ascii="Times New Roman" w:cs="Times New Roman" w:eastAsia="Times New Roman" w:hAnsi="Times New Roman"/>
          <w:sz w:val="18"/>
          <w:szCs w:val="18"/>
          <w:color w:val="auto"/>
        </w:rPr>
      </w:pPr>
    </w:p>
    <w:p>
      <w:pPr>
        <w:jc w:val="both"/>
        <w:ind w:left="620" w:hanging="369"/>
        <w:spacing w:after="0" w:line="258"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Consumer segment posted an increase of +2.1% QoQ, which tops the levels observed in the first half of the year (+1.8% in 1Q and +1.6% in 2Q). The aforementioned, coupled with the +3.3% expansion posted in 3Q, led to an increase of +4.5% YoY. If we analyze the evolution by currency, we see an increase of +1.5% QoQ and +2.1% YoY in the LC portfolio and +0.8% QoQ and 8% YoY in the FC portfolio. It is important to note that LC represents approximately 80% of the total loans in this segment while the FC portfolio is associated with special credit conditions for clients in the upper socio-economic classes.</w:t>
      </w:r>
    </w:p>
    <w:p>
      <w:pPr>
        <w:spacing w:after="0" w:line="183" w:lineRule="exact"/>
        <w:rPr>
          <w:rFonts w:ascii="Times New Roman" w:cs="Times New Roman" w:eastAsia="Times New Roman" w:hAnsi="Times New Roman"/>
          <w:sz w:val="18"/>
          <w:szCs w:val="18"/>
          <w:color w:val="auto"/>
        </w:rPr>
      </w:pPr>
    </w:p>
    <w:p>
      <w:pPr>
        <w:jc w:val="both"/>
        <w:ind w:left="620" w:hanging="369"/>
        <w:spacing w:after="0" w:line="266"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SME-Pyme segment demonstrated slight growth of +0.6% QoQ that was attributable +0.8% QoQ expansion in the LC portfolio, which represented 90% of the total while the FC portfolio contracted -4.8%. The QoQ evolution reflects the risk strategy that has been implemented in the segment and in the Revolving SME-Pyme in particular, which strives to align clients’ funding with their flows.</w:t>
      </w:r>
    </w:p>
    <w:p>
      <w:pPr>
        <w:spacing w:after="0" w:line="176" w:lineRule="exact"/>
        <w:rPr>
          <w:rFonts w:ascii="Times New Roman" w:cs="Times New Roman" w:eastAsia="Times New Roman" w:hAnsi="Times New Roman"/>
          <w:sz w:val="18"/>
          <w:szCs w:val="18"/>
          <w:color w:val="auto"/>
        </w:rPr>
      </w:pPr>
    </w:p>
    <w:p>
      <w:pPr>
        <w:jc w:val="both"/>
        <w:ind w:left="6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YoY analysis shows that the portfolio remained stable (-0.1%), which was due primarily to a drop in the FC portfolio (-13.9%). The aforementioned was due to factors observed in the first half of the year when the portfolio contracted -1.5% in 1Q and -0.9% in 2Q due to changes made in the business and risk models.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With regard to BCP’s subsidiaries, it is important to note that:</w:t>
      </w:r>
    </w:p>
    <w:p>
      <w:pPr>
        <w:spacing w:after="0" w:line="225" w:lineRule="exact"/>
        <w:rPr>
          <w:sz w:val="20"/>
          <w:szCs w:val="20"/>
          <w:color w:val="auto"/>
        </w:rPr>
      </w:pPr>
    </w:p>
    <w:p>
      <w:pPr>
        <w:jc w:val="both"/>
        <w:ind w:left="620" w:hanging="369"/>
        <w:spacing w:after="0" w:line="261"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Edyficar’s portfolio, measured in average daily balances, experienced an increase of +4.8% QoQ and +27.9% YoY, going from PEN 2,504 million in 4Q13 to PEN 3,058 million in 3Q14 to PEN 3,203 in 4Q14. The aforementioned is in line with the increase in the sales force, which helped Edyficar bolster its market share, which went from 9.3% in 3Q to 9.7% in 4Q. It is important to note that Edyficar maintained good portfolio quality once again in 4Q, as is reflected in the stability of its PDL ratio, as we will explain later in this report.</w:t>
      </w:r>
    </w:p>
    <w:p>
      <w:pPr>
        <w:spacing w:after="0" w:line="180" w:lineRule="exact"/>
        <w:rPr>
          <w:rFonts w:ascii="Times New Roman" w:cs="Times New Roman" w:eastAsia="Times New Roman" w:hAnsi="Times New Roman"/>
          <w:sz w:val="18"/>
          <w:szCs w:val="18"/>
          <w:color w:val="auto"/>
        </w:rPr>
      </w:pPr>
    </w:p>
    <w:p>
      <w:pPr>
        <w:ind w:left="620" w:right="20" w:hanging="369"/>
        <w:spacing w:after="0" w:line="282"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 Bolivia’s loans posted a significant increase of +6.4% QoQ and +17.8% YoY due to expansion in the Retail Banking loan portfolio, which represents 60.9% of the total portfolio as we will explain later in this report.</w:t>
      </w:r>
    </w:p>
    <w:p>
      <w:pPr>
        <w:spacing w:after="0" w:line="161" w:lineRule="exact"/>
        <w:rPr>
          <w:rFonts w:ascii="Times New Roman" w:cs="Times New Roman" w:eastAsia="Times New Roman" w:hAnsi="Times New Roman"/>
          <w:sz w:val="18"/>
          <w:szCs w:val="18"/>
          <w:color w:val="auto"/>
        </w:rPr>
      </w:pPr>
    </w:p>
    <w:p>
      <w:pPr>
        <w:ind w:left="620" w:hanging="369"/>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line with expectation, Mibanco registered a slight decline of -0.7% QoQ.</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Average Daily Balances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DOMESTIC CURRENCY LOANS </w:t>
            </w:r>
            <w:r>
              <w:rPr>
                <w:rFonts w:ascii="Times New Roman" w:cs="Times New Roman" w:eastAsia="Times New Roman" w:hAnsi="Times New Roman"/>
                <w:sz w:val="23"/>
                <w:szCs w:val="23"/>
                <w:b w:val="1"/>
                <w:bCs w:val="1"/>
                <w:color w:val="auto"/>
                <w:vertAlign w:val="superscript"/>
              </w:rPr>
              <w:t>(1)</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2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 xml:space="preserve">FOREIGN CURRENCY LOANS </w:t>
            </w:r>
            <w:r>
              <w:rPr>
                <w:rFonts w:ascii="Times New Roman" w:cs="Times New Roman" w:eastAsia="Times New Roman" w:hAnsi="Times New Roman"/>
                <w:sz w:val="23"/>
                <w:szCs w:val="23"/>
                <w:b w:val="1"/>
                <w:bCs w:val="1"/>
                <w:color w:val="auto"/>
                <w:w w:val="99"/>
                <w:vertAlign w:val="superscript"/>
              </w:rPr>
              <w:t>(1)</w:t>
            </w: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(Expressed in million PEN)</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(Expressed in million USD)</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4Q13</w:t>
            </w: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3Q14</w:t>
            </w: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4Q14</w:t>
            </w:r>
          </w:p>
        </w:tc>
        <w:tc>
          <w:tcPr>
            <w:tcW w:w="2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QoQ</w:t>
            </w:r>
          </w:p>
        </w:tc>
        <w:tc>
          <w:tcPr>
            <w:tcW w:w="2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4Q13</w:t>
            </w: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3Q14</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4Q14</w:t>
            </w: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QoQ</w:t>
            </w:r>
          </w:p>
        </w:tc>
        <w:tc>
          <w:tcPr>
            <w:tcW w:w="2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YoY</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Wholesale Banking</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7,730</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10,307</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12,191</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18.3%</w:t>
            </w:r>
          </w:p>
        </w:tc>
        <w:tc>
          <w:tcPr>
            <w:tcW w:w="9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57.7%</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7,647</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7,878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7,570</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-3.9%</w:t>
            </w:r>
          </w:p>
        </w:tc>
        <w:tc>
          <w:tcPr>
            <w:tcW w:w="8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5,132</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6,750</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8,233</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4,841</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4,918</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4,622</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Middle-Market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2,598</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3,558</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3,958</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2,806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2,960</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2,948</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Retail Banking</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19,646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21,162</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21,834</w:t>
            </w: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3.2%</w:t>
            </w: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11.1%</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2,877</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2,817</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2,880</w:t>
            </w: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2.2%</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SME - Pyme</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6,319</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6,330</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6,383</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SME - Business</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717</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868</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965</w:t>
            </w:r>
          </w:p>
        </w:tc>
        <w:tc>
          <w:tcPr>
            <w:tcW w:w="2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691</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754</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Mortgage</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5,751</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6,779</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7,033</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1,393</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1,328</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1,332</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4,493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4,521</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4,589</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Credit Card</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2,366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2,664</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2,865</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Edyficar</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2,477</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3,033</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3,179</w:t>
            </w: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4.8%</w:t>
            </w: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28.4%</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w:t>
            </w: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-6.6%</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Bolivia</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1,114</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1,146</w:t>
            </w: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2.8%</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Mibanco</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3,622</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3,609</w:t>
            </w: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-0.4%</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192</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179</w:t>
            </w: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-6.7%</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Others </w:t>
            </w:r>
            <w:r>
              <w:rPr>
                <w:rFonts w:ascii="Times New Roman" w:cs="Times New Roman" w:eastAsia="Times New Roman" w:hAnsi="Times New Roman"/>
                <w:sz w:val="23"/>
                <w:szCs w:val="23"/>
                <w:b w:val="1"/>
                <w:bCs w:val="1"/>
                <w:color w:val="auto"/>
                <w:vertAlign w:val="superscript"/>
              </w:rPr>
              <w:t>(2)</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149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142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-12.9%</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-17.0%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113</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Consolidated total loans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30,002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38,267</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40,936</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36.4%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11,649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12,118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11,896</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0</wp:posOffset>
            </wp:positionV>
            <wp:extent cx="56172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ind w:left="220" w:hanging="212"/>
        <w:spacing w:after="0" w:line="231" w:lineRule="auto"/>
        <w:tabs>
          <w:tab w:leader="none" w:pos="22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Average daily balance.</w:t>
      </w:r>
    </w:p>
    <w:p>
      <w:pPr>
        <w:ind w:right="7920" w:firstLine="8"/>
        <w:spacing w:after="0" w:line="239" w:lineRule="auto"/>
        <w:tabs>
          <w:tab w:leader="none" w:pos="204"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Work Out Unit, other banking and BCP Bolivia. Source: BCP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Share in loans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November 2014, BCP consolidated continued to lead the market with a share of 33.4%, which tops its closest competitor’s result by more than 11%.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2014, Retail Banking maintained its leadership and market share in the majority of its business segments with the exception of Credit Cards, where it is ranked second. It is important to note that BCP’s market share in the SME-Pyme segment without Mibanco increased slightly (+0.1%) in September-November 2014. If we include Mibanco’s share, the figure stands at 35.9%.</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Wholesale Banking continued to consolidate its market leadership by increasing its share in Corporate Banking and Middle-Market loans, going from 44.1% and 33.3% in September 2014, respectively, to 44.5% and 34.2% in December 2014, respectively.</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740410</wp:posOffset>
            </wp:positionV>
            <wp:extent cx="5196840" cy="20237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19684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Dollarization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analysis of the evolution of the dollarization of the loan portfolio, based on quarter-end balances, reveals that the share of FC loans in total loans continued to fall both QoQ and YoY, going from 51% in 4Q13 and 47% in 3Q14 to 45.4% in 4Q14.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aforementioned is due to a process to de-dollarize loans, which was associated with an improvement in conditions for LC loans and the devaluation of the Nuevo Sol in 2013 and 2014. The quarterly evolution is primarily attributable to expansion in the LC portfolio, which was led by the Wholesale Banking portfolio and expansion in Corporate Banking loans in particular due to working capital financing.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Dollarization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157480</wp:posOffset>
            </wp:positionV>
            <wp:extent cx="3790315" cy="18954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9031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2 Funding</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cost of funding at BCP remained stable QoQ, in line with (i) an increase in the share of core deposits; and (ii) a higher average balance in BCRP instruments, which offset a QoQ decrease in time deposits. The loan/deposit ratio went from 104% to 106.4% due to an increase in the pace of loan growth (+5.3% QoQ) vs. the pace of growth in deposits (+2.9% QoQ). The aforementioned reflects the trade-off made to increase the ratio and protect the funding cost.</w:t>
      </w: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tbl>
      <w:tblPr>
        <w:tblLayout w:type="fixed"/>
        <w:tblInd w:w="300" w:type="dxa"/>
        <w:tblCellMar>
          <w:top w:w="0" w:type="dxa"/>
          <w:left w:w="0" w:type="dxa"/>
          <w:bottom w:w="0" w:type="dxa"/>
          <w:right w:w="0" w:type="dxa"/>
        </w:tblCellMar>
      </w:tblPr>
      <w:tr>
        <w:trPr>
          <w:trHeight w:val="162"/>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Funding</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PEN (000)</w:t>
            </w: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4Q13</w:t>
            </w: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3Q14</w:t>
            </w: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4Q14</w:t>
            </w:r>
          </w:p>
        </w:tc>
        <w:tc>
          <w:tcPr>
            <w:tcW w:w="16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QoQ</w:t>
            </w:r>
          </w:p>
        </w:tc>
        <w:tc>
          <w:tcPr>
            <w:tcW w:w="92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Non-interest bearing deposits</w:t>
            </w:r>
          </w:p>
        </w:tc>
        <w:tc>
          <w:tcPr>
            <w:tcW w:w="100" w:type="dxa"/>
            <w:vAlign w:val="bottom"/>
            <w:vMerge w:val="continue"/>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17,237,075</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18,154,245</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19,400,289</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6.9%</w:t>
            </w: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Demand deposits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3,559,351</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4,612,505</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4,388,429</w:t>
            </w:r>
          </w:p>
        </w:tc>
        <w:tc>
          <w:tcPr>
            <w:tcW w:w="260" w:type="dxa"/>
            <w:vAlign w:val="bottom"/>
          </w:tcPr>
          <w:p>
            <w:pPr>
              <w:spacing w:after="0"/>
              <w:rPr>
                <w:sz w:val="12"/>
                <w:szCs w:val="12"/>
                <w:color w:val="auto"/>
              </w:rPr>
            </w:pPr>
          </w:p>
        </w:tc>
        <w:tc>
          <w:tcPr>
            <w:tcW w:w="13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3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Saving deposits</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17,764,196</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19,965,805</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21,214,171</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Time deposits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19,329,112</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21,466,868</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20,864,602</w:t>
            </w:r>
          </w:p>
        </w:tc>
        <w:tc>
          <w:tcPr>
            <w:tcW w:w="260" w:type="dxa"/>
            <w:vAlign w:val="bottom"/>
          </w:tcPr>
          <w:p>
            <w:pPr>
              <w:spacing w:after="0"/>
              <w:rPr>
                <w:sz w:val="12"/>
                <w:szCs w:val="12"/>
                <w:color w:val="auto"/>
              </w:rPr>
            </w:pPr>
          </w:p>
        </w:tc>
        <w:tc>
          <w:tcPr>
            <w:tcW w:w="13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3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Severance indemnity deposits (CTS)</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6,682,125</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6,390,609</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6,763,832</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payable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199,723</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230,093</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231,922</w:t>
            </w:r>
          </w:p>
        </w:tc>
        <w:tc>
          <w:tcPr>
            <w:tcW w:w="260" w:type="dxa"/>
            <w:vAlign w:val="bottom"/>
          </w:tcPr>
          <w:p>
            <w:pPr>
              <w:spacing w:after="0"/>
              <w:rPr>
                <w:sz w:val="14"/>
                <w:szCs w:val="14"/>
                <w:color w:val="auto"/>
              </w:rPr>
            </w:pPr>
          </w:p>
        </w:tc>
        <w:tc>
          <w:tcPr>
            <w:tcW w:w="13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0.8%</w:t>
            </w:r>
          </w:p>
        </w:tc>
        <w:tc>
          <w:tcPr>
            <w:tcW w:w="3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customer deposits</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64,771,582</w:t>
            </w:r>
          </w:p>
        </w:tc>
        <w:tc>
          <w:tcPr>
            <w:tcW w:w="2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70,820,125</w:t>
            </w:r>
          </w:p>
        </w:tc>
        <w:tc>
          <w:tcPr>
            <w:tcW w:w="2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72,863,245</w:t>
            </w:r>
          </w:p>
        </w:tc>
        <w:tc>
          <w:tcPr>
            <w:tcW w:w="26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Due to banks and correspondents</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12,095,976</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17,871,327</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17,805,105</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Bonds and subordinated debt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11,564,737</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12,644,297</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12,891,764</w:t>
            </w:r>
          </w:p>
        </w:tc>
        <w:tc>
          <w:tcPr>
            <w:tcW w:w="260" w:type="dxa"/>
            <w:vAlign w:val="bottom"/>
          </w:tcPr>
          <w:p>
            <w:pPr>
              <w:spacing w:after="0"/>
              <w:rPr>
                <w:sz w:val="12"/>
                <w:szCs w:val="12"/>
                <w:color w:val="auto"/>
              </w:rPr>
            </w:pPr>
          </w:p>
        </w:tc>
        <w:tc>
          <w:tcPr>
            <w:tcW w:w="13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3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1,732,776</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2,781,552</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2,483,411</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-10.7%</w:t>
            </w:r>
          </w:p>
        </w:tc>
        <w:tc>
          <w:tcPr>
            <w:tcW w:w="3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funding</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90,165,071</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104,117,301</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106,043,525</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w:t>
            </w:r>
          </w:p>
        </w:tc>
        <w:tc>
          <w:tcPr>
            <w:tcW w:w="3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Cost of funding</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2.23%</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2.05%</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2.05%</w:t>
            </w: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-111125</wp:posOffset>
            </wp:positionV>
            <wp:extent cx="1612265"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12265" cy="10287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Cost</w:t>
      </w:r>
    </w:p>
    <w:p>
      <w:pPr>
        <w:spacing w:after="0" w:line="231"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18"/>
          <w:szCs w:val="18"/>
          <w:color w:val="auto"/>
        </w:rPr>
        <w:t>BCP’s funding cost</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 xml:space="preserve"> was situated at 2.05% in 4Q14, which is the same level that was reported in 3Q14 (2.05%). This result was associated primarily with higher growth in core deposits (Demand, Savings and CTS; +5.4% in 4Q vs. +1.1% in 3Q) and an increase in the average balance of BCRP instruments this quarter, which offer even lower costs than time deposits. The aforementioned offset the QoQ decrease in Time Deposits (-2.8% in 4Q vs. -7.9% in 3Q).</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with regard to the decrease in time deposits, it is important to note that the main QoQ decrease in this type of deposit was apparent in FC deposits, which offer lower rates (approx. -300 bps) in comparison to time deposits in LC.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analysis of the funding structure reveals that the share of deposits in total funding remained relatively stable in 2011-2013, representing between 73% and 75% of total funding. Nevertheless, in 2014 the share of total deposits in total funding fell to 68.7%. The aforementioned is due to an increase in the share of alternative sources of funding in total funding, and in the share of BCRP instruments in particular, which have accompanied growth in LC loans and have helped BCP reduce its funding cost YoY.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Funding – Structure and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5942965" cy="21697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4296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180" w:firstLine="8"/>
        <w:spacing w:after="0" w:line="732" w:lineRule="auto"/>
        <w:tabs>
          <w:tab w:leader="none" w:pos="120" w:val="left"/>
        </w:tabs>
        <w:numPr>
          <w:ilvl w:val="0"/>
          <w:numId w:val="2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Funding cost is calculated using the following formula: *Average of period-beginning and period-ending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-715645</wp:posOffset>
            </wp:positionV>
            <wp:extent cx="141478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14780" cy="14605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1" w:right="2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The total loan/deposit ratio (C/D) was situated at 106.4% in 4Q14, which is +240 bps higher than the level reported in 3Q14 (104%). This was due primarily to an increase in the pace of growth of total loans (+5.3% QoQ) vs. growth in total deposits (+2.9 QoQ). It is important to note that similar to previous quarters, this quarter BCP prioritized protecting the funding cost versus defending the L/D ratio, given that it preferred taking on BCRP instruments to attract necessary volumes rather than increasing the interest rates of time deposits in LC.</w:t>
      </w:r>
    </w:p>
    <w:p>
      <w:pPr>
        <w:spacing w:after="0" w:line="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regard to the L/D ratio per currency, LC’s ratio rose to 114.9%, which is +410 bps higher than the 110.8% posted in 3Q14, while FC’s ratio increased to 97.7%, which represents a growth of +50 bps with regard to the 97.2% % posted in 3Q14. The evolution of the ratio per currency reflects a larger increase in the LC portfolio. It is important to note that these ratios remain at reasonable levels and within the parameters set by the bank’s asset and liability management policy.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figure below shows the evolution of the loan/deposit ratio by currency: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to Deposit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157480</wp:posOffset>
            </wp:positionV>
            <wp:extent cx="4768215" cy="14922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68215"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deposits expanded +2.9% QoQ, which was due primarily to +5.4% QoQ growth in core deposits (Demand, Savings and CTS). Additionally, the increase in savings and demand deposits was associated with Retail Banking and mainly in LC. This was in line with the campaigns conducted in this segment. In terms of CTS deposits increased +5.8% QoQ, which reflected the seasonality that affects the fourth quarter of every year given that CTS payments are made in November.</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Time deposits, which are not considered core elements in BCP’s business, contracted -2.8% QoQ. This was due primarily to maturities and withdrawals in FC by corporate clients. It is important to note that this reduction is lower than that registered last quarter (-7.9%), which was primarily attributable to Mibanco’s deposits. In contrast to the scenario in 3Q14, Mibanco’s time deposits increased in line with the efforts to capture this product.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annual terms, total deposits grew +12.5% YoY, which was due primarily to:</w:t>
      </w:r>
    </w:p>
    <w:p>
      <w:pPr>
        <w:spacing w:after="0" w:line="225" w:lineRule="exact"/>
        <w:rPr>
          <w:sz w:val="20"/>
          <w:szCs w:val="20"/>
          <w:color w:val="auto"/>
        </w:rPr>
      </w:pPr>
    </w:p>
    <w:p>
      <w:pPr>
        <w:ind w:left="760" w:hanging="657"/>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Mibanco and the subsequent consolidation of the deposits that this institution captures, this explains 50% of the annual growth;</w:t>
      </w:r>
    </w:p>
    <w:p>
      <w:pPr>
        <w:spacing w:after="0" w:line="27" w:lineRule="exact"/>
        <w:rPr>
          <w:rFonts w:ascii="Times New Roman" w:cs="Times New Roman" w:eastAsia="Times New Roman" w:hAnsi="Times New Roman"/>
          <w:sz w:val="18"/>
          <w:szCs w:val="18"/>
          <w:color w:val="auto"/>
        </w:rPr>
      </w:pPr>
    </w:p>
    <w:p>
      <w:pPr>
        <w:ind w:left="760" w:hanging="657"/>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savings deposits (19.4% YoY) and demand deposits (+12.5 % YoY) in line with the campaigns conducted during the year in these segments, which generated a 20% increase this year; and</w:t>
      </w:r>
    </w:p>
    <w:p>
      <w:pPr>
        <w:ind w:left="760" w:hanging="657"/>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-6.8% devaluation of the Nuevo Sol, which accounts for the remaining 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sources of funding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other sources of funding (-0.4% QoQ) was due primarily to a drop in Other Liabilities (-10.7% QoQ), which was associated to fewer operations pending to be settled for the purchase of sovereign papers and CDs compared to 3Q14. This decline was also due, to a lesser extent, to a drop in the level of correspondent banks (-0.4% QoQ) that was mainly associated with a decrease in debt levels with BCRP with regard to last quarter, which was due to payment of Repo and Swap transactions at the end of the period.</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The aforementioned was offset by an increase in Bonds and Subordinated Debt (+2%), due to an increase in the variation of the exchange rate applied to the bond base in US Dollars.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annual terms, the evolution of the due to banks and correspondents was also noteworthy (+47.2% YoY). The aforementioned was primarily attributable to the increase in Repo and Swap transactions with BCRP. This was in line with an increase in the supply of this type of transactions throughout the year, whose objective is to inject liquidity and attenuate exchange rate volatility. It is important to note that this type of transaction has helped the bank improve its funding cost, particularly because they are exempt from the implicit cost of legal reserve requirements, which decreases their cost especially in comparison to that of time deposits.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bonds and subordinated debt (+11.5% YoY) was due to a move to reopen the subordinated note 2027 for US$ 200 million (equivalent to PEN 597.2 million) as well as to an increase in the variation of the exchange rate applied to the bond base in US Dollars.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Share in Deposits</w:t>
      </w:r>
    </w:p>
    <w:p>
      <w:pPr>
        <w:spacing w:after="0" w:line="229" w:lineRule="exact"/>
        <w:rPr>
          <w:sz w:val="20"/>
          <w:szCs w:val="20"/>
          <w:color w:val="auto"/>
        </w:rPr>
      </w:pPr>
    </w:p>
    <w:p>
      <w:pPr>
        <w:jc w:val="both"/>
        <w:ind w:right="20"/>
        <w:spacing w:after="0" w:line="211" w:lineRule="auto"/>
        <w:rPr>
          <w:sz w:val="20"/>
          <w:szCs w:val="20"/>
          <w:color w:val="auto"/>
        </w:rPr>
      </w:pPr>
      <w:r>
        <w:rPr>
          <w:rFonts w:ascii="Times New Roman" w:cs="Times New Roman" w:eastAsia="Times New Roman" w:hAnsi="Times New Roman"/>
          <w:sz w:val="18"/>
          <w:szCs w:val="18"/>
          <w:color w:val="auto"/>
        </w:rPr>
        <w:t>At the end of November 2014, BCP held fast to its traditional leadership in deposits with a market share of 34.6%</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In line with this, the bank continued to lead in terms of different deposit types both in LC and FC.</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share by type of deposit and currency</w:t>
      </w:r>
    </w:p>
    <w:p>
      <w:pPr>
        <w:spacing w:after="0" w:line="21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Demand</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Saving</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Time</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Severance</w:t>
            </w:r>
          </w:p>
        </w:tc>
      </w:tr>
      <w:tr>
        <w:trPr>
          <w:trHeight w:val="173"/>
        </w:trPr>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deposit</w:t>
            </w:r>
          </w:p>
        </w:tc>
        <w:tc>
          <w:tcPr>
            <w:tcW w:w="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deposits</w:t>
            </w: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deposits</w:t>
            </w: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deposits</w:t>
            </w:r>
          </w:p>
        </w:tc>
        <w:tc>
          <w:tcPr>
            <w:tcW w:w="2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indemnity</w:t>
            </w:r>
          </w:p>
        </w:tc>
        <w:tc>
          <w:tcPr>
            <w:tcW w:w="120" w:type="dxa"/>
            <w:vAlign w:val="bottom"/>
            <w:tcBorders>
              <w:bottom w:val="single" w:sz="8" w:color="CCEEFF"/>
            </w:tcBorders>
          </w:tcPr>
          <w:p>
            <w:pPr>
              <w:spacing w:after="0"/>
              <w:rPr>
                <w:sz w:val="15"/>
                <w:szCs w:val="15"/>
                <w:color w:val="auto"/>
              </w:rPr>
            </w:pPr>
          </w:p>
        </w:tc>
      </w:tr>
      <w:tr>
        <w:trPr>
          <w:trHeight w:val="142"/>
        </w:trPr>
        <w:tc>
          <w:tcPr>
            <w:tcW w:w="1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LC</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37.7%</w:t>
            </w:r>
          </w:p>
        </w:tc>
        <w:tc>
          <w:tcPr>
            <w:tcW w:w="8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39.0%</w:t>
            </w:r>
          </w:p>
        </w:tc>
        <w:tc>
          <w:tcPr>
            <w:tcW w:w="12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25.9%</w:t>
            </w:r>
          </w:p>
        </w:tc>
        <w:tc>
          <w:tcPr>
            <w:tcW w:w="1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38.2%</w:t>
            </w:r>
          </w:p>
        </w:tc>
      </w:tr>
      <w:tr>
        <w:trPr>
          <w:trHeight w:val="142"/>
        </w:trPr>
        <w:tc>
          <w:tcPr>
            <w:tcW w:w="18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rPr>
              <w:t>FC</w:t>
            </w:r>
          </w:p>
        </w:tc>
        <w:tc>
          <w:tcPr>
            <w:tcW w:w="800" w:type="dxa"/>
            <w:vAlign w:val="bottom"/>
          </w:tcPr>
          <w:p>
            <w:pPr>
              <w:spacing w:after="0"/>
              <w:rPr>
                <w:sz w:val="12"/>
                <w:szCs w:val="12"/>
                <w:color w:val="auto"/>
              </w:rPr>
            </w:pPr>
          </w:p>
        </w:tc>
        <w:tc>
          <w:tcPr>
            <w:tcW w:w="4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25.9%</w:t>
            </w:r>
          </w:p>
        </w:tc>
        <w:tc>
          <w:tcPr>
            <w:tcW w:w="800" w:type="dxa"/>
            <w:vAlign w:val="bottom"/>
          </w:tcPr>
          <w:p>
            <w:pPr>
              <w:spacing w:after="0"/>
              <w:rPr>
                <w:sz w:val="12"/>
                <w:szCs w:val="12"/>
                <w:color w:val="auto"/>
              </w:rPr>
            </w:pPr>
          </w:p>
        </w:tc>
        <w:tc>
          <w:tcPr>
            <w:tcW w:w="4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38.8%</w:t>
            </w:r>
          </w:p>
        </w:tc>
        <w:tc>
          <w:tcPr>
            <w:tcW w:w="1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33.9%</w:t>
            </w:r>
          </w:p>
        </w:tc>
        <w:tc>
          <w:tcPr>
            <w:tcW w:w="1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49.5%</w:t>
            </w:r>
          </w:p>
        </w:tc>
      </w:tr>
    </w:tbl>
    <w:p>
      <w:pPr>
        <w:ind w:left="1960"/>
        <w:spacing w:after="0" w:line="221" w:lineRule="auto"/>
        <w:rPr>
          <w:sz w:val="20"/>
          <w:szCs w:val="20"/>
          <w:color w:val="auto"/>
        </w:rPr>
      </w:pPr>
      <w:r>
        <w:rPr>
          <w:rFonts w:ascii="Times New Roman" w:cs="Times New Roman" w:eastAsia="Times New Roman" w:hAnsi="Times New Roman"/>
          <w:sz w:val="14"/>
          <w:szCs w:val="14"/>
          <w:i w:val="1"/>
          <w:iCs w:val="1"/>
          <w:color w:val="auto"/>
        </w:rPr>
        <w:t>LC: Local Currency.</w:t>
      </w:r>
    </w:p>
    <w:p>
      <w:pPr>
        <w:ind w:left="1960"/>
        <w:spacing w:after="0"/>
        <w:rPr>
          <w:sz w:val="20"/>
          <w:szCs w:val="20"/>
          <w:color w:val="auto"/>
        </w:rPr>
      </w:pPr>
      <w:r>
        <w:rPr>
          <w:rFonts w:ascii="Times New Roman" w:cs="Times New Roman" w:eastAsia="Times New Roman" w:hAnsi="Times New Roman"/>
          <w:sz w:val="14"/>
          <w:szCs w:val="14"/>
          <w:i w:val="1"/>
          <w:iCs w:val="1"/>
          <w:color w:val="auto"/>
        </w:rPr>
        <w:t>FC: Foreign Currency.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 Dollarization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LC’s share of deposits in total deposits increased from 49.7% at the end of 3Q14 to 50.5% at the end of 4Q14 due to a growth in core deposits. The YoY evolution reveals a process of de-dollarization that registers a decrease of -100 bps in the share of FC deposits.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Deposits Dolarization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5385435" cy="20237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8543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hanging="112"/>
        <w:spacing w:after="0"/>
        <w:tabs>
          <w:tab w:leader="none" w:pos="12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Mibanco’s market share.</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Mutual Funds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Mutual funds in Credicorp Capital Fondos Peru grew +6.2% QoQ, mainly due to an increase in the number of clients, which totaled 102,970 (+3.3% QoQ) at the end of 4Q14. The aforementioned is associated with new strategies that give more clients access to higher yield products by lowering the threshold for minimum investment. The aforementioned allowed Credicorp Capital Fondos to maintain market leadership and increase its market share to 42.7% in terms of FuMs.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YoY comparison, FuMs of Credicorp Capital Fondos Peru registered growth of +19.8%. This was due primarily to the fact that at the end of 2013, more volatility was reported in the financial markets in anticipation of a move by the Federal Reserve to cut off its stimulus program; concerns about lower-than-expected results in China; and the evolution of the local market, which prompted affiliates to recover their balances.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4Q14, Credifondo Bolivia completed commercial transactions with strategic clients and took advantage of high liquidity levels in the Bolivian financial system to achieve a significant increase in its portfolio under management (+34.1% QoQ, +25.8% YoY) and in market share.</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Mutual funds</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PEN 000</w:t>
            </w: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4Q13</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3Q14</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4Q14</w:t>
            </w:r>
          </w:p>
        </w:tc>
        <w:tc>
          <w:tcPr>
            <w:tcW w:w="8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QoQ</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Mutual funds in Peru</w:t>
            </w:r>
          </w:p>
        </w:tc>
        <w:tc>
          <w:tcPr>
            <w:tcW w:w="80" w:type="dxa"/>
            <w:vAlign w:val="bottom"/>
            <w:vMerge w:val="continue"/>
            <w:shd w:val="clear" w:color="auto" w:fill="CCEEFF"/>
          </w:tcPr>
          <w:p>
            <w:pPr>
              <w:spacing w:after="0"/>
              <w:rPr>
                <w:sz w:val="12"/>
                <w:szCs w:val="12"/>
                <w:color w:val="auto"/>
              </w:rPr>
            </w:pPr>
          </w:p>
        </w:tc>
        <w:tc>
          <w:tcPr>
            <w:tcW w:w="1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6,682,831</w:t>
            </w: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7,540,063</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8,008,149</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Mutual funds in Bolivia</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199,001</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186,658</w:t>
            </w: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250,354</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34.1%</w:t>
            </w:r>
          </w:p>
        </w:tc>
        <w:tc>
          <w:tcPr>
            <w:tcW w:w="340" w:type="dxa"/>
            <w:vAlign w:val="bottom"/>
          </w:tcPr>
          <w:p>
            <w:pPr>
              <w:spacing w:after="0"/>
              <w:rPr>
                <w:sz w:val="14"/>
                <w:szCs w:val="14"/>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mutual funds</w:t>
            </w:r>
          </w:p>
        </w:tc>
        <w:tc>
          <w:tcPr>
            <w:tcW w:w="1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6,881,832</w:t>
            </w:r>
          </w:p>
        </w:tc>
        <w:tc>
          <w:tcPr>
            <w:tcW w:w="1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7,726,721</w:t>
            </w:r>
          </w:p>
        </w:tc>
        <w:tc>
          <w:tcPr>
            <w:tcW w:w="16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8,258,503</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20.0</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II.3 Net Interest Income (NII)</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BCP Consolidated NII grew +1.5% QoQ and +31.2% YoY due to higher interest income following loan growth. The slight growth posted QoQ in NII in comparison to the larger increase in average interest-earning assets (+2.9% QoQ) led to a drop in NIM, which went from 6.02% at the end of 3Q14 to 5.94% in 4Q14.</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Net interest income</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4"/>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880" w:type="dxa"/>
            <w:vAlign w:val="bottom"/>
            <w:gridSpan w:val="4"/>
          </w:tcPr>
          <w:p>
            <w:pPr>
              <w:jc w:val="right"/>
              <w:ind w:right="677"/>
              <w:spacing w:after="0"/>
              <w:rPr>
                <w:sz w:val="20"/>
                <w:szCs w:val="20"/>
                <w:color w:val="auto"/>
              </w:rPr>
            </w:pPr>
            <w:r>
              <w:rPr>
                <w:rFonts w:ascii="Times New Roman" w:cs="Times New Roman" w:eastAsia="Times New Roman" w:hAnsi="Times New Roman"/>
                <w:sz w:val="13"/>
                <w:szCs w:val="13"/>
                <w:b w:val="1"/>
                <w:bCs w:val="1"/>
                <w:color w:val="auto"/>
              </w:rPr>
              <w:t>Year to date</w:t>
            </w:r>
          </w:p>
        </w:tc>
        <w:tc>
          <w:tcPr>
            <w:tcW w:w="9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55"/>
        </w:trPr>
        <w:tc>
          <w:tcPr>
            <w:tcW w:w="43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PEN (000)</w:t>
            </w:r>
          </w:p>
        </w:tc>
        <w:tc>
          <w:tcPr>
            <w:tcW w:w="900" w:type="dxa"/>
            <w:vAlign w:val="bottom"/>
            <w:gridSpan w:val="2"/>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4Q13</w:t>
            </w:r>
          </w:p>
        </w:tc>
        <w:tc>
          <w:tcPr>
            <w:tcW w:w="960" w:type="dxa"/>
            <w:vAlign w:val="bottom"/>
            <w:gridSpan w:val="2"/>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3Q14</w:t>
            </w:r>
          </w:p>
        </w:tc>
        <w:tc>
          <w:tcPr>
            <w:tcW w:w="960" w:type="dxa"/>
            <w:vAlign w:val="bottom"/>
            <w:gridSpan w:val="2"/>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4Q14</w:t>
            </w:r>
          </w:p>
        </w:tc>
        <w:tc>
          <w:tcPr>
            <w:tcW w:w="740" w:type="dxa"/>
            <w:vAlign w:val="bottom"/>
            <w:gridSpan w:val="2"/>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QoQ</w:t>
            </w:r>
          </w:p>
        </w:tc>
        <w:tc>
          <w:tcPr>
            <w:tcW w:w="740" w:type="dxa"/>
            <w:vAlign w:val="bottom"/>
            <w:gridSpan w:val="2"/>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YoY</w:t>
            </w:r>
          </w:p>
        </w:tc>
        <w:tc>
          <w:tcPr>
            <w:tcW w:w="880" w:type="dxa"/>
            <w:vAlign w:val="bottom"/>
            <w:gridSpan w:val="2"/>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Dec 13</w:t>
            </w:r>
          </w:p>
        </w:tc>
        <w:tc>
          <w:tcPr>
            <w:tcW w:w="1000" w:type="dxa"/>
            <w:vAlign w:val="bottom"/>
            <w:gridSpan w:val="2"/>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Dec 14</w:t>
            </w:r>
          </w:p>
        </w:tc>
        <w:tc>
          <w:tcPr>
            <w:tcW w:w="9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4"/>
              </w:rPr>
              <w:t>Dec 14 / Dec 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Interest income</w:t>
            </w:r>
          </w:p>
        </w:tc>
        <w:tc>
          <w:tcPr>
            <w:tcW w:w="10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1,724,983</w:t>
            </w: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2,110,370</w:t>
            </w:r>
          </w:p>
        </w:tc>
        <w:tc>
          <w:tcPr>
            <w:tcW w:w="240" w:type="dxa"/>
            <w:vAlign w:val="bottom"/>
            <w:vMerge w:val="continue"/>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2,151,241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1.9%</w:t>
            </w:r>
          </w:p>
        </w:tc>
        <w:tc>
          <w:tcPr>
            <w:tcW w:w="740" w:type="dxa"/>
            <w:vAlign w:val="bottom"/>
            <w:gridSpan w:val="2"/>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24.7%</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6,596,712</w:t>
            </w:r>
          </w:p>
        </w:tc>
        <w:tc>
          <w:tcPr>
            <w:tcW w:w="220" w:type="dxa"/>
            <w:vAlign w:val="bottom"/>
            <w:vMerge w:val="continue"/>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8,033,208</w:t>
            </w:r>
          </w:p>
        </w:tc>
        <w:tc>
          <w:tcPr>
            <w:tcW w:w="240" w:type="dxa"/>
            <w:vAlign w:val="bottom"/>
            <w:vMerge w:val="continue"/>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Interest on loans</w:t>
            </w:r>
          </w:p>
        </w:tc>
        <w:tc>
          <w:tcPr>
            <w:tcW w:w="90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1,621,511</w:t>
            </w:r>
          </w:p>
        </w:tc>
        <w:tc>
          <w:tcPr>
            <w:tcW w:w="96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1,992,142</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2,033,071</w:t>
            </w:r>
          </w:p>
        </w:tc>
        <w:tc>
          <w:tcPr>
            <w:tcW w:w="240" w:type="dxa"/>
            <w:vAlign w:val="bottom"/>
          </w:tcPr>
          <w:p>
            <w:pPr>
              <w:spacing w:after="0"/>
              <w:rPr>
                <w:sz w:val="11"/>
                <w:szCs w:val="11"/>
                <w:color w:val="auto"/>
              </w:rPr>
            </w:pPr>
          </w:p>
        </w:tc>
        <w:tc>
          <w:tcPr>
            <w:tcW w:w="7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7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25.4%</w:t>
            </w:r>
          </w:p>
        </w:tc>
        <w:tc>
          <w:tcPr>
            <w:tcW w:w="8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6,075,221</w:t>
            </w:r>
          </w:p>
        </w:tc>
        <w:tc>
          <w:tcPr>
            <w:tcW w:w="100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7,547,978</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Interest and dividends on investments</w:t>
            </w:r>
          </w:p>
        </w:tc>
        <w:tc>
          <w:tcPr>
            <w:tcW w:w="90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18,124</w:t>
            </w:r>
          </w:p>
        </w:tc>
        <w:tc>
          <w:tcPr>
            <w:tcW w:w="100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25,576</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Interest on deposits with banks</w:t>
            </w:r>
          </w:p>
        </w:tc>
        <w:tc>
          <w:tcPr>
            <w:tcW w:w="90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16,729</w:t>
            </w:r>
          </w:p>
        </w:tc>
        <w:tc>
          <w:tcPr>
            <w:tcW w:w="96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13,181</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7,947</w:t>
            </w:r>
          </w:p>
        </w:tc>
        <w:tc>
          <w:tcPr>
            <w:tcW w:w="240" w:type="dxa"/>
            <w:vAlign w:val="bottom"/>
          </w:tcPr>
          <w:p>
            <w:pPr>
              <w:spacing w:after="0"/>
              <w:rPr>
                <w:sz w:val="11"/>
                <w:szCs w:val="11"/>
                <w:color w:val="auto"/>
              </w:rPr>
            </w:pPr>
          </w:p>
        </w:tc>
        <w:tc>
          <w:tcPr>
            <w:tcW w:w="7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-39.7%</w:t>
            </w:r>
          </w:p>
        </w:tc>
        <w:tc>
          <w:tcPr>
            <w:tcW w:w="7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-52.5%</w:t>
            </w:r>
          </w:p>
        </w:tc>
        <w:tc>
          <w:tcPr>
            <w:tcW w:w="8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88,487</w:t>
            </w:r>
          </w:p>
        </w:tc>
        <w:tc>
          <w:tcPr>
            <w:tcW w:w="100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46,538</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Interest on trading securities</w:t>
            </w:r>
          </w:p>
        </w:tc>
        <w:tc>
          <w:tcPr>
            <w:tcW w:w="90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85,212</w:t>
            </w:r>
          </w:p>
        </w:tc>
        <w:tc>
          <w:tcPr>
            <w:tcW w:w="96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101,026</w:t>
            </w:r>
          </w:p>
        </w:tc>
        <w:tc>
          <w:tcPr>
            <w:tcW w:w="96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97,163</w:t>
            </w:r>
          </w:p>
        </w:tc>
        <w:tc>
          <w:tcPr>
            <w:tcW w:w="74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74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14.0%</w:t>
            </w:r>
          </w:p>
        </w:tc>
        <w:tc>
          <w:tcPr>
            <w:tcW w:w="880" w:type="dxa"/>
            <w:vAlign w:val="bottom"/>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408,206</w:t>
            </w:r>
          </w:p>
        </w:tc>
        <w:tc>
          <w:tcPr>
            <w:tcW w:w="100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390,353</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 interest income</w:t>
            </w:r>
          </w:p>
        </w:tc>
        <w:tc>
          <w:tcPr>
            <w:tcW w:w="90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1,531</w:t>
            </w:r>
          </w:p>
        </w:tc>
        <w:tc>
          <w:tcPr>
            <w:tcW w:w="96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4,021</w:t>
            </w:r>
          </w:p>
        </w:tc>
        <w:tc>
          <w:tcPr>
            <w:tcW w:w="96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13,060</w:t>
            </w:r>
          </w:p>
        </w:tc>
        <w:tc>
          <w:tcPr>
            <w:tcW w:w="7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224.8%</w:t>
            </w:r>
          </w:p>
        </w:tc>
        <w:tc>
          <w:tcPr>
            <w:tcW w:w="7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753.0%</w:t>
            </w:r>
          </w:p>
        </w:tc>
        <w:tc>
          <w:tcPr>
            <w:tcW w:w="8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6,674</w:t>
            </w:r>
          </w:p>
        </w:tc>
        <w:tc>
          <w:tcPr>
            <w:tcW w:w="100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22,763</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Interest expense</w:t>
            </w:r>
          </w:p>
        </w:tc>
        <w:tc>
          <w:tcPr>
            <w:tcW w:w="90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496,244</w:t>
            </w:r>
          </w:p>
        </w:tc>
        <w:tc>
          <w:tcPr>
            <w:tcW w:w="96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522,412</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539,436</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3.3%</w:t>
            </w:r>
          </w:p>
        </w:tc>
        <w:tc>
          <w:tcPr>
            <w:tcW w:w="74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8.7%</w:t>
            </w:r>
          </w:p>
        </w:tc>
        <w:tc>
          <w:tcPr>
            <w:tcW w:w="880" w:type="dxa"/>
            <w:vAlign w:val="bottom"/>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2,012,577</w:t>
            </w:r>
          </w:p>
        </w:tc>
        <w:tc>
          <w:tcPr>
            <w:tcW w:w="100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2,034,986</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Interest on deposits</w:t>
            </w:r>
          </w:p>
        </w:tc>
        <w:tc>
          <w:tcPr>
            <w:tcW w:w="90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160,472</w:t>
            </w:r>
          </w:p>
        </w:tc>
        <w:tc>
          <w:tcPr>
            <w:tcW w:w="96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200,523</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202,077</w:t>
            </w:r>
          </w:p>
        </w:tc>
        <w:tc>
          <w:tcPr>
            <w:tcW w:w="240" w:type="dxa"/>
            <w:vAlign w:val="bottom"/>
          </w:tcPr>
          <w:p>
            <w:pPr>
              <w:spacing w:after="0"/>
              <w:rPr>
                <w:sz w:val="11"/>
                <w:szCs w:val="11"/>
                <w:color w:val="auto"/>
              </w:rPr>
            </w:pPr>
          </w:p>
        </w:tc>
        <w:tc>
          <w:tcPr>
            <w:tcW w:w="7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7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25.9%</w:t>
            </w:r>
          </w:p>
        </w:tc>
        <w:tc>
          <w:tcPr>
            <w:tcW w:w="8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730,108</w:t>
            </w:r>
          </w:p>
        </w:tc>
        <w:tc>
          <w:tcPr>
            <w:tcW w:w="100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731,556</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Interest on due to banks and correspondents</w:t>
            </w:r>
          </w:p>
        </w:tc>
        <w:tc>
          <w:tcPr>
            <w:tcW w:w="90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100,594</w:t>
            </w:r>
          </w:p>
        </w:tc>
        <w:tc>
          <w:tcPr>
            <w:tcW w:w="96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135,408</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151,526</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11.9%</w:t>
            </w:r>
          </w:p>
        </w:tc>
        <w:tc>
          <w:tcPr>
            <w:tcW w:w="74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50.6%</w:t>
            </w:r>
          </w:p>
        </w:tc>
        <w:tc>
          <w:tcPr>
            <w:tcW w:w="880" w:type="dxa"/>
            <w:vAlign w:val="bottom"/>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389,189</w:t>
            </w:r>
          </w:p>
        </w:tc>
        <w:tc>
          <w:tcPr>
            <w:tcW w:w="100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516,927</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Interest on bonds and subordinated note</w:t>
            </w:r>
          </w:p>
        </w:tc>
        <w:tc>
          <w:tcPr>
            <w:tcW w:w="90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180,088</w:t>
            </w:r>
          </w:p>
        </w:tc>
        <w:tc>
          <w:tcPr>
            <w:tcW w:w="96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161,380</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159,547</w:t>
            </w:r>
          </w:p>
        </w:tc>
        <w:tc>
          <w:tcPr>
            <w:tcW w:w="240" w:type="dxa"/>
            <w:vAlign w:val="bottom"/>
          </w:tcPr>
          <w:p>
            <w:pPr>
              <w:spacing w:after="0"/>
              <w:rPr>
                <w:sz w:val="11"/>
                <w:szCs w:val="11"/>
                <w:color w:val="auto"/>
              </w:rPr>
            </w:pPr>
          </w:p>
        </w:tc>
        <w:tc>
          <w:tcPr>
            <w:tcW w:w="7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7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-11.4%</w:t>
            </w:r>
          </w:p>
        </w:tc>
        <w:tc>
          <w:tcPr>
            <w:tcW w:w="8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688,691</w:t>
            </w:r>
          </w:p>
        </w:tc>
        <w:tc>
          <w:tcPr>
            <w:tcW w:w="100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640,442</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interest expense</w:t>
            </w:r>
          </w:p>
        </w:tc>
        <w:tc>
          <w:tcPr>
            <w:tcW w:w="90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55,090</w:t>
            </w:r>
          </w:p>
        </w:tc>
        <w:tc>
          <w:tcPr>
            <w:tcW w:w="96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25,101</w:t>
            </w:r>
          </w:p>
        </w:tc>
        <w:tc>
          <w:tcPr>
            <w:tcW w:w="96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26,286</w:t>
            </w:r>
          </w:p>
        </w:tc>
        <w:tc>
          <w:tcPr>
            <w:tcW w:w="7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4.7%</w:t>
            </w:r>
          </w:p>
        </w:tc>
        <w:tc>
          <w:tcPr>
            <w:tcW w:w="7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-52.3%</w:t>
            </w:r>
          </w:p>
        </w:tc>
        <w:tc>
          <w:tcPr>
            <w:tcW w:w="88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204,589</w:t>
            </w:r>
          </w:p>
        </w:tc>
        <w:tc>
          <w:tcPr>
            <w:tcW w:w="100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146,061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interest income</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1,228,739</w:t>
            </w:r>
          </w:p>
        </w:tc>
        <w:tc>
          <w:tcPr>
            <w:tcW w:w="2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1,587,958</w:t>
            </w:r>
          </w:p>
        </w:tc>
        <w:tc>
          <w:tcPr>
            <w:tcW w:w="2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1,611,805</w:t>
            </w:r>
          </w:p>
        </w:tc>
        <w:tc>
          <w:tcPr>
            <w:tcW w:w="24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w:t>
            </w:r>
          </w:p>
        </w:tc>
        <w:tc>
          <w:tcPr>
            <w:tcW w:w="240" w:type="dxa"/>
            <w:vAlign w:val="bottom"/>
            <w:tcBorders>
              <w:bottom w:val="single" w:sz="8" w:color="CCEEFF"/>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31.2</w:t>
            </w:r>
          </w:p>
        </w:tc>
        <w:tc>
          <w:tcPr>
            <w:tcW w:w="240" w:type="dxa"/>
            <w:vAlign w:val="bottom"/>
            <w:tcBorders>
              <w:bottom w:val="single" w:sz="8" w:color="CCEEFF"/>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4,584,135</w:t>
            </w:r>
          </w:p>
        </w:tc>
        <w:tc>
          <w:tcPr>
            <w:tcW w:w="2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5,998,222</w:t>
            </w:r>
          </w:p>
        </w:tc>
        <w:tc>
          <w:tcPr>
            <w:tcW w:w="2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30.8</w:t>
            </w:r>
          </w:p>
        </w:tc>
        <w:tc>
          <w:tcPr>
            <w:tcW w:w="14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Average interest earning assets</w:t>
            </w:r>
          </w:p>
        </w:tc>
        <w:tc>
          <w:tcPr>
            <w:tcW w:w="9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90,780,766</w:t>
            </w:r>
          </w:p>
        </w:tc>
        <w:tc>
          <w:tcPr>
            <w:tcW w:w="9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105,482,495</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108,568,968</w:t>
            </w:r>
          </w:p>
        </w:tc>
        <w:tc>
          <w:tcPr>
            <w:tcW w:w="240" w:type="dxa"/>
            <w:vAlign w:val="bottom"/>
          </w:tcPr>
          <w:p>
            <w:pPr>
              <w:spacing w:after="0"/>
              <w:rPr>
                <w:sz w:val="12"/>
                <w:szCs w:val="12"/>
                <w:color w:val="auto"/>
              </w:rPr>
            </w:pPr>
          </w:p>
        </w:tc>
        <w:tc>
          <w:tcPr>
            <w:tcW w:w="7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2.9%</w:t>
            </w:r>
          </w:p>
        </w:tc>
        <w:tc>
          <w:tcPr>
            <w:tcW w:w="7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19.6%</w:t>
            </w:r>
          </w:p>
        </w:tc>
        <w:tc>
          <w:tcPr>
            <w:tcW w:w="8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87,128,667</w:t>
            </w:r>
          </w:p>
        </w:tc>
        <w:tc>
          <w:tcPr>
            <w:tcW w:w="10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101,140,140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top w:val="single" w:sz="8" w:color="CCEE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Net interest margin *</w:t>
            </w:r>
          </w:p>
        </w:tc>
        <w:tc>
          <w:tcPr>
            <w:tcW w:w="660" w:type="dxa"/>
            <w:vAlign w:val="bottom"/>
            <w:tcBorders>
              <w:top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5.41</w:t>
            </w:r>
          </w:p>
        </w:tc>
        <w:tc>
          <w:tcPr>
            <w:tcW w:w="240" w:type="dxa"/>
            <w:vAlign w:val="bottom"/>
            <w:tcBorders>
              <w:top w:val="single" w:sz="8" w:color="CCEEFF"/>
            </w:tcBorders>
            <w:shd w:val="clear" w:color="auto" w:fill="CCEEFF"/>
          </w:tcPr>
          <w:p>
            <w:pPr>
              <w:jc w:val="right"/>
              <w:ind w:right="37"/>
              <w:spacing w:after="0" w:line="143"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6.02</w:t>
            </w:r>
          </w:p>
        </w:tc>
        <w:tc>
          <w:tcPr>
            <w:tcW w:w="240" w:type="dxa"/>
            <w:vAlign w:val="bottom"/>
            <w:tcBorders>
              <w:top w:val="single" w:sz="8" w:color="CCEEFF"/>
            </w:tcBorders>
            <w:shd w:val="clear" w:color="auto" w:fill="CCEEFF"/>
          </w:tcPr>
          <w:p>
            <w:pPr>
              <w:jc w:val="right"/>
              <w:ind w:right="57"/>
              <w:spacing w:after="0" w:line="143"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720" w:type="dxa"/>
            <w:vAlign w:val="bottom"/>
            <w:tcBorders>
              <w:top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5.94</w:t>
            </w:r>
          </w:p>
        </w:tc>
        <w:tc>
          <w:tcPr>
            <w:tcW w:w="240" w:type="dxa"/>
            <w:vAlign w:val="bottom"/>
            <w:tcBorders>
              <w:top w:val="single" w:sz="8" w:color="CCEEFF"/>
            </w:tcBorders>
            <w:shd w:val="clear" w:color="auto" w:fill="CCEEFF"/>
          </w:tcPr>
          <w:p>
            <w:pPr>
              <w:jc w:val="right"/>
              <w:ind w:right="57"/>
              <w:spacing w:after="0" w:line="143"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5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5.26</w:t>
            </w:r>
          </w:p>
        </w:tc>
        <w:tc>
          <w:tcPr>
            <w:tcW w:w="220" w:type="dxa"/>
            <w:vAlign w:val="bottom"/>
            <w:tcBorders>
              <w:top w:val="single" w:sz="8" w:color="CCEEFF"/>
            </w:tcBorders>
            <w:shd w:val="clear" w:color="auto" w:fill="CCEEFF"/>
          </w:tcPr>
          <w:p>
            <w:pPr>
              <w:jc w:val="right"/>
              <w:ind w:right="37"/>
              <w:spacing w:after="0" w:line="143"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760" w:type="dxa"/>
            <w:vAlign w:val="bottom"/>
            <w:tcBorders>
              <w:top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5.93</w:t>
            </w:r>
          </w:p>
        </w:tc>
        <w:tc>
          <w:tcPr>
            <w:tcW w:w="240" w:type="dxa"/>
            <w:vAlign w:val="bottom"/>
            <w:tcBorders>
              <w:top w:val="single" w:sz="8" w:color="CCEEFF"/>
            </w:tcBorders>
            <w:shd w:val="clear" w:color="auto" w:fill="CCEEFF"/>
          </w:tcPr>
          <w:p>
            <w:pPr>
              <w:jc w:val="right"/>
              <w:ind w:right="57"/>
              <w:spacing w:after="0" w:line="143"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0</wp:posOffset>
            </wp:positionV>
            <wp:extent cx="10375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0</wp:posOffset>
            </wp:positionV>
            <wp:extent cx="16376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i w:val="1"/>
          <w:iCs w:val="1"/>
          <w:color w:val="auto"/>
        </w:rPr>
        <w:t>*Annualized.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increased slightly by +1.9% QoQ, which was due to a slight increase in interest income on loans (+2.1% QoQ) due to the fact that most of the quarterly loan growth was registered at the end of the quarter. As such, the flow in interest income affected, at the most, one month of the period and not the entire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Growth in interest income on loans was primarily due to +4.4% expansion QoQ of total loans measured in average daily balances that was led by dynamism in Wholesale Banking and Retail Banking, as was explained in the section on loans. Mibanco reported a reduction in interest income on loans this quarter, which was in line with expectations and due to a contraction in its loan portfolio.</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6" w:right="239" w:bottom="1440" w:gutter="0" w:footer="0" w:header="0"/>
        </w:sectPr>
      </w:pPr>
    </w:p>
    <w:bookmarkStart w:id="24" w:name="page25"/>
    <w:bookmarkEnd w:id="2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Other interest income posted an increase of +224.8% QoQ that was due primarily to a revaluation of derivative instruments and an appreciation of +3.32% QoQ in the US Dollar with regard to the Nuevo Sol.</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aforementioned was attenuated by i) a decrease in interest income on deposits in other banks (-39.7% QoQ), which was due to a drop in the volume of interbank deposits; and ii) a -3.8% QoQ decrease in interest income from securities and others due to less investment in BCRP Certificates of Deposits and in Bonds.</w:t>
      </w:r>
    </w:p>
    <w:p>
      <w:pPr>
        <w:spacing w:after="0" w:line="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the YoY analysis, BCP’s interest income grew +24.7% YoY due to higher income from loans (+25.4% YoY) due to portfolio growth in different banking segments (including the acquisition of Mibanco).</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accumulated terms, interest income in 2014 grew +30.8% with regard to 2013, mainly due to higher interest income on loans in 2014, which translated into growth of +24.2%. Different derivative instruments reported favorable annual yields, which boosted Other Interest Income by +241.1%.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expenses increased +3.3% QoQ due mainly to interest expenses on due to banks (+11.9% QoQ), which was attributable to a higher average balance this quarter for REPO transactions with BCRP to improve liquidity levels in local currency.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 interest expenses on deposits (+0.8% QoQ), which was in line with the increase in savings deposits (+6.3% QoQ) and in CTS (Compensation for time of service) (+5.8% QoQ), which is a source of low funding cost. As explained in the section on funding, BCP’s share of deposits in local currency increased, going from 49.7% to 50.5%. This generated higher expenses for interest on deposits given that the interest rates in LC are higher.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aforementioned was offset by the -1.1% QoQ decrease in interest expenses for bonds and subordinated notes, which was due to lower expenses related to swaps for covered bonds. As we have said in past quarters, fixed rates were changed to variable rates and variable rates fell in 4Q.</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YoY analysis, BCP’s interest expenses increased +8.7% due to higher expenses for interest on due to banks and correspondents (+50.6% YoY) and on deposits (+25.9% YoY). This increase also includes the effect of including Mibanco’s interest expenses as of 2Q14.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accumulated terms, expenses held at basically the same level as in 2013, growing only +1.1%. The slight increase was due to higher interest expenses on due to banks (+32.8%) mainly due to transactions with BCRP and due to banks with other financial institutions in the country, as well as, the use of derivatives for coverage purposes.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NIM</w:t>
      </w:r>
      <w:r>
        <w:rPr>
          <w:rFonts w:ascii="Times New Roman" w:cs="Times New Roman" w:eastAsia="Times New Roman" w:hAnsi="Times New Roman"/>
          <w:sz w:val="30"/>
          <w:szCs w:val="3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90170</wp:posOffset>
            </wp:positionV>
            <wp:extent cx="4081780" cy="18611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81780"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NIM situated at 5.94% in 4Q14, which represents a decline with regard to the figure reported in 3Q14 (6.02%). The aforementioned was due to slight growth in net interest income (+1.5% QoQ) in comparison to higher growth in average interest-earning assets (+2.9% QoQ). It is important to note that in the second half of the year loans tend to increase due to seasonal campaigns and rebound in the last month of the year. This leads to i) a higher average of interest-earning assets in 4Q14 with regard to other quarters, while ii) interest income on loans is only collected in the last month of the quarter, which means that the real interest income flow of the loan book is not entirely visualized in 4Q14. The aforementioned explains the loan NIM, which dropped from 9.01% in 3Q14 to 8.77% at in 4Q14.</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4Q14, Edyficar and Mibanco were the subsidiaries that continued to post better NIM levels (16.25% and 11.82% at the end of 4Q14, respectively) due to the fact that these businesses offer better margins. Nevertheless, BCP Stand Alone accounted for the largest share of total interest income and average interest-earning assets.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NIM for 2014 improved 67 bps, going from 5.26% (2013) to 5.93% (2014). This was due primarily to higher interest incomes (+21.8%) and minor growth in interest expenses (1.1%). The effect of Mibanco’s assets and income in 2014 is included.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shows the interest margins for each of BCP’s main subsidiaries: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BCP</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xml:space="preserve">Others </w:t>
            </w:r>
            <w:r>
              <w:rPr>
                <w:rFonts w:ascii="Times New Roman" w:cs="Times New Roman" w:eastAsia="Times New Roman" w:hAnsi="Times New Roman"/>
                <w:sz w:val="23"/>
                <w:szCs w:val="23"/>
                <w:b w:val="1"/>
                <w:bCs w:val="1"/>
                <w:color w:val="auto"/>
                <w:vertAlign w:val="superscript"/>
              </w:rPr>
              <w:t>(1)</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NIM Breakdown</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BCP Stand-alone</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Edyficar</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Mibanco</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BCP Bolivia</w:t>
            </w:r>
          </w:p>
        </w:tc>
        <w:tc>
          <w:tcPr>
            <w:tcW w:w="1140" w:type="dxa"/>
            <w:vAlign w:val="bottom"/>
            <w:gridSpan w:val="2"/>
            <w:vMerge w:val="continue"/>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BCP Cons.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NIM for 3Q14</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5.05%</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15.42%</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4.73%</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-0.81%</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6.02%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NIM for 4Q14</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16.25%</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11.82%</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4.54%</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-1.06%</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5.94%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NIM for 2013</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4.63%</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18.97%</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4.66%</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-3.18%</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NIM for 2014</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16.89%</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8.94%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4.49%</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-1.09%</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5.93%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0</wp:posOffset>
            </wp:positionV>
            <wp:extent cx="42881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ind w:left="120"/>
        <w:spacing w:after="0" w:line="231" w:lineRule="auto"/>
        <w:rPr>
          <w:sz w:val="20"/>
          <w:szCs w:val="20"/>
          <w:color w:val="auto"/>
        </w:rPr>
      </w:pPr>
      <w:r>
        <w:rPr>
          <w:rFonts w:ascii="Times New Roman" w:cs="Times New Roman" w:eastAsia="Times New Roman" w:hAnsi="Times New Roman"/>
          <w:sz w:val="14"/>
          <w:szCs w:val="14"/>
          <w:i w:val="1"/>
          <w:iCs w:val="1"/>
          <w:color w:val="auto"/>
        </w:rPr>
        <w:t>NIM: Annualized Net interest income / Average period end and period beginning interest earning assets.</w:t>
      </w:r>
    </w:p>
    <w:p>
      <w:pPr>
        <w:ind w:left="120"/>
        <w:spacing w:after="0"/>
        <w:rPr>
          <w:sz w:val="20"/>
          <w:szCs w:val="20"/>
          <w:color w:val="auto"/>
        </w:rPr>
      </w:pPr>
      <w:r>
        <w:rPr>
          <w:rFonts w:ascii="Times New Roman" w:cs="Times New Roman" w:eastAsia="Times New Roman" w:hAnsi="Times New Roman"/>
          <w:sz w:val="14"/>
          <w:szCs w:val="14"/>
          <w:i w:val="1"/>
          <w:iCs w:val="1"/>
          <w:color w:val="auto"/>
        </w:rPr>
        <w:t>(1) Others include Financiera Solucion and Eliminations for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8097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9" w:lineRule="exact"/>
        <w:rPr>
          <w:sz w:val="20"/>
          <w:szCs w:val="20"/>
          <w:color w:val="auto"/>
        </w:rPr>
      </w:pPr>
    </w:p>
    <w:p>
      <w:pPr>
        <w:ind w:left="120" w:hanging="112"/>
        <w:spacing w:after="0"/>
        <w:tabs>
          <w:tab w:leader="none" w:pos="12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NIM of loans is calculated as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137160</wp:posOffset>
            </wp:positionV>
            <wp:extent cx="21697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earnings assets for the reporting period.</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II.4 Past-Due-Loan and Net Provisions on Loan Losses</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PDL ratio fell 7 bps and situated at 2.59%, which reflects the improvement in the quality of the loan book and its better dynamism. The PDL of 4Q represented the lowest level registered in 2014.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loan losses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PEN (000)</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4Q13</w:t>
            </w:r>
          </w:p>
        </w:tc>
        <w:tc>
          <w:tcPr>
            <w:tcW w:w="2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3Q14</w:t>
            </w:r>
          </w:p>
        </w:tc>
        <w:tc>
          <w:tcPr>
            <w:tcW w:w="2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4Q14</w:t>
            </w:r>
          </w:p>
        </w:tc>
        <w:tc>
          <w:tcPr>
            <w:tcW w:w="2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(390,276)</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(486,522)</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(494,244)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loss recoveries</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40,643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53,179</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56,417</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provisions, for loan losses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(349,633</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(433,343</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(437,827</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Annualized net provisions / Total loans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Provisions / Net Interest Income</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62,352,702</w:t>
            </w:r>
          </w:p>
        </w:tc>
        <w:tc>
          <w:tcPr>
            <w:tcW w:w="2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73,636,007</w:t>
            </w:r>
          </w:p>
        </w:tc>
        <w:tc>
          <w:tcPr>
            <w:tcW w:w="2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77,521,459</w:t>
            </w:r>
          </w:p>
        </w:tc>
        <w:tc>
          <w:tcPr>
            <w:tcW w:w="2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loan losses (RLL)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2,261,892</w:t>
            </w:r>
          </w:p>
        </w:tc>
        <w:tc>
          <w:tcPr>
            <w:tcW w:w="2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3,167,014</w:t>
            </w:r>
          </w:p>
        </w:tc>
        <w:tc>
          <w:tcPr>
            <w:tcW w:w="2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3,307,250</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Charge-Off amount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340,346</w:t>
            </w:r>
          </w:p>
        </w:tc>
        <w:tc>
          <w:tcPr>
            <w:tcW w:w="2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420,715</w:t>
            </w:r>
          </w:p>
        </w:tc>
        <w:tc>
          <w:tcPr>
            <w:tcW w:w="2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413,010</w:t>
            </w:r>
          </w:p>
        </w:tc>
        <w:tc>
          <w:tcPr>
            <w:tcW w:w="2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Past due loans (PDL)</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1,435,704</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1,960,466</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2,007,577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Non-performing loans (NPLs)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1,807,318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2,467,540</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2,655,255</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0"/>
        </w:trPr>
        <w:tc>
          <w:tcPr>
            <w:tcW w:w="4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PDL ratio at 90 days *</w:t>
            </w: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1.53%</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1.89%</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1.84%</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PDL ratio</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2.30%</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2.66%</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2.59%</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NPL ratio</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2.90%</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3.35%</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3.43%</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Coverage of PDLs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157.5%</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161.5%</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164.7%</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Coverage of NPLs</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125.2%</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128.3%</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124.6%</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6380" w:firstLine="8"/>
        <w:spacing w:after="0" w:line="490" w:lineRule="auto"/>
        <w:tabs>
          <w:tab w:leader="none" w:pos="13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From this quarter MiBanco's portfolio is included in the calculation Provisions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provisions for loan losses posted a slight 1.0% increase QoQ to situate at 437.8 million in 4Q14. This was due to an increase in PDLs in some segments, which were adversely affected by i) low economic growth; ii) volatility in the exchange rate in the second half of 2014; and iii) due to an operating error in the PDL ledger, which will be explained later in the report. Nevertheless, it is important to note that expenses for net provisions for loan losses represented 27.2% of NII, which is slightly higher than the 27.3% posted in 3Q14, and 2.3% of total loans, which also falls below the 2.4% registered in 3Q14.</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stock of provisions increased +4.4% QoQ due to a small increase in expenses for net provisions for loan losses (+1.0% QoQ) and the -1.8% QoQ increase in charge-offs after the peak registered in 3Q14 (+11.7% QoQ).</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PDL coverage ratio improved QoQ, going from 161.5% in 3Q14 to 164.7% in 4Q14, which was due to the fact that the increase in the stock of provisions (+4.4% QoQ) outweighed the increase in the PDL portfolio (+2.4% QoQ).</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Nevertheless if we look at the evolution of the NPL coverage ratio, we find that the ratio fell from 128.3% in 3Q14 to 124.6% at the end of 4Q14. This was due to higher growth in the NPL portfolio than in the stock of provisions. The NPL loan portfolio grew in line with on-going refinancing campaigns in the SME-Pyme, Credit Card, and Consumer and Mortgage segments.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Net provisions for loan losses &amp;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157480</wp:posOffset>
            </wp:positionV>
            <wp:extent cx="4888230" cy="1809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88823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Quality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PDL ratio posted a 7bps improvement QoQ and situated at 2.59% in 4Q14. The aforementioned reflects an improvement with regard to 3Q14’s figure (2.66%) and was due to an increase in the pace of loan growth, which went from +3.1% QoQ in 3Q14 to +5.3% QoQ in 4Q14. Nevertheless, in 4Q an operating error was recorded in Wholesale Banking’s PDLs. If we exclude this effect, the PDL ratio situates at 2.53% in 4Q14, which represents an improvement of 13 bps QoQ.</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more than 90-day PDL ratio (without including Mibanco) posted an improvement of 3 bps and situated at 1.67%. This compares favorably with 3Q14’s figure (1.70%), which was due primarily to improvements in the loan issuance process. If we include the effect of Mibanco, the ratio is situated at 1.84% in 4Q14, which represents an improvement of 5bps in comparison to 3Q14 (1.89%). This was due to an improvement in the quality of Mibanco’s portfolio.</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NPL portfolio (including refinanced loans) increased +7.6% QoQ. In this context, the NPL ratio situated at 3.43% in 4Q14, which was in line with a 27.7% QoQ increase in refinanced loans due to on-going refinancing campaigns. It is important to note that the NPL portfolio increased 5.7% across the Peruvian banking system in September-November 2014. As such, BCP’s NPL ratio continues to fall below the average NPL ratio in the Peruvian banking system, which was situated at 3.47% at the end of November 2014 (Data SBS).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The following figure shows the evolution of the PDL ratio by banking division and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093970" cy="38074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93970" cy="380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analysis of the evolution of the PDL ratio by banking segment and product we see that:</w:t>
      </w:r>
    </w:p>
    <w:p>
      <w:pPr>
        <w:spacing w:after="0" w:line="225" w:lineRule="exact"/>
        <w:rPr>
          <w:sz w:val="20"/>
          <w:szCs w:val="20"/>
          <w:color w:val="auto"/>
        </w:rPr>
      </w:pPr>
    </w:p>
    <w:p>
      <w:pPr>
        <w:ind w:left="620" w:hanging="369"/>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Card segment continues to improve its PDL ratio, which was situated at 4.26% in 4Q14. This represented a decline of -78 bps QoQ due to</w:t>
      </w:r>
    </w:p>
    <w:p>
      <w:pPr>
        <w:spacing w:after="0" w:line="27" w:lineRule="exact"/>
        <w:rPr>
          <w:rFonts w:ascii="Times New Roman" w:cs="Times New Roman" w:eastAsia="Times New Roman" w:hAnsi="Times New Roman"/>
          <w:sz w:val="18"/>
          <w:szCs w:val="18"/>
          <w:color w:val="auto"/>
        </w:rPr>
      </w:pPr>
    </w:p>
    <w:p>
      <w:pPr>
        <w:ind w:left="620" w:firstLine="9"/>
        <w:spacing w:after="0" w:line="261" w:lineRule="auto"/>
        <w:tabs>
          <w:tab w:leader="none" w:pos="80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PDLs due to additional income that individuals receive at the end of the year, which was, in some cases, used to reduce debt, particularly past-due debts; and ii) an increase in loans as a reflection of the dynamism that characterizes the last quarter of the year.</w:t>
      </w:r>
    </w:p>
    <w:p>
      <w:pPr>
        <w:spacing w:after="0" w:line="179" w:lineRule="exact"/>
        <w:rPr>
          <w:rFonts w:ascii="Times New Roman" w:cs="Times New Roman" w:eastAsia="Times New Roman" w:hAnsi="Times New Roman"/>
          <w:sz w:val="18"/>
          <w:szCs w:val="18"/>
          <w:color w:val="auto"/>
        </w:rPr>
      </w:pPr>
    </w:p>
    <w:p>
      <w:pPr>
        <w:ind w:left="620" w:hanging="369"/>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PDL ratio in Consumer loans also improved, going from 2.38% to 2.35% due to refinancing packages and an improvement in portfolio quality.</w:t>
      </w:r>
    </w:p>
    <w:p>
      <w:pPr>
        <w:spacing w:after="0" w:line="225" w:lineRule="exact"/>
        <w:rPr>
          <w:rFonts w:ascii="Times New Roman" w:cs="Times New Roman" w:eastAsia="Times New Roman" w:hAnsi="Times New Roman"/>
          <w:sz w:val="18"/>
          <w:szCs w:val="18"/>
          <w:color w:val="auto"/>
        </w:rPr>
      </w:pPr>
    </w:p>
    <w:p>
      <w:pPr>
        <w:jc w:val="both"/>
        <w:ind w:left="620" w:hanging="369"/>
        <w:spacing w:after="0" w:line="266"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SME-Pyme portfolio reported an increase in its PDL ratio, which was situated at 10.61% in 4Q14 in comparison to the 10.57% in 3Q14. The increase was due primarily to a decrease in the loan portfolio due to seasonal amortization/payment of loans, which was in line with the campaigns held at year-end. Low economic growth in 4Q14 also affected the PDL ratio in this segment.</w:t>
      </w:r>
    </w:p>
    <w:p>
      <w:pPr>
        <w:spacing w:after="0" w:line="176" w:lineRule="exact"/>
        <w:rPr>
          <w:rFonts w:ascii="Times New Roman" w:cs="Times New Roman" w:eastAsia="Times New Roman" w:hAnsi="Times New Roman"/>
          <w:sz w:val="18"/>
          <w:szCs w:val="18"/>
          <w:color w:val="auto"/>
        </w:rPr>
      </w:pPr>
    </w:p>
    <w:p>
      <w:pPr>
        <w:ind w:left="620" w:hanging="369"/>
        <w:spacing w:after="0" w:line="282"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portfolio registered an increase in its PDL ratio, which was situated at 1.73% in 4QQ14 in comparison to 1.61% in 3Q14. This was in line with the maturity of vintages related to loans for Mivivienda.</w:t>
      </w:r>
    </w:p>
    <w:p>
      <w:pPr>
        <w:spacing w:after="0" w:line="161" w:lineRule="exact"/>
        <w:rPr>
          <w:rFonts w:ascii="Times New Roman" w:cs="Times New Roman" w:eastAsia="Times New Roman" w:hAnsi="Times New Roman"/>
          <w:sz w:val="18"/>
          <w:szCs w:val="18"/>
          <w:color w:val="auto"/>
        </w:rPr>
      </w:pPr>
    </w:p>
    <w:p>
      <w:pPr>
        <w:ind w:left="620" w:hanging="369"/>
        <w:spacing w:after="0" w:line="282"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in the SME-Business segment registered a slight 4.38% increase in its PDL ratio at the end of 4Q14. This segment, like the SME segment, was adversely affected by low economic growth.</w:t>
      </w:r>
    </w:p>
    <w:p>
      <w:pPr>
        <w:spacing w:after="0" w:line="161" w:lineRule="exact"/>
        <w:rPr>
          <w:rFonts w:ascii="Times New Roman" w:cs="Times New Roman" w:eastAsia="Times New Roman" w:hAnsi="Times New Roman"/>
          <w:sz w:val="18"/>
          <w:szCs w:val="18"/>
          <w:color w:val="auto"/>
        </w:rPr>
      </w:pPr>
    </w:p>
    <w:p>
      <w:pPr>
        <w:jc w:val="both"/>
        <w:ind w:left="620" w:hanging="369"/>
        <w:spacing w:after="0" w:line="266"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PDL ratio in Wholesale Banking remained at 0.32%, which was the lowest level reported this year. Nevertheless, in 4Q14, a loan was mistakenly entered in the PDL loan ledger. This isolated case, which was equivalent to US$ 15.7 million (PEN 47.1 million), was regularized at the beginning of January 2015. If this loan had not been erroneously included in the PDL loan portfolio, the PDL ratio would have been situated at 0.19%.</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9" w:name="page30"/>
    <w:bookmarkEnd w:id="29"/>
    <w:p>
      <w:pPr>
        <w:jc w:val="both"/>
        <w:ind w:left="620" w:hanging="369"/>
        <w:spacing w:after="0" w:line="266"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Mibanco posted a favorable reduction in its PDL ratio, which fell -3 bps to situate at 6.91% in 4Q14 (in line with the decline in the PDL loan portfolio). It is important to note that this ratio dropped despite a slight contraction in total loans, which was due primarily to efforts to reorganize this portfolio.</w:t>
      </w:r>
    </w:p>
    <w:p>
      <w:pPr>
        <w:spacing w:after="0" w:line="176" w:lineRule="exact"/>
        <w:rPr>
          <w:rFonts w:ascii="Times New Roman" w:cs="Times New Roman" w:eastAsia="Times New Roman" w:hAnsi="Times New Roman"/>
          <w:sz w:val="18"/>
          <w:szCs w:val="18"/>
          <w:color w:val="auto"/>
        </w:rPr>
      </w:pPr>
    </w:p>
    <w:p>
      <w:pPr>
        <w:jc w:val="both"/>
        <w:ind w:left="620" w:hanging="369"/>
        <w:spacing w:after="0" w:line="266"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Edyficar (excluding Mibanco) posted a PDL ratio of 4.03%, which topped the 4.02% posted in 3Q14. This ratio is still below the historical level observed in this business (approximately 4.1% on average), which was in line with the positive evolution of the business model (risk-adjusted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II.5 Non-financial income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Non-financial income increased +4.5% QoQ and +14% YoY due to higher fee income, higher gains on sales of securities and higher gains for foreign exchange transactions. In 2014, non-financial income grew +16.3% due to significant growth in fee income, gains on foreign exchange transactions and gains on sales of securities, which were mainly associated with the acquisition of Mibanco and volatility in the exchange rate.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 financial income</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2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10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3"/>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PEN (000)</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4Q13</w:t>
            </w: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3Q14</w:t>
            </w:r>
          </w:p>
        </w:tc>
        <w:tc>
          <w:tcPr>
            <w:tcW w:w="2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4Q14</w:t>
            </w: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QoQ</w:t>
            </w: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YoY</w:t>
            </w:r>
          </w:p>
        </w:tc>
        <w:tc>
          <w:tcPr>
            <w:tcW w:w="2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 13</w:t>
            </w: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 14</w:t>
            </w:r>
          </w:p>
        </w:tc>
        <w:tc>
          <w:tcPr>
            <w:tcW w:w="2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 14 / Dec 13</w:t>
            </w:r>
          </w:p>
        </w:tc>
        <w:tc>
          <w:tcPr>
            <w:tcW w:w="140" w:type="dxa"/>
            <w:vAlign w:val="bottom"/>
            <w:tcBorders>
              <w:bottom w:val="single" w:sz="8" w:color="CCEEFF"/>
            </w:tcBorders>
          </w:tcPr>
          <w:p>
            <w:pPr>
              <w:spacing w:after="0"/>
              <w:rPr>
                <w:sz w:val="15"/>
                <w:szCs w:val="15"/>
                <w:color w:val="auto"/>
              </w:rPr>
            </w:pPr>
          </w:p>
        </w:tc>
      </w:tr>
      <w:tr>
        <w:trPr>
          <w:trHeight w:val="142"/>
        </w:trPr>
        <w:tc>
          <w:tcPr>
            <w:tcW w:w="3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Fee income, net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476,740</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484,541</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523,265</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8.0%</w:t>
            </w:r>
          </w:p>
        </w:tc>
        <w:tc>
          <w:tcPr>
            <w:tcW w:w="900" w:type="dxa"/>
            <w:vAlign w:val="bottom"/>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9.8%</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1,766,542</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1,957,799</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w:t>
            </w:r>
          </w:p>
        </w:tc>
      </w:tr>
      <w:tr>
        <w:trPr>
          <w:trHeight w:val="149"/>
        </w:trPr>
        <w:tc>
          <w:tcPr>
            <w:tcW w:w="4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Gain on foreign exchange transactions, net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124,053</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156,641</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173,979</w:t>
            </w:r>
          </w:p>
        </w:tc>
        <w:tc>
          <w:tcPr>
            <w:tcW w:w="9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9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519,013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593,154</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 sales of securities, net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7,537</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35,055</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5,656</w:t>
            </w:r>
          </w:p>
        </w:tc>
        <w:tc>
          <w:tcPr>
            <w:tcW w:w="9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-83.9%</w:t>
            </w:r>
          </w:p>
        </w:tc>
        <w:tc>
          <w:tcPr>
            <w:tcW w:w="9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(67,663)</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56,781</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183.9%</w:t>
            </w:r>
          </w:p>
        </w:tc>
      </w:tr>
      <w:tr>
        <w:trPr>
          <w:trHeight w:val="16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22,352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12,581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16,914</w:t>
            </w:r>
          </w:p>
        </w:tc>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34.4%</w:t>
            </w:r>
          </w:p>
        </w:tc>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-24.3%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69,965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54,137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w:t>
            </w:r>
          </w:p>
        </w:tc>
      </w:tr>
      <w:tr>
        <w:trPr>
          <w:trHeight w:val="142"/>
        </w:trPr>
        <w:tc>
          <w:tcPr>
            <w:tcW w:w="40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 financial income</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630,682</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688,818</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719,814</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22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w:t>
            </w:r>
          </w:p>
        </w:tc>
        <w:tc>
          <w:tcPr>
            <w:tcW w:w="22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2,287,857</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2,661,871</w:t>
            </w: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16.3</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Fee income, which is considered core income for the business, reported solid growth of +8.0% QoQ. This expansion was due to an increase in the payments and collections line (+14.3% QoQ), followed by personal loans (+36.0% QoQ) due to higher transaction volumes. It is important to note the increase in fee income generated in miscellaneous accounts by debit cards, current accounts and savings accounts (+3% QoQ), which was in line with the seasonality that characterizes the last quarter of the year. The aforementioned offset lower income from credit card commissions (-3.8% QoQ), which is in turn result of clients slowly migrating to on-line account statements.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annual terms, fee income increased +9.8% YoY. This was due primarily to higher fee incomefrom commercial loans, and due to the fact that in 3Q13, a deferral of US$ 4 million was recorded for fee income in line to IFRS rules regarding commission deferral based on the life of loans. It is important to note the YoY increase in the payments and collections lines (+18.1% YoY), which was due to higher transaction volumes.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annual accumulated terms, growth of +7.5% in income from commissions for banking services is due primarily to the evolution of fees for collections and payment services in the wholesale banking segment (+18.7%) and fees generated by debit card, current accounts and savings accounts (+8.6%), which offset the effect of lower income from credit cards (-3.9%), due to an increase in the number of statements that are sent electronically.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gains on foreign exchange transactions increased +11.1% this quarter, which was attributable to an increase in this type of transaction due to exchange rate volatility in the second half of 2014, when the US Dollar appreciated +3.4% in 3Q14 and +3.3% in 4Q14. The YoY analysis indicates that FX transactions increased +40.2%, which was due to the fact that the volatility reported in 4Q14 was higher than that seen during the same period last year, when the US Dollar appreciated 0.5%, and also reflects the inclusion of Mibanco’s gains. In annual accumulated terms, the line shows an increase of +14.3% given that the volume of these transactions increased considerably this year.</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gains on sales of securities fell -83.9% QoQ since the previous Q included strong gains on the sale of Sovereign Bonds. This quarter, smaller gains were reported due to variations in the value of Corporate Bonds. If we analyze the YoY evolution, we see a -25% reduction, which was mainly attributable to the aforementioned sale of bonds and less investment in BCRP Certificates of Deposit. In accumulated annual terms, this line increased +183.9% given that in 2013, the results registered a loss due to the evolution of Latin American sovereign bonds in 3Q13 (increase in average rates and lower prices). In this context, the position of BCP’s sovereign bonds (Peru, Colombia and Brazil) posted a loss due to sales and fluctuations in the value of these securities.</w:t>
      </w: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0" w:name="page31"/>
    <w:bookmarkEnd w:id="3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The Other Income line increased 34.4% QoQ. This was primarily due to a real estate sale of Mibanco for PEN 3MM. In the YoY analysis, it is important to note that at the end of 2013, extraordinary income was reported for PEN 12.3 MM due to a reversal of provisions for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provides details on the main component of non-financial income, fee income:</w:t>
      </w:r>
    </w:p>
    <w:p>
      <w:pPr>
        <w:spacing w:after="0" w:line="22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Fee Income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Change %</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4"/>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Year to date</w:t>
            </w:r>
          </w:p>
        </w:tc>
        <w:tc>
          <w:tcPr>
            <w:tcW w:w="100" w:type="dxa"/>
            <w:vAlign w:val="bottom"/>
          </w:tcPr>
          <w:p>
            <w:pPr>
              <w:spacing w:after="0"/>
              <w:rPr>
                <w:sz w:val="12"/>
                <w:szCs w:val="12"/>
                <w:color w:val="auto"/>
              </w:rPr>
            </w:pPr>
          </w:p>
        </w:tc>
        <w:tc>
          <w:tcPr>
            <w:tcW w:w="9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Change %</w:t>
            </w:r>
          </w:p>
        </w:tc>
        <w:tc>
          <w:tcPr>
            <w:tcW w:w="0" w:type="dxa"/>
            <w:vAlign w:val="bottom"/>
          </w:tcPr>
          <w:p>
            <w:pPr>
              <w:spacing w:after="0"/>
              <w:rPr>
                <w:sz w:val="1"/>
                <w:szCs w:val="1"/>
                <w:color w:val="auto"/>
              </w:rPr>
            </w:pPr>
          </w:p>
        </w:tc>
      </w:tr>
      <w:tr>
        <w:trPr>
          <w:trHeight w:val="155"/>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PEN (000)</w:t>
            </w:r>
          </w:p>
        </w:tc>
        <w:tc>
          <w:tcPr>
            <w:tcW w:w="100" w:type="dxa"/>
            <w:vAlign w:val="bottom"/>
          </w:tcPr>
          <w:p>
            <w:pPr>
              <w:spacing w:after="0"/>
              <w:rPr>
                <w:sz w:val="13"/>
                <w:szCs w:val="13"/>
                <w:color w:val="auto"/>
              </w:rPr>
            </w:pP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4Q13</w:t>
            </w:r>
          </w:p>
        </w:tc>
        <w:tc>
          <w:tcPr>
            <w:tcW w:w="220" w:type="dxa"/>
            <w:vAlign w:val="bottom"/>
          </w:tcPr>
          <w:p>
            <w:pPr>
              <w:spacing w:after="0"/>
              <w:rPr>
                <w:sz w:val="13"/>
                <w:szCs w:val="13"/>
                <w:color w:val="auto"/>
              </w:rPr>
            </w:pP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3Q14</w:t>
            </w:r>
          </w:p>
        </w:tc>
        <w:tc>
          <w:tcPr>
            <w:tcW w:w="200" w:type="dxa"/>
            <w:vAlign w:val="bottom"/>
          </w:tcPr>
          <w:p>
            <w:pPr>
              <w:spacing w:after="0"/>
              <w:rPr>
                <w:sz w:val="13"/>
                <w:szCs w:val="13"/>
                <w:color w:val="auto"/>
              </w:rPr>
            </w:pPr>
          </w:p>
        </w:tc>
        <w:tc>
          <w:tcPr>
            <w:tcW w:w="70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4Q14</w:t>
            </w:r>
          </w:p>
        </w:tc>
        <w:tc>
          <w:tcPr>
            <w:tcW w:w="20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w w:val="89"/>
              </w:rPr>
              <w:t>QoQ</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YoY</w:t>
            </w:r>
          </w:p>
        </w:tc>
        <w:tc>
          <w:tcPr>
            <w:tcW w:w="220" w:type="dxa"/>
            <w:vAlign w:val="bottom"/>
          </w:tcPr>
          <w:p>
            <w:pPr>
              <w:spacing w:after="0"/>
              <w:rPr>
                <w:sz w:val="13"/>
                <w:szCs w:val="13"/>
                <w:color w:val="auto"/>
              </w:rPr>
            </w:pPr>
          </w:p>
        </w:tc>
        <w:tc>
          <w:tcPr>
            <w:tcW w:w="7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Dec 13</w:t>
            </w:r>
          </w:p>
        </w:tc>
        <w:tc>
          <w:tcPr>
            <w:tcW w:w="200" w:type="dxa"/>
            <w:vAlign w:val="bottom"/>
          </w:tcPr>
          <w:p>
            <w:pPr>
              <w:spacing w:after="0"/>
              <w:rPr>
                <w:sz w:val="13"/>
                <w:szCs w:val="13"/>
                <w:color w:val="auto"/>
              </w:rPr>
            </w:pP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Dec 14</w:t>
            </w:r>
          </w:p>
        </w:tc>
        <w:tc>
          <w:tcPr>
            <w:tcW w:w="100" w:type="dxa"/>
            <w:vAlign w:val="bottom"/>
          </w:tcPr>
          <w:p>
            <w:pPr>
              <w:spacing w:after="0"/>
              <w:rPr>
                <w:sz w:val="13"/>
                <w:szCs w:val="13"/>
                <w:color w:val="auto"/>
              </w:rPr>
            </w:pPr>
          </w:p>
        </w:tc>
        <w:tc>
          <w:tcPr>
            <w:tcW w:w="104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Dec 14 / Dec 13</w:t>
            </w:r>
          </w:p>
        </w:tc>
        <w:tc>
          <w:tcPr>
            <w:tcW w:w="0" w:type="dxa"/>
            <w:vAlign w:val="bottom"/>
          </w:tcPr>
          <w:p>
            <w:pPr>
              <w:spacing w:after="0"/>
              <w:rPr>
                <w:sz w:val="1"/>
                <w:szCs w:val="1"/>
                <w:color w:val="auto"/>
              </w:rPr>
            </w:pPr>
          </w:p>
        </w:tc>
      </w:tr>
      <w:tr>
        <w:trPr>
          <w:trHeight w:val="20"/>
        </w:trPr>
        <w:tc>
          <w:tcPr>
            <w:tcW w:w="2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Miscellaneous Accounts (1)</w:t>
            </w:r>
          </w:p>
        </w:tc>
        <w:tc>
          <w:tcPr>
            <w:tcW w:w="100" w:type="dxa"/>
            <w:vAlign w:val="bottom"/>
            <w:vMerge w:val="continue"/>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137,930</w:t>
            </w:r>
          </w:p>
        </w:tc>
        <w:tc>
          <w:tcPr>
            <w:tcW w:w="220" w:type="dxa"/>
            <w:vAlign w:val="bottom"/>
            <w:vMerge w:val="continue"/>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141,313</w:t>
            </w:r>
          </w:p>
        </w:tc>
        <w:tc>
          <w:tcPr>
            <w:tcW w:w="200" w:type="dxa"/>
            <w:vAlign w:val="bottom"/>
            <w:vMerge w:val="continue"/>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145,561</w:t>
            </w:r>
          </w:p>
        </w:tc>
        <w:tc>
          <w:tcPr>
            <w:tcW w:w="200" w:type="dxa"/>
            <w:vAlign w:val="bottom"/>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3.0%</w:t>
            </w:r>
          </w:p>
        </w:tc>
        <w:tc>
          <w:tcPr>
            <w:tcW w:w="2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5.5%</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511,721</w:t>
            </w:r>
          </w:p>
        </w:tc>
        <w:tc>
          <w:tcPr>
            <w:tcW w:w="200" w:type="dxa"/>
            <w:vAlign w:val="bottom"/>
            <w:vMerge w:val="continue"/>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555,567</w:t>
            </w:r>
          </w:p>
        </w:tc>
        <w:tc>
          <w:tcPr>
            <w:tcW w:w="10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Off-balance sheet</w:t>
            </w: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32,523</w:t>
            </w:r>
          </w:p>
        </w:tc>
        <w:tc>
          <w:tcPr>
            <w:tcW w:w="9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35,433</w:t>
            </w:r>
          </w:p>
        </w:tc>
        <w:tc>
          <w:tcPr>
            <w:tcW w:w="9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34,503</w:t>
            </w:r>
          </w:p>
        </w:tc>
        <w:tc>
          <w:tcPr>
            <w:tcW w:w="480" w:type="dxa"/>
            <w:vAlign w:val="bottom"/>
          </w:tcPr>
          <w:p>
            <w:pPr>
              <w:spacing w:after="0"/>
              <w:rPr>
                <w:sz w:val="11"/>
                <w:szCs w:val="11"/>
                <w:color w:val="auto"/>
              </w:rPr>
            </w:pPr>
          </w:p>
        </w:tc>
        <w:tc>
          <w:tcPr>
            <w:tcW w:w="4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200" w:type="dxa"/>
            <w:vAlign w:val="bottom"/>
          </w:tcPr>
          <w:p>
            <w:pPr>
              <w:spacing w:after="0"/>
              <w:rPr>
                <w:sz w:val="11"/>
                <w:szCs w:val="11"/>
                <w:color w:val="auto"/>
              </w:rPr>
            </w:pPr>
          </w:p>
        </w:tc>
        <w:tc>
          <w:tcPr>
            <w:tcW w:w="7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w:t>
            </w: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123,912</w:t>
            </w: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147,060</w:t>
            </w:r>
          </w:p>
        </w:tc>
        <w:tc>
          <w:tcPr>
            <w:tcW w:w="10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Payments and Collections</w:t>
            </w: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75,814</w:t>
            </w:r>
          </w:p>
        </w:tc>
        <w:tc>
          <w:tcPr>
            <w:tcW w:w="9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78,315</w:t>
            </w:r>
          </w:p>
        </w:tc>
        <w:tc>
          <w:tcPr>
            <w:tcW w:w="9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89,500</w:t>
            </w:r>
          </w:p>
        </w:tc>
        <w:tc>
          <w:tcPr>
            <w:tcW w:w="4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5"/>
              </w:rPr>
              <w:t>14.3%</w:t>
            </w:r>
          </w:p>
        </w:tc>
        <w:tc>
          <w:tcPr>
            <w:tcW w:w="2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18.1%</w:t>
            </w:r>
          </w:p>
        </w:tc>
        <w:tc>
          <w:tcPr>
            <w:tcW w:w="9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274,196</w:t>
            </w: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313,973</w:t>
            </w:r>
          </w:p>
        </w:tc>
        <w:tc>
          <w:tcPr>
            <w:tcW w:w="10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Drafts and Transfers</w:t>
            </w: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26,208</w:t>
            </w:r>
          </w:p>
        </w:tc>
        <w:tc>
          <w:tcPr>
            <w:tcW w:w="9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28,573</w:t>
            </w:r>
          </w:p>
        </w:tc>
        <w:tc>
          <w:tcPr>
            <w:tcW w:w="9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30,742</w:t>
            </w:r>
          </w:p>
        </w:tc>
        <w:tc>
          <w:tcPr>
            <w:tcW w:w="480" w:type="dxa"/>
            <w:vAlign w:val="bottom"/>
          </w:tcPr>
          <w:p>
            <w:pPr>
              <w:spacing w:after="0"/>
              <w:rPr>
                <w:sz w:val="11"/>
                <w:szCs w:val="11"/>
                <w:color w:val="auto"/>
              </w:rPr>
            </w:pPr>
          </w:p>
        </w:tc>
        <w:tc>
          <w:tcPr>
            <w:tcW w:w="4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7.6%</w:t>
            </w:r>
          </w:p>
        </w:tc>
        <w:tc>
          <w:tcPr>
            <w:tcW w:w="200" w:type="dxa"/>
            <w:vAlign w:val="bottom"/>
          </w:tcPr>
          <w:p>
            <w:pPr>
              <w:spacing w:after="0"/>
              <w:rPr>
                <w:sz w:val="11"/>
                <w:szCs w:val="11"/>
                <w:color w:val="auto"/>
              </w:rPr>
            </w:pPr>
          </w:p>
        </w:tc>
        <w:tc>
          <w:tcPr>
            <w:tcW w:w="7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101,848</w:t>
            </w: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111,750</w:t>
            </w:r>
          </w:p>
        </w:tc>
        <w:tc>
          <w:tcPr>
            <w:tcW w:w="10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Credit Cards</w:t>
            </w: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71,490</w:t>
            </w:r>
          </w:p>
        </w:tc>
        <w:tc>
          <w:tcPr>
            <w:tcW w:w="9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62,917</w:t>
            </w:r>
          </w:p>
        </w:tc>
        <w:tc>
          <w:tcPr>
            <w:tcW w:w="9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60,528</w:t>
            </w:r>
          </w:p>
        </w:tc>
        <w:tc>
          <w:tcPr>
            <w:tcW w:w="4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2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-15.3%</w:t>
            </w:r>
          </w:p>
        </w:tc>
        <w:tc>
          <w:tcPr>
            <w:tcW w:w="9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258,557</w:t>
            </w: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248,459</w:t>
            </w:r>
          </w:p>
        </w:tc>
        <w:tc>
          <w:tcPr>
            <w:tcW w:w="10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Personal loans (2)</w:t>
            </w: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20,340</w:t>
            </w:r>
          </w:p>
        </w:tc>
        <w:tc>
          <w:tcPr>
            <w:tcW w:w="9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17,576</w:t>
            </w:r>
          </w:p>
        </w:tc>
        <w:tc>
          <w:tcPr>
            <w:tcW w:w="9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23,912</w:t>
            </w:r>
          </w:p>
        </w:tc>
        <w:tc>
          <w:tcPr>
            <w:tcW w:w="480" w:type="dxa"/>
            <w:vAlign w:val="bottom"/>
          </w:tcPr>
          <w:p>
            <w:pPr>
              <w:spacing w:after="0"/>
              <w:rPr>
                <w:sz w:val="11"/>
                <w:szCs w:val="11"/>
                <w:color w:val="auto"/>
              </w:rPr>
            </w:pPr>
          </w:p>
        </w:tc>
        <w:tc>
          <w:tcPr>
            <w:tcW w:w="4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5"/>
              </w:rPr>
              <w:t>36.0%</w:t>
            </w:r>
          </w:p>
        </w:tc>
        <w:tc>
          <w:tcPr>
            <w:tcW w:w="200" w:type="dxa"/>
            <w:vAlign w:val="bottom"/>
          </w:tcPr>
          <w:p>
            <w:pPr>
              <w:spacing w:after="0"/>
              <w:rPr>
                <w:sz w:val="11"/>
                <w:szCs w:val="11"/>
                <w:color w:val="auto"/>
              </w:rPr>
            </w:pPr>
          </w:p>
        </w:tc>
        <w:tc>
          <w:tcPr>
            <w:tcW w:w="7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69,505</w:t>
            </w: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79,595</w:t>
            </w:r>
          </w:p>
        </w:tc>
        <w:tc>
          <w:tcPr>
            <w:tcW w:w="10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SME loans (2)</w:t>
            </w: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17,624</w:t>
            </w:r>
          </w:p>
        </w:tc>
        <w:tc>
          <w:tcPr>
            <w:tcW w:w="9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17,638</w:t>
            </w:r>
          </w:p>
        </w:tc>
        <w:tc>
          <w:tcPr>
            <w:tcW w:w="9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19,786</w:t>
            </w:r>
          </w:p>
        </w:tc>
        <w:tc>
          <w:tcPr>
            <w:tcW w:w="4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5"/>
              </w:rPr>
              <w:t>12.2%</w:t>
            </w:r>
          </w:p>
        </w:tc>
        <w:tc>
          <w:tcPr>
            <w:tcW w:w="2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12.3%</w:t>
            </w:r>
          </w:p>
        </w:tc>
        <w:tc>
          <w:tcPr>
            <w:tcW w:w="9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60,723</w:t>
            </w: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71,550</w:t>
            </w:r>
          </w:p>
        </w:tc>
        <w:tc>
          <w:tcPr>
            <w:tcW w:w="10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Insurance (2)</w:t>
            </w: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13,522</w:t>
            </w:r>
          </w:p>
        </w:tc>
        <w:tc>
          <w:tcPr>
            <w:tcW w:w="9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15,841</w:t>
            </w:r>
          </w:p>
        </w:tc>
        <w:tc>
          <w:tcPr>
            <w:tcW w:w="9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18,500</w:t>
            </w:r>
          </w:p>
        </w:tc>
        <w:tc>
          <w:tcPr>
            <w:tcW w:w="480" w:type="dxa"/>
            <w:vAlign w:val="bottom"/>
          </w:tcPr>
          <w:p>
            <w:pPr>
              <w:spacing w:after="0"/>
              <w:rPr>
                <w:sz w:val="11"/>
                <w:szCs w:val="11"/>
                <w:color w:val="auto"/>
              </w:rPr>
            </w:pPr>
          </w:p>
        </w:tc>
        <w:tc>
          <w:tcPr>
            <w:tcW w:w="4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5"/>
              </w:rPr>
              <w:t>16.8%</w:t>
            </w:r>
          </w:p>
        </w:tc>
        <w:tc>
          <w:tcPr>
            <w:tcW w:w="200" w:type="dxa"/>
            <w:vAlign w:val="bottom"/>
          </w:tcPr>
          <w:p>
            <w:pPr>
              <w:spacing w:after="0"/>
              <w:rPr>
                <w:sz w:val="11"/>
                <w:szCs w:val="11"/>
                <w:color w:val="auto"/>
              </w:rPr>
            </w:pPr>
          </w:p>
        </w:tc>
        <w:tc>
          <w:tcPr>
            <w:tcW w:w="7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36.8%</w:t>
            </w: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50,529</w:t>
            </w: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63,258</w:t>
            </w:r>
          </w:p>
        </w:tc>
        <w:tc>
          <w:tcPr>
            <w:tcW w:w="10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25.2%</w:t>
            </w: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Mortgage loans (2)</w:t>
            </w: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10,567</w:t>
            </w:r>
          </w:p>
        </w:tc>
        <w:tc>
          <w:tcPr>
            <w:tcW w:w="9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9,838</w:t>
            </w:r>
          </w:p>
        </w:tc>
        <w:tc>
          <w:tcPr>
            <w:tcW w:w="9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12,324</w:t>
            </w:r>
          </w:p>
        </w:tc>
        <w:tc>
          <w:tcPr>
            <w:tcW w:w="4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5"/>
              </w:rPr>
              <w:t>25.3%</w:t>
            </w:r>
          </w:p>
        </w:tc>
        <w:tc>
          <w:tcPr>
            <w:tcW w:w="2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16.6%</w:t>
            </w:r>
          </w:p>
        </w:tc>
        <w:tc>
          <w:tcPr>
            <w:tcW w:w="9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42,222</w:t>
            </w: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43,645</w:t>
            </w:r>
          </w:p>
        </w:tc>
        <w:tc>
          <w:tcPr>
            <w:tcW w:w="10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Commercial loans (3)</w:t>
            </w: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3,159</w:t>
            </w:r>
          </w:p>
        </w:tc>
        <w:tc>
          <w:tcPr>
            <w:tcW w:w="9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10,223</w:t>
            </w:r>
          </w:p>
        </w:tc>
        <w:tc>
          <w:tcPr>
            <w:tcW w:w="9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11,978</w:t>
            </w:r>
          </w:p>
        </w:tc>
        <w:tc>
          <w:tcPr>
            <w:tcW w:w="480" w:type="dxa"/>
            <w:vAlign w:val="bottom"/>
          </w:tcPr>
          <w:p>
            <w:pPr>
              <w:spacing w:after="0"/>
              <w:rPr>
                <w:sz w:val="11"/>
                <w:szCs w:val="11"/>
                <w:color w:val="auto"/>
              </w:rPr>
            </w:pPr>
          </w:p>
        </w:tc>
        <w:tc>
          <w:tcPr>
            <w:tcW w:w="4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5"/>
              </w:rPr>
              <w:t>17.2%</w:t>
            </w:r>
          </w:p>
        </w:tc>
        <w:tc>
          <w:tcPr>
            <w:tcW w:w="200" w:type="dxa"/>
            <w:vAlign w:val="bottom"/>
          </w:tcPr>
          <w:p>
            <w:pPr>
              <w:spacing w:after="0"/>
              <w:rPr>
                <w:sz w:val="11"/>
                <w:szCs w:val="11"/>
                <w:color w:val="auto"/>
              </w:rPr>
            </w:pPr>
          </w:p>
        </w:tc>
        <w:tc>
          <w:tcPr>
            <w:tcW w:w="7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279.1%</w:t>
            </w: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38,046</w:t>
            </w: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50,776</w:t>
            </w:r>
          </w:p>
        </w:tc>
        <w:tc>
          <w:tcPr>
            <w:tcW w:w="10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33.5%</w:t>
            </w: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trade (3)</w:t>
            </w: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11,130</w:t>
            </w:r>
          </w:p>
        </w:tc>
        <w:tc>
          <w:tcPr>
            <w:tcW w:w="9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10,032</w:t>
            </w:r>
          </w:p>
        </w:tc>
        <w:tc>
          <w:tcPr>
            <w:tcW w:w="9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10,248</w:t>
            </w:r>
          </w:p>
        </w:tc>
        <w:tc>
          <w:tcPr>
            <w:tcW w:w="4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2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9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43,756</w:t>
            </w: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39,747</w:t>
            </w:r>
          </w:p>
        </w:tc>
        <w:tc>
          <w:tcPr>
            <w:tcW w:w="10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Credicorp Capital</w:t>
            </w: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23,779</w:t>
            </w:r>
          </w:p>
        </w:tc>
        <w:tc>
          <w:tcPr>
            <w:tcW w:w="9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19,583</w:t>
            </w:r>
          </w:p>
        </w:tc>
        <w:tc>
          <w:tcPr>
            <w:tcW w:w="9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21,690</w:t>
            </w:r>
          </w:p>
        </w:tc>
        <w:tc>
          <w:tcPr>
            <w:tcW w:w="480" w:type="dxa"/>
            <w:vAlign w:val="bottom"/>
          </w:tcPr>
          <w:p>
            <w:pPr>
              <w:spacing w:after="0"/>
              <w:rPr>
                <w:sz w:val="11"/>
                <w:szCs w:val="11"/>
                <w:color w:val="auto"/>
              </w:rPr>
            </w:pPr>
          </w:p>
        </w:tc>
        <w:tc>
          <w:tcPr>
            <w:tcW w:w="4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5"/>
              </w:rPr>
              <w:t>10.8%</w:t>
            </w:r>
          </w:p>
        </w:tc>
        <w:tc>
          <w:tcPr>
            <w:tcW w:w="200" w:type="dxa"/>
            <w:vAlign w:val="bottom"/>
          </w:tcPr>
          <w:p>
            <w:pPr>
              <w:spacing w:after="0"/>
              <w:rPr>
                <w:sz w:val="11"/>
                <w:szCs w:val="11"/>
                <w:color w:val="auto"/>
              </w:rPr>
            </w:pPr>
          </w:p>
        </w:tc>
        <w:tc>
          <w:tcPr>
            <w:tcW w:w="7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77,597</w:t>
            </w: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81,407</w:t>
            </w:r>
          </w:p>
        </w:tc>
        <w:tc>
          <w:tcPr>
            <w:tcW w:w="10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Others (4)</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32,652</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37,259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43,995</w:t>
            </w:r>
          </w:p>
        </w:tc>
        <w:tc>
          <w:tcPr>
            <w:tcW w:w="4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5"/>
              </w:rPr>
              <w:t>18.1%</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34.7%</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168,121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151,014</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 fee income</w:t>
            </w:r>
          </w:p>
        </w:tc>
        <w:tc>
          <w:tcPr>
            <w:tcW w:w="7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476,740</w:t>
            </w:r>
          </w:p>
        </w:tc>
        <w:tc>
          <w:tcPr>
            <w:tcW w:w="220" w:type="dxa"/>
            <w:vAlign w:val="bottom"/>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484,541</w:t>
            </w:r>
          </w:p>
        </w:tc>
        <w:tc>
          <w:tcPr>
            <w:tcW w:w="200" w:type="dxa"/>
            <w:vAlign w:val="bottom"/>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523,265</w:t>
            </w:r>
          </w:p>
        </w:tc>
        <w:tc>
          <w:tcPr>
            <w:tcW w:w="2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8.0</w:t>
            </w:r>
          </w:p>
        </w:tc>
        <w:tc>
          <w:tcPr>
            <w:tcW w:w="220" w:type="dxa"/>
            <w:vAlign w:val="bottom"/>
          </w:tcPr>
          <w:p>
            <w:pPr>
              <w:jc w:val="right"/>
              <w:ind w:right="37"/>
              <w:spacing w:after="0" w:line="136"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9.8</w:t>
            </w:r>
          </w:p>
        </w:tc>
        <w:tc>
          <w:tcPr>
            <w:tcW w:w="220" w:type="dxa"/>
            <w:vAlign w:val="bottom"/>
          </w:tcPr>
          <w:p>
            <w:pPr>
              <w:jc w:val="right"/>
              <w:ind w:right="37"/>
              <w:spacing w:after="0" w:line="136"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1,820,732</w:t>
            </w:r>
          </w:p>
        </w:tc>
        <w:tc>
          <w:tcPr>
            <w:tcW w:w="200" w:type="dxa"/>
            <w:vAlign w:val="bottom"/>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1,957,799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7.5</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-3810</wp:posOffset>
            </wp:positionV>
            <wp:extent cx="46393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ind w:left="540" w:hanging="208"/>
        <w:spacing w:after="0" w:line="221" w:lineRule="auto"/>
        <w:tabs>
          <w:tab w:leader="none" w:pos="5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Saving accounts, current accounts and debit card.</w:t>
      </w:r>
    </w:p>
    <w:p>
      <w:pPr>
        <w:ind w:left="540" w:hanging="208"/>
        <w:spacing w:after="0" w:line="221" w:lineRule="auto"/>
        <w:tabs>
          <w:tab w:leader="none" w:pos="5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Mainly Retail fees.</w:t>
      </w:r>
    </w:p>
    <w:p>
      <w:pPr>
        <w:ind w:left="540" w:hanging="208"/>
        <w:spacing w:after="0" w:line="221" w:lineRule="auto"/>
        <w:tabs>
          <w:tab w:leader="none" w:pos="5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Mainly Wholesale fees.</w:t>
      </w:r>
    </w:p>
    <w:p>
      <w:pPr>
        <w:ind w:left="340" w:right="4740" w:hanging="8"/>
        <w:spacing w:after="0" w:line="239" w:lineRule="auto"/>
        <w:tabs>
          <w:tab w:leader="none" w:pos="544"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fees from BCP Bolivia, Edyficar, network usage and other services to third parties, among others. Source: BCP.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channels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Consolidated’s points of contact totaled 11,873 at the end of 4Q14, which represents an increase of +5.6% QoQ.</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BCP had a total of 7,820 points of contact at the end of 4Q14, which represented a slight increase of +2.0%% QoQ. This was due to growth in the number of Agentes BCP (+1.7% QoQ), ATMs (+2.5% QoQ) and branches (+4.0% QoQ).</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increase in Agentes BCP was seen in the provinces, where 236 Agentes BCP were opened. It is important to note that 45% of our total network of points of contact is in the provinces, which is in line with our strategy to increase banking penetration.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Edyficar increased its number of branches, going from 203 in 3Q14 to 214 in 4Q14. This is in line with growth in its share of the loan market at the end of November 2014 with regard to September 2014 (+9.7% Nov 14 vs. +9.2% Sept 14) and is aligned with its financial inclusion strategy. Mibanco’s points of contact fell in terms of branches (-0.9% QoQ) and ATMs (-16.3% QoQ). The latter decrease, was, however attenuated by an increase in Agentes Mibanco (+16.4% QoQ).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Bolivia posted an increase of +3.8% QoQ, which was due primarily to Agentes BCP Bolivia (+24% QoQ) and ATMs (+0.4% QoQ).</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YoY analysis of BCP, we see that ATMs increased +6.5% YoY while branches grew +9.0 YoY followed by Edyficar, which reported an increase of +12.6% YoY. BCP Bolivia reported slight growth of +3.8% YoY. These increases are in line with our plan to increase banking penetration and expand our operations nationwide.</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1" w:name="page32"/>
    <w:bookmarkEnd w:id="31"/>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34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4Q13</w:t>
            </w:r>
          </w:p>
        </w:tc>
        <w:tc>
          <w:tcPr>
            <w:tcW w:w="1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3Q14</w:t>
            </w:r>
          </w:p>
        </w:tc>
        <w:tc>
          <w:tcPr>
            <w:tcW w:w="1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4Q14</w:t>
            </w:r>
          </w:p>
        </w:tc>
        <w:tc>
          <w:tcPr>
            <w:tcW w:w="1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Branches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ATMs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8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Agentes BCP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0"/>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BCP's Network</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8,312</w:t>
            </w:r>
          </w:p>
        </w:tc>
        <w:tc>
          <w:tcPr>
            <w:tcW w:w="1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7,663</w:t>
            </w:r>
          </w:p>
        </w:tc>
        <w:tc>
          <w:tcPr>
            <w:tcW w:w="1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7,820</w:t>
            </w:r>
          </w:p>
        </w:tc>
        <w:tc>
          <w:tcPr>
            <w:tcW w:w="1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Edyficar's Network (1)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1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Branches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ATMs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Agentes Mibanco</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80" w:type="dxa"/>
            <w:vAlign w:val="bottom"/>
          </w:tcPr>
          <w:p>
            <w:pPr>
              <w:spacing w:after="0"/>
              <w:rPr>
                <w:sz w:val="19"/>
                <w:szCs w:val="19"/>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Mibanco's Network</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3,034</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3,484</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Peru's Network</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8,502</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10,900</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11,518</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2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Branches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ATMs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Agentes BCP Bolivia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0"/>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Bolivia's Network</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1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1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BCP Consolidated's Network</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8,844</w:t>
            </w:r>
          </w:p>
        </w:tc>
        <w:tc>
          <w:tcPr>
            <w:tcW w:w="1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11,242</w:t>
            </w:r>
          </w:p>
        </w:tc>
        <w:tc>
          <w:tcPr>
            <w:tcW w:w="1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11,873</w:t>
            </w:r>
          </w:p>
        </w:tc>
        <w:tc>
          <w:tcPr>
            <w:tcW w:w="1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bl>
    <w:p>
      <w:pPr>
        <w:ind w:left="660" w:right="8400" w:hanging="4"/>
        <w:spacing w:after="0" w:line="261" w:lineRule="auto"/>
        <w:tabs>
          <w:tab w:leader="none" w:pos="91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Edyficar only have branches. Source: BCP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Transactions by channels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3"/>
        </w:trPr>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gridSpan w:val="8"/>
          </w:tcPr>
          <w:p>
            <w:pPr>
              <w:ind w:left="500"/>
              <w:spacing w:after="0"/>
              <w:rPr>
                <w:sz w:val="20"/>
                <w:szCs w:val="20"/>
                <w:color w:val="auto"/>
              </w:rPr>
            </w:pPr>
            <w:r>
              <w:rPr>
                <w:rFonts w:ascii="Times New Roman" w:cs="Times New Roman" w:eastAsia="Times New Roman" w:hAnsi="Times New Roman"/>
                <w:sz w:val="18"/>
                <w:szCs w:val="18"/>
                <w:b w:val="1"/>
                <w:bCs w:val="1"/>
                <w:color w:val="auto"/>
              </w:rPr>
              <w:t>Monthly average in each quarter</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 of Transactions per channel</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4Q13</w:t>
            </w:r>
          </w:p>
        </w:tc>
        <w:tc>
          <w:tcPr>
            <w:tcW w:w="1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3Q14</w:t>
            </w:r>
          </w:p>
        </w:tc>
        <w:tc>
          <w:tcPr>
            <w:tcW w:w="1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4Q14</w:t>
            </w:r>
          </w:p>
        </w:tc>
        <w:tc>
          <w:tcPr>
            <w:tcW w:w="1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Teller</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9,717,497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9,557,126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9,416,954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ATMs</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15,657,388</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16,774,054</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17,874,345</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Inquiries</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4,277,841</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3,477,692</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3,570,981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 Banking</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1,281,943</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1,282,950</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1,304,545</w:t>
            </w:r>
          </w:p>
        </w:tc>
        <w:tc>
          <w:tcPr>
            <w:tcW w:w="18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Banking Via BCP</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19,951,137</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19,869,512</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21,046,722</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Agente BCP</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15,197,940</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15,584,243</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14,910,288</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Telecrédito</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7,685,131</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7,978,804</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8,489,366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Mobile banking</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1,644,454</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3,544,108</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4,719,630</w:t>
            </w:r>
          </w:p>
        </w:tc>
        <w:tc>
          <w:tcPr>
            <w:tcW w:w="18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187.0%</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Debit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759,452</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765,978</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748,392</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Points of Sale P.O.S.</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7,824,775</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8,004,773</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8,513,965</w:t>
            </w:r>
          </w:p>
        </w:tc>
        <w:tc>
          <w:tcPr>
            <w:tcW w:w="18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ATMs network</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321,323</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246,830</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212,802</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5"/>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transactions</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84,318,882</w:t>
            </w:r>
          </w:p>
        </w:tc>
        <w:tc>
          <w:tcPr>
            <w:tcW w:w="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87,086,072</w:t>
            </w:r>
          </w:p>
        </w:tc>
        <w:tc>
          <w:tcPr>
            <w:tcW w:w="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90,807,990</w:t>
            </w:r>
          </w:p>
        </w:tc>
        <w:tc>
          <w:tcPr>
            <w:tcW w:w="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-8890</wp:posOffset>
            </wp:positionV>
            <wp:extent cx="15436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-8890</wp:posOffset>
            </wp:positionV>
            <wp:extent cx="3943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-8890</wp:posOffset>
            </wp:positionV>
            <wp:extent cx="3943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Source: BCP.</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monthly average of number of transactions increased +4.3% QoQ, which was due primarily to a QoQ increase in the number of transactions registered through cost-efficient channels, such as i) Internet Banking (+5.9% QoQ); this channel led QoQ growth due to improvements in ViaBCP’s web page and different campaigns (“Go to BCP without Going to BCP”) that were held in 4Q to encourage the use of alternative channels; ii) Mobile Banking (33.2% QoQ) continued to increase its share due to modern mobile applications (“BCP Mobile Banking” and “Your BCP Benefits”) and iii) ATMs (+6.6% QoQ) following the installation of 54 ATMs nationwide.</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YoY analysis, the monthly average of number of transactions increased +7.7% YoY. This was due mainly to an increase in the volume of transactions registered in: Mobile Banking (+187.0% YoY), ATMs (14.2% YoY) and Internet Banking (5.5% YoY) while Account Balance Modules posted a decrease (-16.5% YoY) along with Tellers (-3.1% YoY), which reflects the bank’s efforts to encourage clients to migrate to cost-efficient channels.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II.6 Operating Expenses and Efficiency</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increase in operating expenses (+13.1% QoQ) was due to (i) higher administrative and general expenses, due primarily to seasonality in 4Q and (ii) non-recurring expenses associated with efforts to implement Edyficar’s business model in Mibanco. Consequently, the efficiency ratio was situated at 48%, which exceeds the 44.9% posted in 3Q14. YoY, operating expenses increased +29.5%, in line with BCP’s expansion efforts and the fact that Mibanco’s results are included in the consolidated report.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w w:val="98"/>
              </w:rPr>
              <w:t>% Change</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4"/>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Year to date</w:t>
            </w:r>
          </w:p>
        </w:tc>
        <w:tc>
          <w:tcPr>
            <w:tcW w:w="1020" w:type="dxa"/>
            <w:vAlign w:val="bottom"/>
            <w:gridSpan w:val="2"/>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5"/>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PEN (000)</w:t>
            </w:r>
          </w:p>
        </w:tc>
        <w:tc>
          <w:tcPr>
            <w:tcW w:w="1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4Q13</w:t>
            </w:r>
          </w:p>
        </w:tc>
        <w:tc>
          <w:tcPr>
            <w:tcW w:w="2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3Q14</w:t>
            </w:r>
          </w:p>
        </w:tc>
        <w:tc>
          <w:tcPr>
            <w:tcW w:w="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4Q14</w:t>
            </w:r>
          </w:p>
        </w:tc>
        <w:tc>
          <w:tcPr>
            <w:tcW w:w="2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QoQ</w:t>
            </w:r>
          </w:p>
        </w:tc>
        <w:tc>
          <w:tcPr>
            <w:tcW w:w="2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YoY</w:t>
            </w:r>
          </w:p>
        </w:tc>
        <w:tc>
          <w:tcPr>
            <w:tcW w:w="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Dec. 13</w:t>
            </w:r>
          </w:p>
        </w:tc>
        <w:tc>
          <w:tcPr>
            <w:tcW w:w="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Dec. 14</w:t>
            </w:r>
          </w:p>
        </w:tc>
        <w:tc>
          <w:tcPr>
            <w:tcW w:w="2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 14 / Dec. 13</w:t>
            </w:r>
          </w:p>
        </w:tc>
        <w:tc>
          <w:tcPr>
            <w:tcW w:w="140" w:type="dxa"/>
            <w:vAlign w:val="bottom"/>
            <w:tcBorders>
              <w:bottom w:val="single" w:sz="8" w:color="CCEEFF"/>
            </w:tcBorders>
          </w:tcPr>
          <w:p>
            <w:pPr>
              <w:spacing w:after="0"/>
              <w:rPr>
                <w:sz w:val="13"/>
                <w:szCs w:val="13"/>
                <w:color w:val="auto"/>
              </w:rPr>
            </w:pPr>
          </w:p>
        </w:tc>
      </w:tr>
      <w:tr>
        <w:trPr>
          <w:trHeight w:val="129"/>
        </w:trPr>
        <w:tc>
          <w:tcPr>
            <w:tcW w:w="38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Salaries and employees benefits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394,624</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532,961</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537,658</w:t>
            </w:r>
          </w:p>
        </w:tc>
        <w:tc>
          <w:tcPr>
            <w:tcW w:w="2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0.9%</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260"/>
              <w:spacing w:after="0" w:line="129" w:lineRule="exact"/>
              <w:rPr>
                <w:sz w:val="20"/>
                <w:szCs w:val="20"/>
                <w:color w:val="auto"/>
              </w:rPr>
            </w:pPr>
            <w:r>
              <w:rPr>
                <w:rFonts w:ascii="Times New Roman" w:cs="Times New Roman" w:eastAsia="Times New Roman" w:hAnsi="Times New Roman"/>
                <w:sz w:val="13"/>
                <w:szCs w:val="13"/>
                <w:color w:val="auto"/>
              </w:rPr>
              <w:t>36.2%</w:t>
            </w: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1,665,773</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2,103,274</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26.3%</w:t>
            </w:r>
          </w:p>
        </w:tc>
      </w:tr>
      <w:tr>
        <w:trPr>
          <w:trHeight w:val="135"/>
        </w:trPr>
        <w:tc>
          <w:tcPr>
            <w:tcW w:w="4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Administrative, general and tax expenses</w:t>
            </w:r>
          </w:p>
        </w:tc>
        <w:tc>
          <w:tcPr>
            <w:tcW w:w="9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390,326</w:t>
            </w: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386,242</w:t>
            </w: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469,831</w:t>
            </w:r>
          </w:p>
        </w:tc>
        <w:tc>
          <w:tcPr>
            <w:tcW w:w="9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21.6%</w:t>
            </w:r>
          </w:p>
        </w:tc>
        <w:tc>
          <w:tcPr>
            <w:tcW w:w="180" w:type="dxa"/>
            <w:vAlign w:val="bottom"/>
          </w:tcPr>
          <w:p>
            <w:pPr>
              <w:spacing w:after="0"/>
              <w:rPr>
                <w:sz w:val="11"/>
                <w:szCs w:val="11"/>
                <w:color w:val="auto"/>
              </w:rPr>
            </w:pPr>
          </w:p>
        </w:tc>
        <w:tc>
          <w:tcPr>
            <w:tcW w:w="72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color w:val="auto"/>
              </w:rPr>
              <w:t>20.4%</w:t>
            </w: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1,340,095</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1,541,901</w:t>
            </w:r>
          </w:p>
        </w:tc>
        <w:tc>
          <w:tcPr>
            <w:tcW w:w="240" w:type="dxa"/>
            <w:vAlign w:val="bottom"/>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r>
      <w:tr>
        <w:trPr>
          <w:trHeight w:val="135"/>
        </w:trPr>
        <w:tc>
          <w:tcPr>
            <w:tcW w:w="4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amortizacion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72,783</w:t>
            </w:r>
          </w:p>
        </w:tc>
        <w:tc>
          <w:tcPr>
            <w:tcW w:w="90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82,570</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100,638</w:t>
            </w:r>
          </w:p>
        </w:tc>
        <w:tc>
          <w:tcPr>
            <w:tcW w:w="9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21.9%</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38.3%</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270,693</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337,583</w:t>
            </w:r>
          </w:p>
        </w:tc>
        <w:tc>
          <w:tcPr>
            <w:tcW w:w="10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24.7%</w:t>
            </w:r>
          </w:p>
        </w:tc>
      </w:tr>
      <w:tr>
        <w:trPr>
          <w:trHeight w:val="149"/>
        </w:trPr>
        <w:tc>
          <w:tcPr>
            <w:tcW w:w="4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expenses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58,457</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47,401</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78,072</w:t>
            </w: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64.7%</w:t>
            </w:r>
          </w:p>
        </w:tc>
        <w:tc>
          <w:tcPr>
            <w:tcW w:w="180" w:type="dxa"/>
            <w:vAlign w:val="bottom"/>
          </w:tcPr>
          <w:p>
            <w:pPr>
              <w:spacing w:after="0"/>
              <w:rPr>
                <w:sz w:val="12"/>
                <w:szCs w:val="12"/>
                <w:color w:val="auto"/>
              </w:rPr>
            </w:pP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33.6%</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180,672</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184,578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29"/>
        </w:trPr>
        <w:tc>
          <w:tcPr>
            <w:tcW w:w="400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916,190</w:t>
            </w:r>
          </w:p>
        </w:tc>
        <w:tc>
          <w:tcPr>
            <w:tcW w:w="2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1,049,174</w:t>
            </w:r>
          </w:p>
        </w:tc>
        <w:tc>
          <w:tcPr>
            <w:tcW w:w="2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1,186,199</w:t>
            </w:r>
          </w:p>
        </w:tc>
        <w:tc>
          <w:tcPr>
            <w:tcW w:w="2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13.1</w:t>
            </w:r>
          </w:p>
        </w:tc>
        <w:tc>
          <w:tcPr>
            <w:tcW w:w="260" w:type="dxa"/>
            <w:vAlign w:val="bottom"/>
            <w:tcBorders>
              <w:top w:val="single" w:sz="8" w:color="CCEEFF"/>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ind w:left="260"/>
              <w:spacing w:after="0" w:line="129" w:lineRule="exact"/>
              <w:rPr>
                <w:sz w:val="20"/>
                <w:szCs w:val="20"/>
                <w:color w:val="auto"/>
              </w:rPr>
            </w:pPr>
            <w:r>
              <w:rPr>
                <w:rFonts w:ascii="Times New Roman" w:cs="Times New Roman" w:eastAsia="Times New Roman" w:hAnsi="Times New Roman"/>
                <w:sz w:val="13"/>
                <w:szCs w:val="13"/>
                <w:b w:val="1"/>
                <w:bCs w:val="1"/>
                <w:color w:val="auto"/>
                <w:w w:val="87"/>
              </w:rPr>
              <w:t>29.5</w:t>
            </w:r>
          </w:p>
        </w:tc>
        <w:tc>
          <w:tcPr>
            <w:tcW w:w="240" w:type="dxa"/>
            <w:vAlign w:val="bottom"/>
            <w:tcBorders>
              <w:top w:val="single" w:sz="8" w:color="CCEEFF"/>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3,457,233</w:t>
            </w:r>
          </w:p>
        </w:tc>
        <w:tc>
          <w:tcPr>
            <w:tcW w:w="2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4,167,336</w:t>
            </w:r>
          </w:p>
        </w:tc>
        <w:tc>
          <w:tcPr>
            <w:tcW w:w="2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20.5</w:t>
            </w:r>
          </w:p>
        </w:tc>
        <w:tc>
          <w:tcPr>
            <w:tcW w:w="14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r>
      <w:tr>
        <w:trPr>
          <w:trHeight w:val="176"/>
        </w:trPr>
        <w:tc>
          <w:tcPr>
            <w:tcW w:w="400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Reported efficiency ratio </w:t>
            </w:r>
            <w:r>
              <w:rPr>
                <w:rFonts w:ascii="Times New Roman" w:cs="Times New Roman" w:eastAsia="Times New Roman" w:hAnsi="Times New Roman"/>
                <w:sz w:val="20"/>
                <w:szCs w:val="20"/>
                <w:b w:val="1"/>
                <w:bCs w:val="1"/>
                <w:color w:val="auto"/>
                <w:vertAlign w:val="superscript"/>
              </w:rPr>
              <w:t>(1)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46.9%</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44.9%</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48.0%</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47.7%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46.6%</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-3810</wp:posOffset>
            </wp:positionV>
            <wp:extent cx="10121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-3810</wp:posOffset>
            </wp:positionV>
            <wp:extent cx="15951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(1) (Operating expenses - Other expenses) / (Net interest income + Fee income + Gains in FX).</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increased +13.1% QoQ due to:</w:t>
      </w:r>
    </w:p>
    <w:p>
      <w:pPr>
        <w:spacing w:after="0" w:line="225" w:lineRule="exact"/>
        <w:rPr>
          <w:sz w:val="20"/>
          <w:szCs w:val="20"/>
          <w:color w:val="auto"/>
        </w:rPr>
      </w:pPr>
    </w:p>
    <w:p>
      <w:pPr>
        <w:ind w:left="760" w:hanging="657"/>
        <w:spacing w:after="0" w:line="26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administrative and general expenses (21.6% QoQ), which was due primarily to seasonality at year-end; and that explains 60% of the quarterly increase of total operating expenses; and</w:t>
      </w:r>
    </w:p>
    <w:p>
      <w:pPr>
        <w:ind w:left="760" w:right="20" w:hanging="657"/>
        <w:spacing w:after="0" w:line="26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Expenses (+64.7% QoQ) and Depreciation and Amortization (+21.9% QoQ) due to non-recurring expenses to implement Edyficar’s model in Mibanco and the amortization of the Edyficar brand, which explains another 30% of the quarterly growth.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analysis of YoY expenses and accumulated annual expenses (+29.5% and +20.5% respectively) shows that growth is due to Salaries and Employee Benefits, followed by administrative and general expenses, which were mainly associated with the incorporation of Mibanco and the business’s organic growth.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Administrative and general expenses grew 20.4% QoQ, which was basically due to higher expenses for (i) Marketing (72.3% QoQ), in line with the implementation of the Programa LAN Pass and its campaign “Buy every day,” which took place in the last quarter of 2014; as well as Credit Card, Savings, Cuenta Sueldo, CTS, among others. Growth in expenses was attributable, to a lesser extent, to an increase in the following lines: (ii) Programming and Systems (+27.5% QoQ) due to higher expenses for maintenance and support for IT; (iii) Transportation (+26.6% QoQ), in line with higher expenses for services to transport funds to maintain and supply ATMs; and, (iv) Consultants (+32.5% QoQ), which was in line with the bank’s efforts to continuously improve operativity and efficiency.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YoY and annual accumulated comparison (+20.4% and 15.1%, respectively) of administrative expenses does not include seasonal effects. In this context, it is evident that these expenses increased primarily due to expenses associated with Mibanco and, to a lesser extent, due to higher expenses for marketing.</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The table below contains details on Administrative and General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Administrative and General Expenses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w w:val="98"/>
              </w:rPr>
              <w:t>% Change</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5"/>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PEN 000</w:t>
            </w:r>
          </w:p>
        </w:tc>
        <w:tc>
          <w:tcPr>
            <w:tcW w:w="1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4Q13</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3Q14</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4Q14</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QoQ</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4"/>
              </w:rPr>
              <w:t>YoY</w:t>
            </w:r>
          </w:p>
        </w:tc>
        <w:tc>
          <w:tcPr>
            <w:tcW w:w="140" w:type="dxa"/>
            <w:vAlign w:val="bottom"/>
            <w:tcBorders>
              <w:bottom w:val="single" w:sz="8" w:color="CCEEFF"/>
            </w:tcBorders>
          </w:tcPr>
          <w:p>
            <w:pPr>
              <w:spacing w:after="0"/>
              <w:rPr>
                <w:sz w:val="13"/>
                <w:szCs w:val="13"/>
                <w:color w:val="auto"/>
              </w:rPr>
            </w:pPr>
          </w:p>
        </w:tc>
      </w:tr>
      <w:tr>
        <w:trPr>
          <w:trHeight w:val="129"/>
        </w:trPr>
        <w:tc>
          <w:tcPr>
            <w:tcW w:w="41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Marketing</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50,639</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13.0%</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43,284</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11.2%</w:t>
            </w: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74,580</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15.9%</w:t>
            </w:r>
          </w:p>
        </w:tc>
        <w:tc>
          <w:tcPr>
            <w:tcW w:w="900" w:type="dxa"/>
            <w:vAlign w:val="bottom"/>
            <w:gridSpan w:val="2"/>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72.3%</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47.3%</w:t>
            </w:r>
          </w:p>
        </w:tc>
      </w:tr>
      <w:tr>
        <w:trPr>
          <w:trHeight w:val="135"/>
        </w:trPr>
        <w:tc>
          <w:tcPr>
            <w:tcW w:w="4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Systems</w:t>
            </w:r>
          </w:p>
        </w:tc>
        <w:tc>
          <w:tcPr>
            <w:tcW w:w="9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32,994</w:t>
            </w:r>
          </w:p>
        </w:tc>
        <w:tc>
          <w:tcPr>
            <w:tcW w:w="9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30,879</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39,381</w:t>
            </w:r>
          </w:p>
        </w:tc>
        <w:tc>
          <w:tcPr>
            <w:tcW w:w="9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9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27.5%</w:t>
            </w:r>
          </w:p>
        </w:tc>
        <w:tc>
          <w:tcPr>
            <w:tcW w:w="20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19.4%</w:t>
            </w: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Sustems Outsourcing</w:t>
            </w:r>
          </w:p>
        </w:tc>
        <w:tc>
          <w:tcPr>
            <w:tcW w:w="9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30,106</w:t>
            </w:r>
          </w:p>
        </w:tc>
        <w:tc>
          <w:tcPr>
            <w:tcW w:w="9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33,399</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34,585</w:t>
            </w:r>
          </w:p>
        </w:tc>
        <w:tc>
          <w:tcPr>
            <w:tcW w:w="9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90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w:t>
            </w:r>
          </w:p>
        </w:tc>
      </w:tr>
      <w:tr>
        <w:trPr>
          <w:trHeight w:val="135"/>
        </w:trPr>
        <w:tc>
          <w:tcPr>
            <w:tcW w:w="4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Transport</w:t>
            </w:r>
          </w:p>
        </w:tc>
        <w:tc>
          <w:tcPr>
            <w:tcW w:w="9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30,792</w:t>
            </w:r>
          </w:p>
        </w:tc>
        <w:tc>
          <w:tcPr>
            <w:tcW w:w="9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22,356</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28,294</w:t>
            </w:r>
          </w:p>
        </w:tc>
        <w:tc>
          <w:tcPr>
            <w:tcW w:w="9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9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26.6%</w:t>
            </w:r>
          </w:p>
        </w:tc>
        <w:tc>
          <w:tcPr>
            <w:tcW w:w="20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Maintenance</w:t>
            </w:r>
          </w:p>
        </w:tc>
        <w:tc>
          <w:tcPr>
            <w:tcW w:w="9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16,617</w:t>
            </w:r>
          </w:p>
        </w:tc>
        <w:tc>
          <w:tcPr>
            <w:tcW w:w="9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14,010</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14,918</w:t>
            </w:r>
          </w:p>
        </w:tc>
        <w:tc>
          <w:tcPr>
            <w:tcW w:w="9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90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w:t>
            </w:r>
          </w:p>
        </w:tc>
      </w:tr>
      <w:tr>
        <w:trPr>
          <w:trHeight w:val="135"/>
        </w:trPr>
        <w:tc>
          <w:tcPr>
            <w:tcW w:w="4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Communications</w:t>
            </w:r>
          </w:p>
        </w:tc>
        <w:tc>
          <w:tcPr>
            <w:tcW w:w="9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23,400</w:t>
            </w:r>
          </w:p>
        </w:tc>
        <w:tc>
          <w:tcPr>
            <w:tcW w:w="9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20,360</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22,371</w:t>
            </w:r>
          </w:p>
        </w:tc>
        <w:tc>
          <w:tcPr>
            <w:tcW w:w="9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9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9.9%</w:t>
            </w:r>
          </w:p>
        </w:tc>
        <w:tc>
          <w:tcPr>
            <w:tcW w:w="20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Consulting</w:t>
            </w:r>
          </w:p>
        </w:tc>
        <w:tc>
          <w:tcPr>
            <w:tcW w:w="9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17,578</w:t>
            </w:r>
          </w:p>
        </w:tc>
        <w:tc>
          <w:tcPr>
            <w:tcW w:w="9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14,612</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19,367</w:t>
            </w:r>
          </w:p>
        </w:tc>
        <w:tc>
          <w:tcPr>
            <w:tcW w:w="9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90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32.5%</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w:t>
            </w:r>
          </w:p>
        </w:tc>
      </w:tr>
      <w:tr>
        <w:trPr>
          <w:trHeight w:val="135"/>
        </w:trPr>
        <w:tc>
          <w:tcPr>
            <w:tcW w:w="4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Others</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118,044</w:t>
            </w:r>
          </w:p>
        </w:tc>
        <w:tc>
          <w:tcPr>
            <w:tcW w:w="220" w:type="dxa"/>
            <w:vAlign w:val="bottom"/>
          </w:tcPr>
          <w:p>
            <w:pPr>
              <w:spacing w:after="0"/>
              <w:rPr>
                <w:sz w:val="11"/>
                <w:szCs w:val="11"/>
                <w:color w:val="auto"/>
              </w:rPr>
            </w:pPr>
          </w:p>
        </w:tc>
        <w:tc>
          <w:tcPr>
            <w:tcW w:w="9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30.2%</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102,977</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26.7%</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129,343</w:t>
            </w:r>
          </w:p>
        </w:tc>
        <w:tc>
          <w:tcPr>
            <w:tcW w:w="9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27.5%</w:t>
            </w:r>
          </w:p>
        </w:tc>
        <w:tc>
          <w:tcPr>
            <w:tcW w:w="9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25.6%</w:t>
            </w:r>
          </w:p>
        </w:tc>
        <w:tc>
          <w:tcPr>
            <w:tcW w:w="20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Taxes and contributions</w:t>
            </w:r>
          </w:p>
        </w:tc>
        <w:tc>
          <w:tcPr>
            <w:tcW w:w="9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35,704</w:t>
            </w:r>
          </w:p>
        </w:tc>
        <w:tc>
          <w:tcPr>
            <w:tcW w:w="9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37,836</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41,869</w:t>
            </w:r>
          </w:p>
        </w:tc>
        <w:tc>
          <w:tcPr>
            <w:tcW w:w="9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90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17.3%</w:t>
            </w:r>
          </w:p>
        </w:tc>
      </w:tr>
      <w:tr>
        <w:trPr>
          <w:trHeight w:val="149"/>
        </w:trPr>
        <w:tc>
          <w:tcPr>
            <w:tcW w:w="4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subsidiaries and eliminations, net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34,453</w:t>
            </w: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8.8%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66,528</w:t>
            </w:r>
          </w:p>
        </w:tc>
        <w:tc>
          <w:tcPr>
            <w:tcW w:w="200" w:type="dxa"/>
            <w:vAlign w:val="bottom"/>
          </w:tcPr>
          <w:p>
            <w:pPr>
              <w:spacing w:after="0"/>
              <w:rPr>
                <w:sz w:val="12"/>
                <w:szCs w:val="12"/>
                <w:color w:val="auto"/>
              </w:rPr>
            </w:pPr>
          </w:p>
        </w:tc>
        <w:tc>
          <w:tcPr>
            <w:tcW w:w="72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17.2%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65,123</w:t>
            </w: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13.9%</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89.0%</w:t>
            </w:r>
          </w:p>
        </w:tc>
      </w:tr>
      <w:tr>
        <w:trPr>
          <w:trHeight w:val="129"/>
        </w:trPr>
        <w:tc>
          <w:tcPr>
            <w:tcW w:w="424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Administrative and General Expenses</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390,326</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w:t>
            </w:r>
          </w:p>
        </w:tc>
        <w:tc>
          <w:tcPr>
            <w:tcW w:w="260" w:type="dxa"/>
            <w:vAlign w:val="bottom"/>
            <w:tcBorders>
              <w:top w:val="single" w:sz="8" w:color="CCEEFF"/>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386,242</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w:t>
            </w:r>
          </w:p>
        </w:tc>
        <w:tc>
          <w:tcPr>
            <w:tcW w:w="240" w:type="dxa"/>
            <w:vAlign w:val="bottom"/>
            <w:tcBorders>
              <w:top w:val="single" w:sz="8" w:color="CCEEFF"/>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469,831</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w:t>
            </w:r>
          </w:p>
        </w:tc>
        <w:tc>
          <w:tcPr>
            <w:tcW w:w="260" w:type="dxa"/>
            <w:vAlign w:val="bottom"/>
            <w:tcBorders>
              <w:top w:val="single" w:sz="8" w:color="CCEEFF"/>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21.6</w:t>
            </w:r>
          </w:p>
        </w:tc>
        <w:tc>
          <w:tcPr>
            <w:tcW w:w="240" w:type="dxa"/>
            <w:vAlign w:val="bottom"/>
            <w:tcBorders>
              <w:top w:val="single" w:sz="8" w:color="CCEEFF"/>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20.4</w:t>
            </w:r>
          </w:p>
        </w:tc>
        <w:tc>
          <w:tcPr>
            <w:tcW w:w="14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0</wp:posOffset>
            </wp:positionV>
            <wp:extent cx="44678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4678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i w:val="1"/>
          <w:iCs w:val="1"/>
          <w:color w:val="auto"/>
        </w:rPr>
        <w:t>Source: BCP.</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Salaries and employee benefits remained stable QoQ (+0.9%) given that it was not necessary to set aside larger provisions for Additional Profit Sharing (PAU by its Spanish initials) in 4Q14, which helped attenuate expenses for organic growth. In the YoY and annual accumulated comparison (+36.2% and +26.3% respectively), salaries and employee benefits grew due to an increase in the number employees, which was in line with the acquisition of Mibanco. The YoY variation was accentuated mostly by the reversal in Additional Profit Sharing in 4Q13.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Expenses, which are not included in the calculation of the efficiency ratio, increased +64.7% QoQ and +33.6% YoY. This was due primarily to higher expenses for efforts to implement Edyficar’s business in Mibanco and to capture synergies as part of the process to integrate both institutions (which is subject to SBS’s approval). The main expenses were associated with system migration, branch closings, staff liquidation, among others.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+21.9% QoQ and +33.6% YoY. This was due primarily to amortization of intangibles in general and amortization of the Edyficar Brand in particular. This effect is even more evident in the annual accumulated comparison given that this amortization has been registered throughout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contains a breakdown of the efficiency ratio by subsidiary: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important to note that the results of the Efficiency Project, which was conducted throughout 2014, can be fully appreciated if we exclude the results of Mibanco. Despite business growth in 2014, operating expenses this year (+8% YoY) grew at a slower pace than they did in 2013 (+9.3%). The aforementioned led the efficiency ratio to fall from 47.7% in 2013 to 44.7% en el 2014. It is important to note that even when we include Mibanco’s operating expenses, the efficiency ratio falls only slightly by 110 basis points (47.7% in 2013 vs. 46.6% in 2014).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38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BCP</w:t>
            </w:r>
          </w:p>
        </w:tc>
        <w:tc>
          <w:tcPr>
            <w:tcW w:w="2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Edyficar</w:t>
            </w:r>
          </w:p>
        </w:tc>
        <w:tc>
          <w:tcPr>
            <w:tcW w:w="2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BCP Bolivia</w:t>
            </w:r>
          </w:p>
        </w:tc>
        <w:tc>
          <w:tcPr>
            <w:tcW w:w="2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Mibanco</w:t>
            </w:r>
          </w:p>
        </w:tc>
        <w:tc>
          <w:tcPr>
            <w:tcW w:w="2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Others </w:t>
            </w:r>
            <w:r>
              <w:rPr>
                <w:rFonts w:ascii="Times New Roman" w:cs="Times New Roman" w:eastAsia="Times New Roman" w:hAnsi="Times New Roman"/>
                <w:sz w:val="30"/>
                <w:szCs w:val="30"/>
                <w:b w:val="1"/>
                <w:bCs w:val="1"/>
                <w:color w:val="auto"/>
                <w:vertAlign w:val="superscript"/>
              </w:rPr>
              <w:t>(1)</w:t>
            </w:r>
          </w:p>
        </w:tc>
        <w:tc>
          <w:tcPr>
            <w:tcW w:w="2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BCP Cons</w:t>
            </w:r>
          </w:p>
        </w:tc>
        <w:tc>
          <w:tcPr>
            <w:tcW w:w="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3Q14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42.2%</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53.7%</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58.9%</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4Q14</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53.1%</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61.7%</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Var (4Q vs 3Q)</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+280 bps</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 bps</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 bps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 bps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310 bps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51.6%</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64.4%</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60.4%</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Var (2014 vs 2013)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bps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bps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 bps</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-110 bps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0" w:hanging="212"/>
        <w:spacing w:after="0" w:line="198" w:lineRule="auto"/>
        <w:tabs>
          <w:tab w:leader="none" w:pos="220"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Others include Financiera Solución and eliminations for consolidation of results.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II.7 Regulatory Capital –BCP Stand-alone based on Peru GAAP</w:t>
      </w:r>
    </w:p>
    <w:p>
      <w:pPr>
        <w:spacing w:after="0" w:line="22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At the end of 4Q14, regulatory capital posted an increase of +1.4% QoQ. This growth fell below the +3.8% QoQ expansion reported in risk-weighted assets. The aforementioned led the BIS ratio to drop from 14.78% in 3Q14 to 14.45% in 4Q14. It is important to note that the Tier 1 and Common Equity Tier 1 ratios were situated at 9.83% and 7.45%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Regulatory Capital and Capital Adequacy Ratios</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20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PEN (000)</w:t>
            </w:r>
          </w:p>
        </w:tc>
        <w:tc>
          <w:tcPr>
            <w:tcW w:w="1240" w:type="dxa"/>
            <w:vAlign w:val="bottom"/>
            <w:tcBorders>
              <w:top w:val="single" w:sz="8" w:color="auto"/>
            </w:tcBorders>
            <w:gridSpan w:val="2"/>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4Q13</w:t>
            </w:r>
          </w:p>
        </w:tc>
        <w:tc>
          <w:tcPr>
            <w:tcW w:w="1220" w:type="dxa"/>
            <w:vAlign w:val="bottom"/>
            <w:tcBorders>
              <w:top w:val="single" w:sz="8" w:color="auto"/>
            </w:tcBorders>
            <w:gridSpan w:val="2"/>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3Q14</w:t>
            </w:r>
          </w:p>
        </w:tc>
        <w:tc>
          <w:tcPr>
            <w:tcW w:w="1000" w:type="dxa"/>
            <w:vAlign w:val="bottom"/>
            <w:tcBorders>
              <w:top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4Q14</w:t>
            </w:r>
          </w:p>
        </w:tc>
        <w:tc>
          <w:tcPr>
            <w:tcW w:w="240" w:type="dxa"/>
            <w:vAlign w:val="bottom"/>
          </w:tcPr>
          <w:p>
            <w:pPr>
              <w:spacing w:after="0"/>
              <w:rPr>
                <w:sz w:val="13"/>
                <w:szCs w:val="13"/>
                <w:color w:val="auto"/>
              </w:rPr>
            </w:pPr>
          </w:p>
        </w:tc>
        <w:tc>
          <w:tcPr>
            <w:tcW w:w="126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4Q14 / 3Q14</w:t>
            </w:r>
          </w:p>
        </w:tc>
        <w:tc>
          <w:tcPr>
            <w:tcW w:w="98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4Q14 / 4Q13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Capital Stock</w:t>
            </w:r>
          </w:p>
        </w:tc>
        <w:tc>
          <w:tcPr>
            <w:tcW w:w="100" w:type="dxa"/>
            <w:vAlign w:val="bottom"/>
            <w:vMerge w:val="continue"/>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3,752,617</w:t>
            </w:r>
          </w:p>
        </w:tc>
        <w:tc>
          <w:tcPr>
            <w:tcW w:w="240" w:type="dxa"/>
            <w:vAlign w:val="bottom"/>
            <w:vMerge w:val="continue"/>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4,722,752</w:t>
            </w:r>
          </w:p>
        </w:tc>
        <w:tc>
          <w:tcPr>
            <w:tcW w:w="220" w:type="dxa"/>
            <w:vAlign w:val="bottom"/>
            <w:vMerge w:val="continue"/>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4,722,752</w:t>
            </w:r>
          </w:p>
        </w:tc>
        <w:tc>
          <w:tcPr>
            <w:tcW w:w="240" w:type="dxa"/>
            <w:vAlign w:val="bottom"/>
            <w:vMerge w:val="continue"/>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0.0%</w:t>
            </w:r>
          </w:p>
        </w:tc>
        <w:tc>
          <w:tcPr>
            <w:tcW w:w="11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Legal and Other capital reserves</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2,422,230</w:t>
            </w: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2,761,777</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2,761,777</w:t>
            </w:r>
          </w:p>
        </w:tc>
        <w:tc>
          <w:tcPr>
            <w:tcW w:w="12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earnings with capitalization agreement</w:t>
            </w: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504,000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 loss reserves (1)</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834,388</w:t>
            </w: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969,036</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1,007,150</w:t>
            </w:r>
          </w:p>
        </w:tc>
        <w:tc>
          <w:tcPr>
            <w:tcW w:w="12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Perpetual subordinated debt</w:t>
            </w: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698,750</w:t>
            </w: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722,500</w:t>
            </w: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746,500</w:t>
            </w:r>
          </w:p>
        </w:tc>
        <w:tc>
          <w:tcPr>
            <w:tcW w:w="12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1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Subordinated Debt</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3,417,962</w:t>
            </w: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4,029,410</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4,146,707</w:t>
            </w:r>
          </w:p>
        </w:tc>
        <w:tc>
          <w:tcPr>
            <w:tcW w:w="12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profit (loss)</w:t>
            </w: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Investment in subsidiaries and others, net of unrealized profit and net income</w:t>
            </w: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(752,765)</w:t>
            </w:r>
          </w:p>
        </w:tc>
        <w:tc>
          <w:tcPr>
            <w:tcW w:w="12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(1,559,612)</w:t>
            </w: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(1,559,037)</w:t>
            </w:r>
          </w:p>
        </w:tc>
        <w:tc>
          <w:tcPr>
            <w:tcW w:w="12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Investment in subsidiaries and others</w:t>
            </w: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1,384,340</w:t>
            </w: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2,211,726</w:t>
            </w: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2,186,066</w:t>
            </w:r>
          </w:p>
        </w:tc>
        <w:tc>
          <w:tcPr>
            <w:tcW w:w="12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1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Unrealized profit and net income in subsidiaries</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631,575</w:t>
            </w: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652,114</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627,029</w:t>
            </w:r>
          </w:p>
        </w:tc>
        <w:tc>
          <w:tcPr>
            <w:tcW w:w="12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2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(122,083)</w:t>
            </w:r>
          </w:p>
        </w:tc>
        <w:tc>
          <w:tcPr>
            <w:tcW w:w="12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(122,083)</w:t>
            </w:r>
          </w:p>
        </w:tc>
        <w:tc>
          <w:tcPr>
            <w:tcW w:w="12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(122,083)</w:t>
            </w:r>
          </w:p>
        </w:tc>
        <w:tc>
          <w:tcPr>
            <w:tcW w:w="12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1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Regulatory Capital</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10,755,098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12,523,781</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12,703,767</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18.1%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Tier 1 (2)</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7,194,919</w:t>
            </w: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8,631,197</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8,642,942</w:t>
            </w:r>
          </w:p>
        </w:tc>
        <w:tc>
          <w:tcPr>
            <w:tcW w:w="12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2 (3) + Tier 3 (4)</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3,560,179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3,892,584</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4,060,825</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risk-weighted assets</w:t>
            </w: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74,379,368</w:t>
            </w: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84,717,945</w:t>
            </w: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87,938,922</w:t>
            </w:r>
          </w:p>
        </w:tc>
        <w:tc>
          <w:tcPr>
            <w:tcW w:w="12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3.8%</w:t>
            </w: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Market risk-weighted assets (5)</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2,767,876</w:t>
            </w: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1,270,266</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1,189,463</w:t>
            </w:r>
          </w:p>
        </w:tc>
        <w:tc>
          <w:tcPr>
            <w:tcW w:w="12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Credit risk-weighted assets</w:t>
            </w: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66,751,001</w:t>
            </w: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77,522,908</w:t>
            </w: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80,572,032</w:t>
            </w:r>
          </w:p>
        </w:tc>
        <w:tc>
          <w:tcPr>
            <w:tcW w:w="12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1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Operational risk-weighted assets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4,860,491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5,924,771</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6,177,426</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4.3%</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Market risk capital requirement (5)</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271,252</w:t>
            </w: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127,027</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118,946</w:t>
            </w:r>
          </w:p>
        </w:tc>
        <w:tc>
          <w:tcPr>
            <w:tcW w:w="12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Credit risk capital requirement</w:t>
            </w: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6,541,598</w:t>
            </w: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7,752,291</w:t>
            </w: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8,057,203</w:t>
            </w:r>
          </w:p>
        </w:tc>
        <w:tc>
          <w:tcPr>
            <w:tcW w:w="12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1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Operational risk capital requirement</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476,328</w:t>
            </w: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592,477</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617,743</w:t>
            </w:r>
          </w:p>
        </w:tc>
        <w:tc>
          <w:tcPr>
            <w:tcW w:w="12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capital requirements</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1,171,206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1,732,554</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1,752,636</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Capital ratios</w:t>
            </w: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Tier 1 ratio (6)</w:t>
            </w: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9.67%</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10.19%</w:t>
            </w: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9.83%</w:t>
            </w: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Equity Tier 1 ratio (7)</w:t>
            </w:r>
          </w:p>
        </w:tc>
        <w:tc>
          <w:tcPr>
            <w:tcW w:w="12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7.52%</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12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BIS ratio (8)</w:t>
            </w: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14.46%</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14.78%</w:t>
            </w: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14.45%</w:t>
            </w: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Risk-weighted assets / Regulatory Capital (9)</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6.92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6.76</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6.92</w:t>
            </w: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20" w:hanging="212"/>
        <w:spacing w:after="0"/>
        <w:tabs>
          <w:tab w:leader="none" w:pos="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1.25% of total risk-weighted assets.</w:t>
      </w:r>
    </w:p>
    <w:p>
      <w:pPr>
        <w:spacing w:after="0" w:line="3" w:lineRule="exact"/>
        <w:rPr>
          <w:rFonts w:ascii="Times New Roman" w:cs="Times New Roman" w:eastAsia="Times New Roman" w:hAnsi="Times New Roman"/>
          <w:sz w:val="14"/>
          <w:szCs w:val="14"/>
          <w:color w:val="auto"/>
        </w:rPr>
      </w:pPr>
    </w:p>
    <w:p>
      <w:pPr>
        <w:ind w:right="140" w:firstLine="8"/>
        <w:spacing w:after="0" w:line="221" w:lineRule="auto"/>
        <w:tabs>
          <w:tab w:leader="none" w:pos="20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20" w:hanging="212"/>
        <w:spacing w:after="0" w:line="221" w:lineRule="auto"/>
        <w:tabs>
          <w:tab w:leader="none" w:pos="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Tier 2 = Subordinated debt + Loan loss reserves - (0.5 x Investment in subsidiaries).</w:t>
      </w:r>
    </w:p>
    <w:p>
      <w:pPr>
        <w:ind w:left="220" w:hanging="212"/>
        <w:spacing w:after="0" w:line="221" w:lineRule="auto"/>
        <w:tabs>
          <w:tab w:leader="none" w:pos="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Tier 3 = Subordinated debt covering market risk only. Tier 3 exists since 1Q10.</w:t>
      </w:r>
    </w:p>
    <w:p>
      <w:pPr>
        <w:ind w:left="220" w:hanging="212"/>
        <w:spacing w:after="0" w:line="221" w:lineRule="auto"/>
        <w:tabs>
          <w:tab w:leader="none" w:pos="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includes capital requirement to cover price and rate risk.</w:t>
      </w:r>
    </w:p>
    <w:p>
      <w:pPr>
        <w:ind w:left="220" w:hanging="212"/>
        <w:spacing w:after="0" w:line="221" w:lineRule="auto"/>
        <w:tabs>
          <w:tab w:leader="none" w:pos="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Tier 1 / Risk-weighted assets.</w:t>
      </w:r>
    </w:p>
    <w:p>
      <w:pPr>
        <w:ind w:right="60" w:firstLine="8"/>
        <w:spacing w:after="0" w:line="221" w:lineRule="auto"/>
        <w:tabs>
          <w:tab w:leader="none" w:pos="20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Equity Tier I = Capital + Reserves – 100% of applicable deductions (investment in subsidiaries, goodwill, intangibles and deferred tax assets that rely on future profitability) + retained earnings + unrealized gains.</w:t>
      </w:r>
    </w:p>
    <w:p>
      <w:pPr>
        <w:ind w:left="220" w:hanging="212"/>
        <w:spacing w:after="0" w:line="221" w:lineRule="auto"/>
        <w:tabs>
          <w:tab w:leader="none" w:pos="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Capital / Risk-weighted assets (legal minimum = 10% since July 2011).</w:t>
      </w:r>
    </w:p>
    <w:p>
      <w:pPr>
        <w:ind w:right="120" w:firstLine="8"/>
        <w:spacing w:after="0" w:line="239" w:lineRule="auto"/>
        <w:tabs>
          <w:tab w:leader="none" w:pos="20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July 2012, Risk-weighted assets = Credit risk-weighted assets * 1.00 + Capital requirement to cover market risk * 10 + Capital requirement to cover operational risk * 10 * 0.8 (since July 2013).</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4Q14, the BIS ratio was situated at 14.45%. This figure falls below that reported at the end of 3Q14 (14.78%) and was due to the +3.8% QoQ increase in risk-weighted assets, which outweighed the increase in regulatory capital (+1.4% QoQ). It is important to note that the increase in risk-weighted assets was due primarily to credit risk (+3.9% QoQ), which was in line with the 5.9% growth posted in BCP loans (measured in end of period balances and based on results in local accounting).</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The TIER 1 ratio fell, going form 10.19% in 3Q14 to 9.83% in 4Q14. This was due primarily to the evolution of RWAs versus the evolution of TIER 1, which remained stable QoQ. The TIER 1 Common Equity ratio, which is considered the most stringent capital ratio, registered a slight QoQ improvement, going from 7.20% in 3Q14 to 7.45% in 4Q14 due to a QoQ variation in Common Equity Tier 1 than in RWAs. The increase in Common Equity Tier 1 is attributable to a smaller deduction for investments in subsidiaries, which was in line with Mibanco’s net income for 4Q.</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it is necessary to note that BCP maintains an investment with a market value of approximately PEN 627 million. This investment was liquidated in 2015 in order to strengthen BCP’s regulatory capital, and will become effective once the subsidiary reduces its equity (through the declaration of dividends and the reduction of its capital stock).</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III. Banco de Crédito de Bolivia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Banco de Crédito de Bolivia</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PEN million</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4Q13</w:t>
            </w:r>
          </w:p>
        </w:tc>
        <w:tc>
          <w:tcPr>
            <w:tcW w:w="2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3Q14</w:t>
            </w:r>
          </w:p>
        </w:tc>
        <w:tc>
          <w:tcPr>
            <w:tcW w:w="2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4Q14</w:t>
            </w:r>
          </w:p>
        </w:tc>
        <w:tc>
          <w:tcPr>
            <w:tcW w:w="2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QoQ</w:t>
            </w: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 13</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99"/>
              </w:rPr>
              <w:t>Dec 14</w:t>
            </w:r>
          </w:p>
        </w:tc>
        <w:tc>
          <w:tcPr>
            <w:tcW w:w="2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 14 / Dec 13</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interest income</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50.9</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54.7</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55.5</w:t>
            </w: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9.0%</w:t>
            </w:r>
          </w:p>
        </w:tc>
        <w:tc>
          <w:tcPr>
            <w:tcW w:w="9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183.7</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213.4</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provisions for loan losses</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2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93.4%</w:t>
            </w:r>
          </w:p>
        </w:tc>
        <w:tc>
          <w:tcPr>
            <w:tcW w:w="2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12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2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 financial income</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2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12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12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2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103.5</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-48.8</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12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2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-180.7</w:t>
            </w:r>
          </w:p>
        </w:tc>
        <w:tc>
          <w:tcPr>
            <w:tcW w:w="2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-194.6</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7.0</w:t>
            </w:r>
          </w:p>
        </w:tc>
        <w:tc>
          <w:tcPr>
            <w:tcW w:w="12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25.3</w:t>
            </w:r>
          </w:p>
        </w:tc>
        <w:tc>
          <w:tcPr>
            <w:tcW w:w="12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23.5</w:t>
            </w:r>
          </w:p>
        </w:tc>
        <w:tc>
          <w:tcPr>
            <w:tcW w:w="12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-7.2%</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235.6%</w:t>
            </w:r>
          </w:p>
        </w:tc>
        <w:tc>
          <w:tcPr>
            <w:tcW w:w="12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100.2</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Translation result</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-53.6%</w:t>
            </w:r>
          </w:p>
        </w:tc>
        <w:tc>
          <w:tcPr>
            <w:tcW w:w="2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12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62"/>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4.1</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-7.2</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-8.5</w:t>
            </w:r>
          </w:p>
        </w:tc>
        <w:tc>
          <w:tcPr>
            <w:tcW w:w="1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17.4%</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-306.1%</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-11.8</w:t>
            </w: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0" w:type="dxa"/>
            <w:vAlign w:val="bottom"/>
          </w:tcPr>
          <w:p>
            <w:pPr>
              <w:spacing w:after="0"/>
              <w:rPr>
                <w:sz w:val="1"/>
                <w:szCs w:val="1"/>
                <w:color w:val="auto"/>
              </w:rPr>
            </w:pPr>
          </w:p>
        </w:tc>
      </w:tr>
      <w:tr>
        <w:trPr>
          <w:trHeight w:val="142"/>
        </w:trPr>
        <w:tc>
          <w:tcPr>
            <w:tcW w:w="18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w:t>
            </w:r>
          </w:p>
        </w:tc>
        <w:tc>
          <w:tcPr>
            <w:tcW w:w="24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17.8</w:t>
            </w:r>
          </w:p>
        </w:tc>
        <w:tc>
          <w:tcPr>
            <w:tcW w:w="24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14.9</w:t>
            </w:r>
          </w:p>
        </w:tc>
        <w:tc>
          <w:tcPr>
            <w:tcW w:w="24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-16.4</w:t>
            </w:r>
          </w:p>
        </w:tc>
        <w:tc>
          <w:tcPr>
            <w:tcW w:w="260" w:type="dxa"/>
            <w:vAlign w:val="bottom"/>
            <w:tcBorders>
              <w:bottom w:val="single" w:sz="8" w:color="CCEEF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35.0</w:t>
            </w:r>
          </w:p>
        </w:tc>
        <w:tc>
          <w:tcPr>
            <w:tcW w:w="260" w:type="dxa"/>
            <w:vAlign w:val="bottom"/>
            <w:tcBorders>
              <w:bottom w:val="single" w:sz="8" w:color="CCEEF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45.9</w:t>
            </w:r>
          </w:p>
        </w:tc>
        <w:tc>
          <w:tcPr>
            <w:tcW w:w="2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68.0</w:t>
            </w:r>
          </w:p>
        </w:tc>
        <w:tc>
          <w:tcPr>
            <w:tcW w:w="2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48.2</w:t>
            </w:r>
          </w:p>
        </w:tc>
        <w:tc>
          <w:tcPr>
            <w:tcW w:w="14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42"/>
        </w:trPr>
        <w:tc>
          <w:tcPr>
            <w:tcW w:w="18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loans</w:t>
            </w: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2,999.0</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3,339.8</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3,525.3</w:t>
            </w: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17.6%</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Past due loans</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48.2</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48.4</w:t>
            </w:r>
          </w:p>
        </w:tc>
        <w:tc>
          <w:tcPr>
            <w:tcW w:w="12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2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provisions</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-112.3</w:t>
            </w:r>
          </w:p>
        </w:tc>
        <w:tc>
          <w:tcPr>
            <w:tcW w:w="12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-120.8</w:t>
            </w:r>
          </w:p>
        </w:tc>
        <w:tc>
          <w:tcPr>
            <w:tcW w:w="12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-130.8</w:t>
            </w:r>
          </w:p>
        </w:tc>
        <w:tc>
          <w:tcPr>
            <w:tcW w:w="12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investments</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916.6</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829.0</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1138.1</w:t>
            </w:r>
          </w:p>
        </w:tc>
        <w:tc>
          <w:tcPr>
            <w:tcW w:w="12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2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4,696.1</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5,034.6</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5,245.9</w:t>
            </w: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deposits</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4,121.9</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4,369.0</w:t>
            </w: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4,533.0</w:t>
            </w:r>
          </w:p>
        </w:tc>
        <w:tc>
          <w:tcPr>
            <w:tcW w:w="240" w:type="dxa"/>
            <w:vAlign w:val="bottom"/>
          </w:tcPr>
          <w:p>
            <w:pPr>
              <w:spacing w:after="0"/>
              <w:rPr>
                <w:sz w:val="12"/>
                <w:szCs w:val="12"/>
                <w:color w:val="auto"/>
              </w:rPr>
            </w:pPr>
          </w:p>
        </w:tc>
        <w:tc>
          <w:tcPr>
            <w:tcW w:w="12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shareholders' equity</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401.9</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459.1</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498.3</w:t>
            </w:r>
          </w:p>
        </w:tc>
        <w:tc>
          <w:tcPr>
            <w:tcW w:w="1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8.5%</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24.0%</w:t>
            </w: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PDL ratio</w:t>
            </w: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40" w:type="dxa"/>
            <w:vAlign w:val="bottom"/>
            <w:gridSpan w:val="2"/>
            <w:vMerge w:val="continue"/>
          </w:tcPr>
          <w:p>
            <w:pPr>
              <w:spacing w:after="0"/>
              <w:rPr>
                <w:sz w:val="12"/>
                <w:szCs w:val="12"/>
                <w:color w:val="auto"/>
              </w:rPr>
            </w:pPr>
          </w:p>
        </w:tc>
        <w:tc>
          <w:tcPr>
            <w:tcW w:w="11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1.33%</w:t>
            </w:r>
          </w:p>
        </w:tc>
        <w:tc>
          <w:tcPr>
            <w:tcW w:w="12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1.45%</w:t>
            </w:r>
          </w:p>
        </w:tc>
        <w:tc>
          <w:tcPr>
            <w:tcW w:w="12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1.37%</w:t>
            </w: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Coverage of PDLs</w:t>
            </w: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281.0%</w:t>
            </w:r>
          </w:p>
        </w:tc>
        <w:tc>
          <w:tcPr>
            <w:tcW w:w="12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250.8%</w:t>
            </w:r>
          </w:p>
        </w:tc>
        <w:tc>
          <w:tcPr>
            <w:tcW w:w="12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270.1%</w:t>
            </w: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ROAE*</w:t>
            </w: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Branches</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Agentes</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ATMs</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Employees BCP Bolivia</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1666</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w:t>
            </w: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1662</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Employees Inversiones</w:t>
            </w: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Credicorp Bolivia (Holding)</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0</wp:posOffset>
            </wp:positionV>
            <wp:extent cx="21183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i w:val="1"/>
          <w:iCs w:val="1"/>
          <w:color w:val="auto"/>
        </w:rPr>
        <w:t>* Accumulated ROAE for December 2014: 15.1%, December 2013: 12.2%.</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BCP Bolivia’s net income in 4Q14 totaled PEN 14.9 million, which represented a decrease of -16.4% QoQ, which was primarily attributable to: i) a 93.4% QoQ increase in net provisions for loan losses; ii) a 6.8% QoQ growth in operating expenses, which was associated with systems projects (information security, technology up-dates, expansion in the Data Center, among others) and (iii) an increase in expenditure for taxes on sales in foreign currency (IVME), which was attributable to higher sales volumes. All of the aforementioned was offset by an increase in non-financial income (+20.8% QoQ) due to higher earnings on FX transactions.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YoY analysis of BCP Bolivia’s net income reveals a positive variation (+35.0% YoY), which was due primarily to: i) a +9.0% YoY increase in net interest income due to loan growth and higher income for securities available for sale and maturities; ii) an increase in non-financial income (+22.5% YoY) due to higher gains on FX transactions and, iii) due to a -42.1% YoY reduction in net provisions for loan losses, which was due to an improvement in portfolio quality.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Nevertheless, the aforementioned was adversely affected by an increase in income tax (+306.1% YoY). This was due primarily to the fact that net income was lower in 4Q13, which exonerated BCP Bolivia from the need to pay the Additional Aliquot on Income Tax (AA-IUE) in 2013.</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accumulated analysis, net income in 2014 was situated at PEN 68.0 million (+48.2%) due to an increase in net interest income (+16.2%), lower net provisions for loans (-37.6%) and higher non-financial income (+12.5%). This helped reduce the impact of higher income tax (+169.3%).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BCP Bolivia’s prudent approach to loan risk management allowed it to post a PDL ratio of 1.37% in 4Q14 (1.45% in 3Q14 and 1.33% in 4Q13) and a coverage ratio of 270.1% (250.8% in 3Q14 and 281.0% in 4Q13). The Bolivian banking system registered a PDL ratio of 1.54% and a coverage ratio of 276.8% at the end of 4Q14, which is proof that BCP Bolivia continues to position itself as one of the system’s most stable and reliable entities. BCP Bolivia’s ROAE was situated at 12.5% at the end of 4Q14 and at 15.1% at year-end.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BCP Bolivia’s loan balance at the end of December 2014 was situated at PEN 3,525.3 million, which represented an increase of +5.6% QoQ. The aforementioned was due primarily a significant contribution from Retail Banking, which posted a +2.4% increase in loans QoQ and +11.7% YoY. It is important to note that this portfolio currently represents 60.9% of BCP Bolivia’s total loans. The best-performing segments in Retail Banking were: i) Home loans (+2.4% QoQ and +13.9% YoY); ii) SMEs (+2.0% QoQ and +17.0% YoY); and, iii) Personal Loans (+3.6% QoQ and +3.8% YoY). On the other side, the wholesale banking portfolio reported growth of +1.5% QoQ and +6.6% YoY.</w:t>
      </w: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BCP Bolivia’s total investments at the end of December 2014 totaled PEN 1,138.1 million, which represents an increase of 37.3% QoQ and 24.2% YoY. The QoQ trend is associated with higher investment in bills from the Central Bank of Bolivia.</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terms of liabilities, deposits at BCP Bolivia grew 3.8% QoQ, which was due primarily to an increase in savings deposits (6.3% QoQ). The YoY analysis reflects a 10.0% increase YoY due to expansion in time deposits (18.4% YoY) and savings deposits (3.5% YoY), both of which accompanied loan growth.</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shareholders’ equity posted growth of 8.5% QoQ and 24.0% YoY. The YoY variation was due to the decision to reinvest 55% of the earnings generated in 2013.</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Finally, BCP Bolivia maintains a solid market 10.5% market share in current loans (fourth place in the banking system) and 10.2% in total deposits (fifth place in the banking system).</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IV. Financiera Edyficar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Edyficar excluding Mibanco</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w w:val="98"/>
              </w:rPr>
              <w:t>% Change</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4"/>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Year to date</w:t>
            </w:r>
          </w:p>
        </w:tc>
        <w:tc>
          <w:tcPr>
            <w:tcW w:w="9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PEN (000)</w:t>
            </w:r>
          </w:p>
        </w:tc>
        <w:tc>
          <w:tcPr>
            <w:tcW w:w="10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4Q13</w:t>
            </w:r>
          </w:p>
        </w:tc>
        <w:tc>
          <w:tcPr>
            <w:tcW w:w="220" w:type="dxa"/>
            <w:vAlign w:val="bottom"/>
          </w:tcPr>
          <w:p>
            <w:pPr>
              <w:spacing w:after="0"/>
              <w:rPr>
                <w:sz w:val="13"/>
                <w:szCs w:val="13"/>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3Q14</w:t>
            </w:r>
          </w:p>
        </w:tc>
        <w:tc>
          <w:tcPr>
            <w:tcW w:w="22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4Q14</w:t>
            </w:r>
          </w:p>
        </w:tc>
        <w:tc>
          <w:tcPr>
            <w:tcW w:w="22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QoQ</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YoY</w:t>
            </w:r>
          </w:p>
        </w:tc>
        <w:tc>
          <w:tcPr>
            <w:tcW w:w="26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Dec 13</w:t>
            </w:r>
          </w:p>
        </w:tc>
        <w:tc>
          <w:tcPr>
            <w:tcW w:w="22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Dec 14</w:t>
            </w:r>
          </w:p>
        </w:tc>
        <w:tc>
          <w:tcPr>
            <w:tcW w:w="220" w:type="dxa"/>
            <w:vAlign w:val="bottom"/>
          </w:tcPr>
          <w:p>
            <w:pPr>
              <w:spacing w:after="0"/>
              <w:rPr>
                <w:sz w:val="13"/>
                <w:szCs w:val="13"/>
                <w:color w:val="auto"/>
              </w:rPr>
            </w:pPr>
          </w:p>
        </w:tc>
        <w:tc>
          <w:tcPr>
            <w:tcW w:w="9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4"/>
              </w:rPr>
              <w:t>Dec 14 / Dec 13</w:t>
            </w:r>
          </w:p>
        </w:tc>
        <w:tc>
          <w:tcPr>
            <w:tcW w:w="0" w:type="dxa"/>
            <w:vAlign w:val="bottom"/>
          </w:tcPr>
          <w:p>
            <w:pPr>
              <w:spacing w:after="0"/>
              <w:rPr>
                <w:sz w:val="1"/>
                <w:szCs w:val="1"/>
                <w:color w:val="auto"/>
              </w:rPr>
            </w:pPr>
          </w:p>
        </w:tc>
      </w:tr>
      <w:tr>
        <w:trPr>
          <w:trHeight w:val="20"/>
        </w:trPr>
        <w:tc>
          <w:tcPr>
            <w:tcW w:w="4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Net financial income</w:t>
            </w:r>
          </w:p>
        </w:tc>
        <w:tc>
          <w:tcPr>
            <w:tcW w:w="10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153,569</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181,999</w:t>
            </w:r>
          </w:p>
        </w:tc>
        <w:tc>
          <w:tcPr>
            <w:tcW w:w="22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199,642</w:t>
            </w:r>
          </w:p>
        </w:tc>
        <w:tc>
          <w:tcPr>
            <w:tcW w:w="220" w:type="dxa"/>
            <w:vAlign w:val="bottom"/>
            <w:vMerge w:val="continue"/>
            <w:shd w:val="clear" w:color="auto" w:fill="CCEEFF"/>
          </w:tcPr>
          <w:p>
            <w:pPr>
              <w:spacing w:after="0"/>
              <w:rPr>
                <w:sz w:val="11"/>
                <w:szCs w:val="11"/>
                <w:color w:val="auto"/>
              </w:rPr>
            </w:pPr>
          </w:p>
        </w:tc>
        <w:tc>
          <w:tcPr>
            <w:tcW w:w="92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9.7%</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30.0%</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586,904</w:t>
            </w:r>
          </w:p>
        </w:tc>
        <w:tc>
          <w:tcPr>
            <w:tcW w:w="22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703,101</w:t>
            </w:r>
          </w:p>
        </w:tc>
        <w:tc>
          <w:tcPr>
            <w:tcW w:w="220" w:type="dxa"/>
            <w:vAlign w:val="bottom"/>
            <w:vMerge w:val="continue"/>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19.8%</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Total provisions for loan loasses</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(30,739)</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(28,843)</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(31,090)</w:t>
            </w:r>
          </w:p>
        </w:tc>
        <w:tc>
          <w:tcPr>
            <w:tcW w:w="9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7.8%</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(99,526)</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(119,860)</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20.4%</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Non financial income</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2,322</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691</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2,116</w:t>
            </w:r>
          </w:p>
        </w:tc>
        <w:tc>
          <w:tcPr>
            <w:tcW w:w="9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206.3%</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5,576</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5,735</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Operating expenses</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(83,053)</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(96,632)</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(111,127)</w:t>
            </w:r>
          </w:p>
        </w:tc>
        <w:tc>
          <w:tcPr>
            <w:tcW w:w="9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33.8%</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(308,381)</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(386,827)</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Income</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42,099</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57,215</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59,540</w:t>
            </w:r>
          </w:p>
        </w:tc>
        <w:tc>
          <w:tcPr>
            <w:tcW w:w="9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4.1%</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41.4%</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184,573</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202,149</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9.5%</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Translation results</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(1,499)</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(4,397)</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(10,622)</w:t>
            </w:r>
          </w:p>
        </w:tc>
        <w:tc>
          <w:tcPr>
            <w:tcW w:w="9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141.6%</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608.6%</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(41,505)</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(15,355)</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-63.0%</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Income taxes</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(11,670)</w:t>
            </w: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(14,591)</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(12,184)</w:t>
            </w:r>
          </w:p>
        </w:tc>
        <w:tc>
          <w:tcPr>
            <w:tcW w:w="9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-16.5%</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(44,045)</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(49,869)</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28,930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38,228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36,734</w:t>
            </w:r>
          </w:p>
        </w:tc>
        <w:tc>
          <w:tcPr>
            <w:tcW w:w="9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-3.9%</w:t>
            </w:r>
          </w:p>
        </w:tc>
        <w:tc>
          <w:tcPr>
            <w:tcW w:w="180" w:type="dxa"/>
            <w:vAlign w:val="bottom"/>
          </w:tcPr>
          <w:p>
            <w:pPr>
              <w:spacing w:after="0"/>
              <w:rPr>
                <w:sz w:val="12"/>
                <w:szCs w:val="12"/>
                <w:color w:val="auto"/>
              </w:rPr>
            </w:pPr>
          </w:p>
        </w:tc>
        <w:tc>
          <w:tcPr>
            <w:tcW w:w="7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27.0%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99,023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136,925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38.3%</w:t>
            </w:r>
          </w:p>
        </w:tc>
        <w:tc>
          <w:tcPr>
            <w:tcW w:w="0" w:type="dxa"/>
            <w:vAlign w:val="bottom"/>
          </w:tcPr>
          <w:p>
            <w:pPr>
              <w:spacing w:after="0"/>
              <w:rPr>
                <w:sz w:val="1"/>
                <w:szCs w:val="1"/>
                <w:color w:val="auto"/>
              </w:rPr>
            </w:pPr>
          </w:p>
        </w:tc>
      </w:tr>
      <w:tr>
        <w:trPr>
          <w:trHeight w:val="129"/>
        </w:trPr>
        <w:tc>
          <w:tcPr>
            <w:tcW w:w="418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Contribution to BCP</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28,869</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38,147</w:t>
            </w: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36,657</w:t>
            </w: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w:t>
            </w:r>
          </w:p>
        </w:tc>
        <w:tc>
          <w:tcPr>
            <w:tcW w:w="240" w:type="dxa"/>
            <w:vAlign w:val="bottom"/>
            <w:tcBorders>
              <w:top w:val="single" w:sz="8" w:color="CCEEFF"/>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ind w:left="260"/>
              <w:spacing w:after="0" w:line="129" w:lineRule="exact"/>
              <w:rPr>
                <w:sz w:val="20"/>
                <w:szCs w:val="20"/>
                <w:color w:val="auto"/>
              </w:rPr>
            </w:pPr>
            <w:r>
              <w:rPr>
                <w:rFonts w:ascii="Times New Roman" w:cs="Times New Roman" w:eastAsia="Times New Roman" w:hAnsi="Times New Roman"/>
                <w:sz w:val="13"/>
                <w:szCs w:val="13"/>
                <w:b w:val="1"/>
                <w:bCs w:val="1"/>
                <w:color w:val="auto"/>
                <w:w w:val="87"/>
              </w:rPr>
              <w:t>27.0</w:t>
            </w:r>
          </w:p>
        </w:tc>
        <w:tc>
          <w:tcPr>
            <w:tcW w:w="260" w:type="dxa"/>
            <w:vAlign w:val="bottom"/>
            <w:tcBorders>
              <w:top w:val="single" w:sz="8" w:color="CCEEFF"/>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98,815</w:t>
            </w: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136,638</w:t>
            </w: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38.3</w:t>
            </w:r>
          </w:p>
        </w:tc>
        <w:tc>
          <w:tcPr>
            <w:tcW w:w="14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29"/>
        </w:trPr>
        <w:tc>
          <w:tcPr>
            <w:tcW w:w="41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2,661,362</w:t>
            </w:r>
          </w:p>
        </w:tc>
        <w:tc>
          <w:tcPr>
            <w:tcW w:w="2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3,208,745</w:t>
            </w:r>
          </w:p>
        </w:tc>
        <w:tc>
          <w:tcPr>
            <w:tcW w:w="2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3,449,903</w:t>
            </w:r>
          </w:p>
        </w:tc>
        <w:tc>
          <w:tcPr>
            <w:tcW w:w="220" w:type="dxa"/>
            <w:vAlign w:val="bottom"/>
          </w:tcPr>
          <w:p>
            <w:pPr>
              <w:spacing w:after="0"/>
              <w:rPr>
                <w:sz w:val="11"/>
                <w:szCs w:val="11"/>
                <w:color w:val="auto"/>
              </w:rPr>
            </w:pPr>
          </w:p>
        </w:tc>
        <w:tc>
          <w:tcPr>
            <w:tcW w:w="920" w:type="dxa"/>
            <w:vAlign w:val="bottom"/>
            <w:gridSpan w:val="2"/>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7.5%</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29.6%</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2,661,362</w:t>
            </w:r>
          </w:p>
        </w:tc>
        <w:tc>
          <w:tcPr>
            <w:tcW w:w="2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3,449,903</w:t>
            </w:r>
          </w:p>
        </w:tc>
        <w:tc>
          <w:tcPr>
            <w:tcW w:w="22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Past due loans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102,703</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128,977</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139,181</w:t>
            </w:r>
          </w:p>
        </w:tc>
        <w:tc>
          <w:tcPr>
            <w:tcW w:w="9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35.5%</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102,703</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139,181</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35.5%</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Net provisions for possible loan losses</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(183,704)</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(221,716)</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(238,327)</w:t>
            </w:r>
          </w:p>
        </w:tc>
        <w:tc>
          <w:tcPr>
            <w:tcW w:w="9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29.7%</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(183,704)</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(238,327)</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29.7%</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assets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3,369,247</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4,460,332</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4,663,101</w:t>
            </w:r>
          </w:p>
        </w:tc>
        <w:tc>
          <w:tcPr>
            <w:tcW w:w="9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38.0%</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3,369,247</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4,663,101</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38.0%</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Deposits and obligations</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1,232,953</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1,652,448</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1,530,361</w:t>
            </w:r>
          </w:p>
        </w:tc>
        <w:tc>
          <w:tcPr>
            <w:tcW w:w="9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24.1%</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1,232,953</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1,530,361</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24.1%</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shareholders´ equity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356,715</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415,888</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412,330</w:t>
            </w:r>
          </w:p>
        </w:tc>
        <w:tc>
          <w:tcPr>
            <w:tcW w:w="9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-3.8%</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356,715</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412,330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PDL ratio</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80" w:type="dxa"/>
            <w:vAlign w:val="bottom"/>
            <w:gridSpan w:val="2"/>
            <w:vMerge w:val="continue"/>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3.86%</w:t>
            </w:r>
          </w:p>
        </w:tc>
        <w:tc>
          <w:tcPr>
            <w:tcW w:w="8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4.02%</w:t>
            </w:r>
          </w:p>
        </w:tc>
        <w:tc>
          <w:tcPr>
            <w:tcW w:w="90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4.03%</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3.86%</w:t>
            </w:r>
          </w:p>
        </w:tc>
        <w:tc>
          <w:tcPr>
            <w:tcW w:w="90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4.03%</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Coverage of PDLs</w:t>
            </w:r>
          </w:p>
        </w:tc>
        <w:tc>
          <w:tcPr>
            <w:tcW w:w="9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178.9%</w:t>
            </w: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171.9%</w:t>
            </w:r>
          </w:p>
        </w:tc>
        <w:tc>
          <w:tcPr>
            <w:tcW w:w="9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171.2%</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178.9%</w:t>
            </w:r>
          </w:p>
        </w:tc>
        <w:tc>
          <w:tcPr>
            <w:tcW w:w="9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171.2%</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Efficiency Ratio</w:t>
            </w:r>
          </w:p>
        </w:tc>
        <w:tc>
          <w:tcPr>
            <w:tcW w:w="9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52.1%</w:t>
            </w: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52.8%</w:t>
            </w:r>
          </w:p>
        </w:tc>
        <w:tc>
          <w:tcPr>
            <w:tcW w:w="9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52.4%</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55.2%</w:t>
            </w:r>
          </w:p>
        </w:tc>
        <w:tc>
          <w:tcPr>
            <w:tcW w:w="9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54.6%</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Return on average equity*</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23.9%</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26.0%</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25.4%</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Branches</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190</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203</w:t>
            </w:r>
          </w:p>
        </w:tc>
        <w:tc>
          <w:tcPr>
            <w:tcW w:w="22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214</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Employees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4,359</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5,301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5,606</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Edyficar including Mibanco</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180" w:type="dxa"/>
            <w:vAlign w:val="bottom"/>
            <w:gridSpan w:val="2"/>
            <w:vMerge w:val="continue"/>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4Q13</w:t>
            </w:r>
          </w:p>
        </w:tc>
        <w:tc>
          <w:tcPr>
            <w:tcW w:w="2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3Q14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4Q14</w:t>
            </w:r>
          </w:p>
        </w:tc>
        <w:tc>
          <w:tcPr>
            <w:tcW w:w="1100" w:type="dxa"/>
            <w:vAlign w:val="bottom"/>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QoQ</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YoY</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80" w:type="dxa"/>
            <w:vAlign w:val="bottom"/>
            <w:gridSpan w:val="2"/>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28,930</w:t>
            </w:r>
          </w:p>
        </w:tc>
        <w:tc>
          <w:tcPr>
            <w:tcW w:w="22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20,164</w:t>
            </w:r>
          </w:p>
        </w:tc>
        <w:tc>
          <w:tcPr>
            <w:tcW w:w="22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(3,789)</w:t>
            </w:r>
          </w:p>
        </w:tc>
        <w:tc>
          <w:tcPr>
            <w:tcW w:w="220" w:type="dxa"/>
            <w:vAlign w:val="bottom"/>
            <w:vMerge w:val="continue"/>
            <w:shd w:val="clear" w:color="auto" w:fill="CCEEFF"/>
          </w:tcPr>
          <w:p>
            <w:pPr>
              <w:spacing w:after="0"/>
              <w:rPr>
                <w:sz w:val="11"/>
                <w:szCs w:val="11"/>
                <w:color w:val="auto"/>
              </w:rPr>
            </w:pPr>
          </w:p>
        </w:tc>
        <w:tc>
          <w:tcPr>
            <w:tcW w:w="92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-118.8%</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-113.1%</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Contribution to BCP</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28,869</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20,122</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(3,781)</w:t>
            </w:r>
          </w:p>
        </w:tc>
        <w:tc>
          <w:tcPr>
            <w:tcW w:w="9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-118.8%</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-113.1%</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shareholders´ equity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356,715</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1,067,673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1,064,115</w:t>
            </w:r>
          </w:p>
        </w:tc>
        <w:tc>
          <w:tcPr>
            <w:tcW w:w="9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-0.3%</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198.3%</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Efficiency Ratio</w:t>
            </w:r>
          </w:p>
        </w:tc>
        <w:tc>
          <w:tcPr>
            <w:tcW w:w="90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52.1%</w:t>
            </w:r>
          </w:p>
        </w:tc>
        <w:tc>
          <w:tcPr>
            <w:tcW w:w="8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53.7%</w:t>
            </w:r>
          </w:p>
        </w:tc>
        <w:tc>
          <w:tcPr>
            <w:tcW w:w="90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Return on average equity*</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23.9%</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-462280</wp:posOffset>
            </wp:positionV>
            <wp:extent cx="1800860" cy="94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00860" cy="9461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-282575</wp:posOffset>
            </wp:positionV>
            <wp:extent cx="1800860" cy="946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00860" cy="9461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-93980</wp:posOffset>
            </wp:positionV>
            <wp:extent cx="1800860" cy="946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00860" cy="9461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0</wp:posOffset>
            </wp:positionV>
            <wp:extent cx="15608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i w:val="1"/>
          <w:iCs w:val="1"/>
          <w:color w:val="auto"/>
        </w:rPr>
        <w:t>* Net shareholders' equity includes US$ 50.7 million from goowill.</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4Q14, Edyficar, without including the effect of Mibanco, reported net earnings of 36.7 million. This is in line with solid earnings generation (+9.7% QoQ), which was associated with the quarterly evolution of loans (+7.5% QoQ). Nevertheless, the net income in 4Q14 represented a decline of -3.9% QoQ, which was due primarily to:</w:t>
      </w:r>
    </w:p>
    <w:p>
      <w:pPr>
        <w:spacing w:after="0" w:line="176" w:lineRule="exact"/>
        <w:rPr>
          <w:sz w:val="20"/>
          <w:szCs w:val="20"/>
          <w:color w:val="auto"/>
        </w:rPr>
      </w:pPr>
    </w:p>
    <w:p>
      <w:pPr>
        <w:ind w:left="500" w:hanging="370"/>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operating expenses (+15.0% QoQ), which was associated with higher spending on compensation due to a QoQ increase in personnel;</w:t>
      </w:r>
    </w:p>
    <w:p>
      <w:pPr>
        <w:spacing w:after="0" w:line="27" w:lineRule="exact"/>
        <w:rPr>
          <w:rFonts w:ascii="Times New Roman" w:cs="Times New Roman" w:eastAsia="Times New Roman" w:hAnsi="Times New Roman"/>
          <w:sz w:val="18"/>
          <w:szCs w:val="18"/>
          <w:color w:val="auto"/>
        </w:rPr>
      </w:pPr>
    </w:p>
    <w:p>
      <w:pPr>
        <w:ind w:left="500" w:hanging="370"/>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losses due to the exchange rate (+141.6% QoQ); and</w:t>
      </w:r>
    </w:p>
    <w:p>
      <w:pPr>
        <w:spacing w:after="0" w:line="9" w:lineRule="exact"/>
        <w:rPr>
          <w:rFonts w:ascii="Times New Roman" w:cs="Times New Roman" w:eastAsia="Times New Roman" w:hAnsi="Times New Roman"/>
          <w:sz w:val="18"/>
          <w:szCs w:val="18"/>
          <w:color w:val="auto"/>
        </w:rPr>
      </w:pPr>
    </w:p>
    <w:p>
      <w:pPr>
        <w:ind w:left="500" w:hanging="370"/>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provisions for loan losses (+7.8% QoQ), in line with the evolution of the PDL portfolio (+7.9% QoQ).</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also important to note that if we incorporate the effect of Mibanco, net income totaled - PEN 35.8 million. This was due to non-recurring expenses for approximately PEN 41 million, which were incurred in 4Q, primarily from efforts to implement Edyficar’s business model in Mibanco and to capture synergies during the integration process of both institution, which is subject to SBS’s approval. The majority of expenses were associated with system migrations, amortization of intangibles and branch closings.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analysis of the YoY and annual accumulated results, without including the effect of Mibanco, reveals an increase of +27% y +38.3% in terms of net income, respectively. The aforementioned is due to an increase in net interest income (+30% YoY and +19.8% annual accumulated), which was associated with solid loan growth (+29.6% YoY) and adequate management of the portfolio’s risk profile. This helped offset higher operating expenses (+33.8% YoY and +25.4% annual accumulated) due to higher salaries and employees benefits.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terms of portfolio volume and quality, total loans grew +7.5% QoQ to total PEN 3,450 million. This represented expansion of +29.6% YoY and contributed to on-going growth in Edyficar’s market share in the sector. Growth this quarter was due to tangible and intangible factors, including: (i) an increase in the labor force to reach more clients, (ii) and efforts to reinforce the training program to further professionalize the work of our analysts.</w:t>
      </w:r>
    </w:p>
    <w:p>
      <w:pPr>
        <w:spacing w:after="0" w:line="392"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The past due loan portfolio reported growth of +7.9% QoQ and +35.5% YoY, with a PDL ratio of 4.03%, which represented a slight increase of +1 bps over the level registered in 3Q14 (4.02%). The PDL coverage ratio was situated at 171.2% at the end of 4Q14, which represents a decline of -67 bps with regard to 3Q14’s level (171.9%). It is important to note that the coverage ratio’s level continues to be situated within the internal limit of 150%.</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assets grew +4.3% QoQ and +38.0% YoY due primarily to loan growth and, to a lesser extent, expansion in fixed assets. Fixed assets grew due to on-going expansion at branches, which increased in number from 190 in 4Q13 to 214 in 4Q14.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shareholders’ equity, without including the effect of Mibanco, totaled PEN 4120 million. This represented a decline of -3.8% QoQ and an increase of +12.2% YoY. ROAE without Mibanco was situated at 26% in 4Q14, which indicated a 27.7% decline in terms of3Q14’s result. Nevertheless, if we include the effect of Mibanco, ROAE was -1.2% in 4Q14, which was in line with expectations and due to the capital increase at the end of 1Q14 to purchase shares of Mibanco. In this context, net shareholders’ equity at the end of 4Q14 totaled PEN 1,064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obtained by Financiera Edyficar are proof that it continues to contribute to BCP’s objectives in terms of loan growth and earnings generation.</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V. Credicorp Capital</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Credicorp Capital</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Change %</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tcPr>
          <w:p>
            <w:pPr>
              <w:ind w:left="560"/>
              <w:spacing w:after="0"/>
              <w:rPr>
                <w:sz w:val="20"/>
                <w:szCs w:val="20"/>
                <w:color w:val="auto"/>
              </w:rPr>
            </w:pPr>
            <w:r>
              <w:rPr>
                <w:rFonts w:ascii="Times New Roman" w:cs="Times New Roman" w:eastAsia="Times New Roman" w:hAnsi="Times New Roman"/>
                <w:sz w:val="13"/>
                <w:szCs w:val="13"/>
                <w:b w:val="1"/>
                <w:bCs w:val="1"/>
                <w:color w:val="auto"/>
                <w:w w:val="93"/>
              </w:rPr>
              <w:t>Year to date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 Change</w:t>
            </w:r>
          </w:p>
        </w:tc>
        <w:tc>
          <w:tcPr>
            <w:tcW w:w="0" w:type="dxa"/>
            <w:vAlign w:val="bottom"/>
          </w:tcPr>
          <w:p>
            <w:pPr>
              <w:spacing w:after="0"/>
              <w:rPr>
                <w:sz w:val="1"/>
                <w:szCs w:val="1"/>
                <w:color w:val="auto"/>
              </w:rPr>
            </w:pPr>
          </w:p>
        </w:tc>
      </w:tr>
      <w:tr>
        <w:trPr>
          <w:trHeight w:val="155"/>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PEN (million)</w:t>
            </w:r>
          </w:p>
        </w:tc>
        <w:tc>
          <w:tcPr>
            <w:tcW w:w="1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4Q13</w:t>
            </w:r>
          </w:p>
        </w:tc>
        <w:tc>
          <w:tcPr>
            <w:tcW w:w="2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3Q14</w:t>
            </w:r>
          </w:p>
        </w:tc>
        <w:tc>
          <w:tcPr>
            <w:tcW w:w="2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4Q14</w:t>
            </w:r>
          </w:p>
        </w:tc>
        <w:tc>
          <w:tcPr>
            <w:tcW w:w="2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w w:val="89"/>
              </w:rPr>
              <w:t>QoQ</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w w:val="94"/>
              </w:rPr>
              <w:t>YoY</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dec 13</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dec 14</w:t>
            </w:r>
          </w:p>
        </w:tc>
        <w:tc>
          <w:tcPr>
            <w:tcW w:w="2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Dec14/ Dec13</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Financial income</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10.8</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-49%</w:t>
            </w:r>
          </w:p>
        </w:tc>
        <w:tc>
          <w:tcPr>
            <w:tcW w:w="5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5%</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23.6</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27.3</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Non-financial income</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110.6</w:t>
            </w:r>
          </w:p>
        </w:tc>
        <w:tc>
          <w:tcPr>
            <w:tcW w:w="240" w:type="dxa"/>
            <w:vAlign w:val="bottom"/>
          </w:tcPr>
          <w:p>
            <w:pPr>
              <w:spacing w:after="0"/>
              <w:rPr>
                <w:sz w:val="11"/>
                <w:szCs w:val="11"/>
                <w:color w:val="auto"/>
              </w:rPr>
            </w:pPr>
          </w:p>
        </w:tc>
        <w:tc>
          <w:tcPr>
            <w:tcW w:w="10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109.7</w:t>
            </w:r>
          </w:p>
        </w:tc>
        <w:tc>
          <w:tcPr>
            <w:tcW w:w="10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135.7</w:t>
            </w:r>
          </w:p>
        </w:tc>
        <w:tc>
          <w:tcPr>
            <w:tcW w:w="52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54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0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431.2</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478.6</w:t>
            </w:r>
          </w:p>
        </w:tc>
        <w:tc>
          <w:tcPr>
            <w:tcW w:w="9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Financial expenses</w:t>
            </w: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10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5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5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0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-18.6</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-24.8</w:t>
            </w:r>
          </w:p>
        </w:tc>
        <w:tc>
          <w:tcPr>
            <w:tcW w:w="9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expenses (1)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-94.2</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-89.9</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-115.3</w:t>
            </w:r>
          </w:p>
        </w:tc>
        <w:tc>
          <w:tcPr>
            <w:tcW w:w="5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28%</w:t>
            </w:r>
          </w:p>
        </w:tc>
        <w:tc>
          <w:tcPr>
            <w:tcW w:w="54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-355.2</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-388.4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29"/>
        </w:trPr>
        <w:tc>
          <w:tcPr>
            <w:tcW w:w="334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Operating income</w:t>
            </w:r>
          </w:p>
        </w:tc>
        <w:tc>
          <w:tcPr>
            <w:tcW w:w="8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color w:val="auto"/>
              </w:rPr>
              <w:t>Core operating income</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10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19.6</w:t>
            </w:r>
          </w:p>
        </w:tc>
        <w:tc>
          <w:tcPr>
            <w:tcW w:w="10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18.5</w:t>
            </w:r>
          </w:p>
        </w:tc>
        <w:tc>
          <w:tcPr>
            <w:tcW w:w="52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w:t>
            </w:r>
          </w:p>
        </w:tc>
        <w:tc>
          <w:tcPr>
            <w:tcW w:w="54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0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81.0</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92.6</w:t>
            </w:r>
          </w:p>
        </w:tc>
        <w:tc>
          <w:tcPr>
            <w:tcW w:w="9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Non core operating income (2)</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-52.3</w:t>
            </w:r>
          </w:p>
        </w:tc>
        <w:tc>
          <w:tcPr>
            <w:tcW w:w="10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-90.3</w:t>
            </w:r>
          </w:p>
        </w:tc>
        <w:tc>
          <w:tcPr>
            <w:tcW w:w="5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4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10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-52.3</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-90.3</w:t>
            </w:r>
          </w:p>
        </w:tc>
        <w:tc>
          <w:tcPr>
            <w:tcW w:w="9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Income taxes</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240" w:type="dxa"/>
            <w:vAlign w:val="bottom"/>
          </w:tcPr>
          <w:p>
            <w:pPr>
              <w:spacing w:after="0"/>
              <w:rPr>
                <w:sz w:val="11"/>
                <w:szCs w:val="11"/>
                <w:color w:val="auto"/>
              </w:rPr>
            </w:pPr>
          </w:p>
        </w:tc>
        <w:tc>
          <w:tcPr>
            <w:tcW w:w="10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52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54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0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-22.2</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-29.0</w:t>
            </w:r>
          </w:p>
        </w:tc>
        <w:tc>
          <w:tcPr>
            <w:tcW w:w="9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Translation results</w:t>
            </w: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0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5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5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10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9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-185%</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Minority Interest (3)</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240" w:type="dxa"/>
            <w:vAlign w:val="bottom"/>
          </w:tcPr>
          <w:p>
            <w:pPr>
              <w:spacing w:after="0"/>
              <w:rPr>
                <w:sz w:val="11"/>
                <w:szCs w:val="11"/>
                <w:color w:val="auto"/>
              </w:rPr>
            </w:pPr>
          </w:p>
        </w:tc>
        <w:tc>
          <w:tcPr>
            <w:tcW w:w="10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52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w w:val="97"/>
              </w:rPr>
              <w:t>-546%</w:t>
            </w:r>
          </w:p>
        </w:tc>
        <w:tc>
          <w:tcPr>
            <w:tcW w:w="54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10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9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-32.2</w:t>
            </w:r>
          </w:p>
        </w:tc>
        <w:tc>
          <w:tcPr>
            <w:tcW w:w="10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11.4</w:t>
            </w:r>
          </w:p>
        </w:tc>
        <w:tc>
          <w:tcPr>
            <w:tcW w:w="10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-54.5</w:t>
            </w:r>
          </w:p>
        </w:tc>
        <w:tc>
          <w:tcPr>
            <w:tcW w:w="5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-580%</w:t>
            </w:r>
          </w:p>
        </w:tc>
        <w:tc>
          <w:tcPr>
            <w:tcW w:w="5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41%</w:t>
            </w:r>
          </w:p>
        </w:tc>
        <w:tc>
          <w:tcPr>
            <w:tcW w:w="10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-7.4</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-14.4</w:t>
            </w:r>
          </w:p>
        </w:tc>
        <w:tc>
          <w:tcPr>
            <w:tcW w:w="9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94%</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income attributed to Credicorp</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-32.4</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11.3</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-54.7</w:t>
            </w:r>
          </w:p>
        </w:tc>
        <w:tc>
          <w:tcPr>
            <w:tcW w:w="52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-583%</w:t>
            </w:r>
          </w:p>
        </w:tc>
        <w:tc>
          <w:tcPr>
            <w:tcW w:w="54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-7.6</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95%</w:t>
            </w: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shareholder's equity</w:t>
            </w: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40" w:type="dxa"/>
            <w:vAlign w:val="bottom"/>
            <w:gridSpan w:val="2"/>
            <w:vMerge w:val="continue"/>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637.2</w:t>
            </w:r>
          </w:p>
        </w:tc>
        <w:tc>
          <w:tcPr>
            <w:tcW w:w="240" w:type="dxa"/>
            <w:vAlign w:val="bottom"/>
            <w:vMerge w:val="continue"/>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726.2</w:t>
            </w:r>
          </w:p>
        </w:tc>
        <w:tc>
          <w:tcPr>
            <w:tcW w:w="240" w:type="dxa"/>
            <w:vAlign w:val="bottom"/>
            <w:vMerge w:val="continue"/>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659.1</w:t>
            </w:r>
          </w:p>
        </w:tc>
        <w:tc>
          <w:tcPr>
            <w:tcW w:w="220" w:type="dxa"/>
            <w:vAlign w:val="bottom"/>
            <w:vMerge w:val="continue"/>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-9%</w:t>
            </w:r>
          </w:p>
        </w:tc>
        <w:tc>
          <w:tcPr>
            <w:tcW w:w="5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3%</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637.2</w:t>
            </w:r>
          </w:p>
        </w:tc>
        <w:tc>
          <w:tcPr>
            <w:tcW w:w="2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659.1</w:t>
            </w:r>
          </w:p>
        </w:tc>
        <w:tc>
          <w:tcPr>
            <w:tcW w:w="220" w:type="dxa"/>
            <w:vAlign w:val="bottom"/>
            <w:vMerge w:val="continue"/>
            <w:shd w:val="clear" w:color="auto" w:fill="CCEEFF"/>
          </w:tcPr>
          <w:p>
            <w:pPr>
              <w:spacing w:after="0"/>
              <w:rPr>
                <w:sz w:val="11"/>
                <w:szCs w:val="11"/>
                <w:color w:val="auto"/>
              </w:rPr>
            </w:pPr>
          </w:p>
        </w:tc>
        <w:tc>
          <w:tcPr>
            <w:tcW w:w="92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Assets under management</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20,429.8</w:t>
            </w:r>
          </w:p>
        </w:tc>
        <w:tc>
          <w:tcPr>
            <w:tcW w:w="10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24,463.8</w:t>
            </w:r>
          </w:p>
        </w:tc>
        <w:tc>
          <w:tcPr>
            <w:tcW w:w="10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25,565.8</w:t>
            </w:r>
          </w:p>
        </w:tc>
        <w:tc>
          <w:tcPr>
            <w:tcW w:w="52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54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0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20,429.8</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25,565.8</w:t>
            </w:r>
          </w:p>
        </w:tc>
        <w:tc>
          <w:tcPr>
            <w:tcW w:w="9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Efficiency ratio (4)</w:t>
            </w:r>
          </w:p>
        </w:tc>
        <w:tc>
          <w:tcPr>
            <w:tcW w:w="10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81.3%</w:t>
            </w:r>
          </w:p>
        </w:tc>
        <w:tc>
          <w:tcPr>
            <w:tcW w:w="10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74.7%</w:t>
            </w:r>
          </w:p>
        </w:tc>
        <w:tc>
          <w:tcPr>
            <w:tcW w:w="10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81.6%</w:t>
            </w:r>
          </w:p>
        </w:tc>
        <w:tc>
          <w:tcPr>
            <w:tcW w:w="5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5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0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78.1%</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76.8%</w:t>
            </w:r>
          </w:p>
        </w:tc>
        <w:tc>
          <w:tcPr>
            <w:tcW w:w="9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ROAE (5)</w:t>
            </w:r>
          </w:p>
        </w:tc>
        <w:tc>
          <w:tcPr>
            <w:tcW w:w="10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10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-33.1%</w:t>
            </w:r>
          </w:p>
        </w:tc>
        <w:tc>
          <w:tcPr>
            <w:tcW w:w="52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w w:val="97"/>
              </w:rPr>
              <w:t>-629%</w:t>
            </w:r>
          </w:p>
        </w:tc>
        <w:tc>
          <w:tcPr>
            <w:tcW w:w="54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10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22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9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ROAE excl. non core income (5)</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4.7%</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5.9%</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6.7%</w:t>
            </w:r>
          </w:p>
        </w:tc>
        <w:tc>
          <w:tcPr>
            <w:tcW w:w="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w:t>
            </w:r>
          </w:p>
        </w:tc>
        <w:tc>
          <w:tcPr>
            <w:tcW w:w="5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0</wp:posOffset>
            </wp:positionV>
            <wp:extent cx="50514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51425" cy="8890"/>
                    </a:xfrm>
                    <a:prstGeom prst="rect">
                      <a:avLst/>
                    </a:prstGeom>
                    <a:noFill/>
                  </pic:spPr>
                </pic:pic>
              </a:graphicData>
            </a:graphic>
          </wp:anchor>
        </w:drawing>
      </w:r>
    </w:p>
    <w:p>
      <w:pPr>
        <w:spacing w:after="0" w:line="231" w:lineRule="auto"/>
        <w:rPr>
          <w:sz w:val="20"/>
          <w:szCs w:val="20"/>
          <w:color w:val="auto"/>
        </w:rPr>
      </w:pPr>
      <w:r>
        <w:rPr>
          <w:rFonts w:ascii="Times New Roman" w:cs="Times New Roman" w:eastAsia="Times New Roman" w:hAnsi="Times New Roman"/>
          <w:sz w:val="14"/>
          <w:szCs w:val="14"/>
          <w:color w:val="auto"/>
        </w:rPr>
        <w:t>* Unaudited results</w:t>
      </w:r>
    </w:p>
    <w:p>
      <w:pPr>
        <w:ind w:left="220" w:hanging="212"/>
        <w:spacing w:after="0" w:line="222" w:lineRule="auto"/>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Salaries and employees benefits + Administrative expenses + Assigned expenses + Depreciation and amortization + Tax and contributions + Other expenses.</w:t>
      </w:r>
    </w:p>
    <w:p>
      <w:pPr>
        <w:ind w:left="220" w:hanging="212"/>
        <w:spacing w:after="0" w:line="221" w:lineRule="auto"/>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Impairtment of Goodwill resulting from the acquisition of the Chilean operations</w:t>
      </w:r>
    </w:p>
    <w:p>
      <w:pPr>
        <w:ind w:left="220" w:hanging="212"/>
        <w:spacing w:after="0" w:line="221" w:lineRule="auto"/>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Correval and IM Trust that is not owned by BCP Colombia and BCP Chile (49% and 39.4% respectively)</w:t>
      </w:r>
    </w:p>
    <w:p>
      <w:pPr>
        <w:ind w:left="220" w:hanging="212"/>
        <w:spacing w:after="0" w:line="221" w:lineRule="auto"/>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Excluying non core income</w:t>
      </w:r>
    </w:p>
    <w:p>
      <w:pPr>
        <w:ind w:left="220" w:hanging="212"/>
        <w:spacing w:after="0"/>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ROAE = Annualized net income / average net shareholder's equity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4Q14, non-financial income at Credicorp Capital, which is the company’s primary source of earnings, increased +25% QoQ and +19% YoY. Nevertheless, after including extraordinary expenses of PEN 90.3 million, which was associated with an impairment of goodwill following the acquisition of operations in Chile, non-financial income decrease -59% QoQ and -21% YoY.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proof that the business is well managed despite the adverse evolution of the markets in which it operates. The aforementioned was due to higher income from advisory services; the fact that the company executed transactions for some of the main companies in the MILA; and important transactions in the equity and fixed income markets.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the other hand, this quarter higher operating expenses were posted (+28% QoQ) due to higher provisions for compensation, administrative expenses for consultancy services and diverse expenses at the end of the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aforementioned was reflected in net income that was -PEN 53.7 million (vs. PEN 11.4 million in 3Q14). Excluding the extraordinary expense previously mentioned the income posted would be PEN 13.8 million, which represented an increase of +21% QoQ.</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accumulated annual terms, net income at Credicorp Capital totaled -PEN 13.6 million, as a result of the impairment of goodwill, leading Credicorp Capital’s contribution to Credicorp to -PEN 14.1 million. Excluding the impairment, net income would be PEN 53.9 million due to (i) increase in non financial income (+11%) and (ii) better cost control that limited its growth to +9%.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Results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4Q14, Credicorp Capital Peru, Credicorp Capital Colombia and IM Trust reaffirmed and increased their leadership in their local fixed income markets with market shares of 39.6%, 10.9% and 21.8% respectively. The operation in Peru led the local equity secondary market with a 43.0% share:</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41" w:name="page42"/>
    <w:bookmarkEnd w:id="41"/>
    <w:tbl>
      <w:tblPr>
        <w:tblLayout w:type="fixed"/>
        <w:tblInd w:w="230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304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Market Share</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0"/>
        </w:trPr>
        <w:tc>
          <w:tcPr>
            <w:tcW w:w="19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Peru</w:t>
            </w:r>
          </w:p>
        </w:tc>
        <w:tc>
          <w:tcPr>
            <w:tcW w:w="24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Colombia</w:t>
            </w:r>
          </w:p>
        </w:tc>
        <w:tc>
          <w:tcPr>
            <w:tcW w:w="2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Chile</w:t>
            </w:r>
          </w:p>
        </w:tc>
        <w:tc>
          <w:tcPr>
            <w:tcW w:w="140" w:type="dxa"/>
            <w:vAlign w:val="bottom"/>
            <w:tcBorders>
              <w:bottom w:val="single" w:sz="8" w:color="CCEEFF"/>
            </w:tcBorders>
          </w:tcPr>
          <w:p>
            <w:pPr>
              <w:spacing w:after="0"/>
              <w:rPr>
                <w:sz w:val="24"/>
                <w:szCs w:val="24"/>
                <w:color w:val="auto"/>
              </w:rPr>
            </w:pPr>
          </w:p>
        </w:tc>
      </w:tr>
      <w:tr>
        <w:trPr>
          <w:trHeight w:val="21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2080" w:type="dxa"/>
            <w:vAlign w:val="bottom"/>
            <w:gridSpan w:val="3"/>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aforementioned took place in an adverse context in the markets in which Credicorp Capital operates, which were marked by contractions in traded volumes as indicated in the chart below:</w:t>
      </w:r>
    </w:p>
    <w:p>
      <w:pPr>
        <w:spacing w:after="0" w:line="149"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Trading Volume in the MILA Stock Exchange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USD Million</w:t>
            </w:r>
          </w:p>
        </w:tc>
        <w:tc>
          <w:tcPr>
            <w:tcW w:w="37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4"/>
                <w:szCs w:val="24"/>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tcPr>
          <w:p>
            <w:pPr>
              <w:spacing w:after="0"/>
              <w:rPr>
                <w:sz w:val="24"/>
                <w:szCs w:val="24"/>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IGBVL</w:t>
            </w:r>
          </w:p>
        </w:tc>
        <w:tc>
          <w:tcPr>
            <w:tcW w:w="340" w:type="dxa"/>
            <w:vAlign w:val="bottom"/>
            <w:tcBorders>
              <w:top w:val="single" w:sz="8" w:color="auto"/>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IPSA</w:t>
            </w:r>
          </w:p>
        </w:tc>
        <w:tc>
          <w:tcPr>
            <w:tcW w:w="38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440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758</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535</w:t>
            </w:r>
          </w:p>
        </w:tc>
      </w:tr>
      <w:tr>
        <w:trPr>
          <w:trHeight w:val="230"/>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IGBC</w:t>
            </w:r>
          </w:p>
        </w:tc>
        <w:tc>
          <w:tcPr>
            <w:tcW w:w="2960" w:type="dxa"/>
            <w:vAlign w:val="bottom"/>
            <w:gridSpan w:val="3"/>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2014, the Corporate Finance team participated in some of the most important transactions in the MILA region. This year, the team handled several cross border transactions where the teams from Peru, Chile and Colombia worked together to provide advisory services to clients. In Peru, noteworthy transactions included two Merger and Acquisition efforts, which combined represented 87% of this product’s revenues.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4Q14, Credicorp Capital held Assets under Administration (AuMs) for PEN 25,566 million, of which 58% correspond to Credicorp Capital Peru; 21% to Credicorp Capital Colombia; and 21% to IM Trust. This level of AuMs represents growth of +5% with regard to the assets under management level reported in 3Q14. It is important to note that Credicorp Capital Peru continues to lead the Mutual Funds Market with a 42.6% share of total AuMs at the end of 2014.</w:t>
      </w:r>
    </w:p>
    <w:p>
      <w:pPr>
        <w:spacing w:after="0" w:line="174"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 under management</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16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10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w:t>
            </w:r>
          </w:p>
        </w:tc>
        <w:tc>
          <w:tcPr>
            <w:tcW w:w="12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3Q14</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4Q14</w:t>
            </w:r>
          </w:p>
        </w:tc>
        <w:tc>
          <w:tcPr>
            <w:tcW w:w="112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QoQ</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dec-13</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dec-14</w:t>
            </w:r>
          </w:p>
        </w:tc>
        <w:tc>
          <w:tcPr>
            <w:tcW w:w="102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YoY</w:t>
            </w:r>
          </w:p>
        </w:tc>
      </w:tr>
      <w:tr>
        <w:trPr>
          <w:trHeight w:val="142"/>
        </w:trPr>
        <w:tc>
          <w:tcPr>
            <w:tcW w:w="43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Local Currencies</w:t>
            </w:r>
          </w:p>
        </w:tc>
        <w:tc>
          <w:tcPr>
            <w:tcW w:w="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r>
      <w:tr>
        <w:trPr>
          <w:trHeight w:val="149"/>
        </w:trPr>
        <w:tc>
          <w:tcPr>
            <w:tcW w:w="4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Peru (PEN)</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13,880</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14,778</w:t>
            </w: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11,600</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14,778</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r>
      <w:tr>
        <w:trPr>
          <w:trHeight w:val="149"/>
        </w:trPr>
        <w:tc>
          <w:tcPr>
            <w:tcW w:w="4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Chile (CLP)</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1,020,301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1,108,079</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727,829</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1,108,079</w:t>
            </w: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r>
      <w:tr>
        <w:trPr>
          <w:trHeight w:val="149"/>
        </w:trPr>
        <w:tc>
          <w:tcPr>
            <w:tcW w:w="4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Colombia (COP)</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3,974,489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4,274,169</w:t>
            </w:r>
          </w:p>
        </w:tc>
        <w:tc>
          <w:tcPr>
            <w:tcW w:w="22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3,508,496</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4,274,169</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r>
      <w:tr>
        <w:trPr>
          <w:trHeight w:val="149"/>
        </w:trPr>
        <w:tc>
          <w:tcPr>
            <w:tcW w:w="4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PEN</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4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Peru</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13,880</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14,778</w:t>
            </w: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11,600</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14,778</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r>
      <w:tr>
        <w:trPr>
          <w:trHeight w:val="149"/>
        </w:trPr>
        <w:tc>
          <w:tcPr>
            <w:tcW w:w="4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Chile</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4,920.85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5,453.19</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3,877.70</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5,453.19</w:t>
            </w: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r>
      <w:tr>
        <w:trPr>
          <w:trHeight w:val="16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Colombia</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5,662.50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5,334.54</w:t>
            </w:r>
          </w:p>
        </w:tc>
        <w:tc>
          <w:tcPr>
            <w:tcW w:w="22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5,089.32</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5,334.54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42"/>
        </w:trPr>
        <w:tc>
          <w:tcPr>
            <w:tcW w:w="45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24,464</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25,566</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20,567</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25,566</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Credicorp Capital’s non-financial income in 4Q14 totaled PEN 135.8 million (excluding the impairment of goodwill), which represented a +25% increase QoQ. This means that 4Q14 was Credicorp Capital’s best quarter for earnings generation in 2014. Growth this quarter was driven by: (i) higher volumes of mid-term financing and advisory services for Mergers and Acquisitions, (ii) income for Asset Management due to the sale of a real estate Project in Chile and</w:t>
      </w:r>
    </w:p>
    <w:p>
      <w:pPr>
        <w:spacing w:after="0" w:line="2" w:lineRule="exact"/>
        <w:rPr>
          <w:sz w:val="20"/>
          <w:szCs w:val="20"/>
          <w:color w:val="auto"/>
        </w:rPr>
      </w:pPr>
    </w:p>
    <w:p>
      <w:pPr>
        <w:ind w:firstLine="8"/>
        <w:spacing w:after="0" w:line="261" w:lineRule="auto"/>
        <w:tabs>
          <w:tab w:leader="none" w:pos="33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income from the currency and derivative business; four transactions in the equity market; and primary fixed income placements in the Capital Markets.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42" w:name="page43"/>
    <w:bookmarkEnd w:id="4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Financial income and expenses, in net terms, demonstrated a decline in both quarterly and year-on-year terms. This was due primarily to higher financial expenses due to an increase in transactions involving larger risks.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2014, Credicorp Capital reported total income of PEN 416.4 million, which represents 3.43% growth YoY that was driven by the evolution of the company’s corporate finance business in the countries in which it operates and solid results in the Capital Markets, particularly in Peru and Colombia.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totaled PEN 115.3 million in 4T14; salaries, administrative expenses and support expenses were the primary areas of expenditure. The largest increase in expenses was due to the fact that more provisions were set aside for compensation and bonuses due to good operating results. In Colombia, teams were restructured, which generated a 10% ad hoc increase in compensation with regard to 3Q. Administrative expenses increased 30% due to consultancy services, provisions and adjustments relative to the end-of-year process (seasonal).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terms of Credicorp Capital’s consolidated Net Income, the loss generated by the impairment of goodwill due to the acquisition of the operations in Chile, led the consolidated results and the contribution to Credicorp to drop to negative levels that also fell below last year' level. Accordingly, Credicorp Capital’s contribution to Credicorp was PEN -53.9 million. In disaggregated terms: (i) Credicorp Capital Peru contributed income of PEN 5.7 million, (ii) Credicorp Capital Colombia weighed in with PEN 1.1 million, (iii) IM Trust posted a loss of PEN 63.6 million and (iv) Credicorp Capital Securities registered a loss of PEN 1.1 million. Due to the aforementioned, the company’s annual contribution to Credicorp dropped to negative levels of -PEN 14.1 million versus -PEN 7.6 million in 2013, when extraordinary expenses were significantly lower.</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VI. Atlantic Security Bank</w:t>
      </w:r>
    </w:p>
    <w:p>
      <w:pPr>
        <w:spacing w:after="0" w:line="22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Atlantic Security Bank (ASB) reported a 4.8% QoQ increase in core income due to dividends obtained from securities available for sale and the stock portfolio. In YoY terms, lower commissions for services, coupled with higher losses on foreign exchange transactions, account for the YoY decrease of -1.9%.</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Nevertheless, net income totaled US$ 7.4 million in 4Q14, which reflects a -23.6% drop in comparison to last quarter. This decline was primarily attributable to the net provisions set aside this quarter (US$ 2.6 million) following a drop in the value of investments in the proprietary portfolio due to market volatility in the last few months of 2014. The majority of these investments (bonds) are associated with the energy sector (affected by the drop in oil prices in the international markets) and to Brazilian companies that were adversely affected by the Petrobras Contratistas scandal. In this context, annualized ROAE this quarter reached 13.9%, which represents a decline with regard to the annualized ROAE of 18% reported in 3Q14.</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end of 2014, ASB posted an excellent bottom line result and contributed US$56.6 million to Credicorp, which tops the US$ 50.7 million posted in 2013 by 11.6%. The increase in net income is associated primarily with other income, which totaled US$ 15.0 million. US$14.6 million of this amount (registered in 2Q14) is attributable to compensation paid on a claim for losses incurred during the financial crisis of 2008. This income minimized the effect of: (i) net provisions for investment losses, (ii) lower fee income (-10.6%), (iii) lower gains on sales of securities (-34.3%) due to fluctuating conditions in the securities market, and (iv) the increase in operating expenses (+16.9%) stemming from consultancies, improvements in technological processes and compliance.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2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ASB</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w w:val="98"/>
              </w:rPr>
              <w:t>Change %</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4"/>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Year to Date</w:t>
            </w:r>
          </w:p>
        </w:tc>
        <w:tc>
          <w:tcPr>
            <w:tcW w:w="8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Change %</w:t>
            </w: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Dec14 /</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US$ million</w:t>
            </w: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4Q13</w:t>
            </w:r>
          </w:p>
        </w:tc>
        <w:tc>
          <w:tcPr>
            <w:tcW w:w="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3Q14</w:t>
            </w:r>
          </w:p>
        </w:tc>
        <w:tc>
          <w:tcPr>
            <w:tcW w:w="2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4Q14</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QoQ</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4"/>
              </w:rPr>
              <w:t>YoY</w:t>
            </w:r>
          </w:p>
        </w:tc>
        <w:tc>
          <w:tcPr>
            <w:tcW w:w="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dec 13</w:t>
            </w:r>
          </w:p>
        </w:tc>
        <w:tc>
          <w:tcPr>
            <w:tcW w:w="2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dec 14</w:t>
            </w:r>
          </w:p>
        </w:tc>
        <w:tc>
          <w:tcPr>
            <w:tcW w:w="2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Dec13</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1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Net interest income</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9.9</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0.0%</w:t>
            </w: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39.3</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39.0</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Dividend income</w:t>
            </w:r>
          </w:p>
        </w:tc>
        <w:tc>
          <w:tcPr>
            <w:tcW w:w="9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9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21.6%</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Fees and commissions from services</w:t>
            </w:r>
          </w:p>
        </w:tc>
        <w:tc>
          <w:tcPr>
            <w:tcW w:w="9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90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Net gains on foreign exchange transactions</w:t>
            </w:r>
          </w:p>
        </w:tc>
        <w:tc>
          <w:tcPr>
            <w:tcW w:w="9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9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-420.1%</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24.7%</w:t>
            </w: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earnings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11.5</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12.0</w:t>
            </w:r>
          </w:p>
        </w:tc>
        <w:tc>
          <w:tcPr>
            <w:tcW w:w="9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4.8%</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48.0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47.4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Net Provisions</w:t>
            </w: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gridSpan w:val="2"/>
            <w:vMerge w:val="continue"/>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0.0</w:t>
            </w:r>
          </w:p>
        </w:tc>
        <w:tc>
          <w:tcPr>
            <w:tcW w:w="240" w:type="dxa"/>
            <w:vAlign w:val="bottom"/>
            <w:vMerge w:val="continue"/>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0.0</w:t>
            </w:r>
          </w:p>
        </w:tc>
        <w:tc>
          <w:tcPr>
            <w:tcW w:w="2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w:t>
            </w:r>
          </w:p>
        </w:tc>
        <w:tc>
          <w:tcPr>
            <w:tcW w:w="220" w:type="dxa"/>
            <w:vAlign w:val="bottom"/>
            <w:vMerge w:val="continue"/>
          </w:tcPr>
          <w:p>
            <w:pPr>
              <w:spacing w:after="0"/>
              <w:rPr>
                <w:sz w:val="11"/>
                <w:szCs w:val="11"/>
                <w:color w:val="auto"/>
              </w:rPr>
            </w:pPr>
          </w:p>
        </w:tc>
        <w:tc>
          <w:tcPr>
            <w:tcW w:w="900" w:type="dxa"/>
            <w:vAlign w:val="bottom"/>
            <w:gridSpan w:val="2"/>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0.0%</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0.0%</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-0.3</w:t>
            </w:r>
          </w:p>
        </w:tc>
        <w:tc>
          <w:tcPr>
            <w:tcW w:w="2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w:t>
            </w:r>
          </w:p>
        </w:tc>
        <w:tc>
          <w:tcPr>
            <w:tcW w:w="200" w:type="dxa"/>
            <w:vAlign w:val="bottom"/>
            <w:vMerge w:val="continue"/>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792.7%</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gains from sale of securities</w:t>
            </w:r>
          </w:p>
        </w:tc>
        <w:tc>
          <w:tcPr>
            <w:tcW w:w="9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90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-62.8%</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12.7</w:t>
            </w: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-34.3%</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Other income</w:t>
            </w:r>
          </w:p>
        </w:tc>
        <w:tc>
          <w:tcPr>
            <w:tcW w:w="9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9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-3.3</w:t>
            </w:r>
          </w:p>
        </w:tc>
        <w:tc>
          <w:tcPr>
            <w:tcW w:w="9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-16.2%</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-17.1%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-11.5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129"/>
        </w:trPr>
        <w:tc>
          <w:tcPr>
            <w:tcW w:w="424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w:t>
            </w:r>
          </w:p>
        </w:tc>
        <w:tc>
          <w:tcPr>
            <w:tcW w:w="24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9.7</w:t>
            </w:r>
          </w:p>
        </w:tc>
        <w:tc>
          <w:tcPr>
            <w:tcW w:w="22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7.4</w:t>
            </w:r>
          </w:p>
        </w:tc>
        <w:tc>
          <w:tcPr>
            <w:tcW w:w="22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-23.6</w:t>
            </w:r>
          </w:p>
        </w:tc>
        <w:tc>
          <w:tcPr>
            <w:tcW w:w="2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-38.2</w:t>
            </w:r>
          </w:p>
        </w:tc>
        <w:tc>
          <w:tcPr>
            <w:tcW w:w="2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50.7</w:t>
            </w:r>
          </w:p>
        </w:tc>
        <w:tc>
          <w:tcPr>
            <w:tcW w:w="22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56.6</w:t>
            </w:r>
          </w:p>
        </w:tc>
        <w:tc>
          <w:tcPr>
            <w:tcW w:w="2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11.6</w:t>
            </w:r>
          </w:p>
        </w:tc>
        <w:tc>
          <w:tcPr>
            <w:tcW w:w="1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29"/>
        </w:trPr>
        <w:tc>
          <w:tcPr>
            <w:tcW w:w="42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Net income/share</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0.2</w:t>
            </w:r>
          </w:p>
        </w:tc>
        <w:tc>
          <w:tcPr>
            <w:tcW w:w="2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0.1</w:t>
            </w:r>
          </w:p>
        </w:tc>
        <w:tc>
          <w:tcPr>
            <w:tcW w:w="22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0.1</w:t>
            </w:r>
          </w:p>
        </w:tc>
        <w:tc>
          <w:tcPr>
            <w:tcW w:w="22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-23.6</w:t>
            </w:r>
          </w:p>
        </w:tc>
        <w:tc>
          <w:tcPr>
            <w:tcW w:w="2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-38.2</w:t>
            </w:r>
          </w:p>
        </w:tc>
        <w:tc>
          <w:tcPr>
            <w:tcW w:w="2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0.7</w:t>
            </w:r>
          </w:p>
        </w:tc>
        <w:tc>
          <w:tcPr>
            <w:tcW w:w="22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0.8</w:t>
            </w:r>
          </w:p>
        </w:tc>
        <w:tc>
          <w:tcPr>
            <w:tcW w:w="20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11.6</w:t>
            </w:r>
          </w:p>
        </w:tc>
        <w:tc>
          <w:tcPr>
            <w:tcW w:w="1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424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Contribution to Credicorp</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w:t>
            </w:r>
          </w:p>
        </w:tc>
        <w:tc>
          <w:tcPr>
            <w:tcW w:w="2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9.7</w:t>
            </w:r>
          </w:p>
        </w:tc>
        <w:tc>
          <w:tcPr>
            <w:tcW w:w="2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7.4</w:t>
            </w:r>
          </w:p>
        </w:tc>
        <w:tc>
          <w:tcPr>
            <w:tcW w:w="2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-23.6</w:t>
            </w:r>
          </w:p>
        </w:tc>
        <w:tc>
          <w:tcPr>
            <w:tcW w:w="2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-38.2</w:t>
            </w:r>
          </w:p>
        </w:tc>
        <w:tc>
          <w:tcPr>
            <w:tcW w:w="2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50.7</w:t>
            </w:r>
          </w:p>
        </w:tc>
        <w:tc>
          <w:tcPr>
            <w:tcW w:w="2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56.6</w:t>
            </w:r>
          </w:p>
        </w:tc>
        <w:tc>
          <w:tcPr>
            <w:tcW w:w="20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11.6</w:t>
            </w:r>
          </w:p>
        </w:tc>
        <w:tc>
          <w:tcPr>
            <w:tcW w:w="1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29"/>
        </w:trPr>
        <w:tc>
          <w:tcPr>
            <w:tcW w:w="42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786.3</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795.2</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844.1</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6.1%</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7.3%</w:t>
            </w: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786.3</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844.1</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Total investments</w:t>
            </w:r>
          </w:p>
        </w:tc>
        <w:tc>
          <w:tcPr>
            <w:tcW w:w="9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863.8</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890.6</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887.5</w:t>
            </w:r>
          </w:p>
        </w:tc>
        <w:tc>
          <w:tcPr>
            <w:tcW w:w="9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863.8</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887.5</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assets</w:t>
            </w:r>
          </w:p>
        </w:tc>
        <w:tc>
          <w:tcPr>
            <w:tcW w:w="9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1,784.3</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1,861.6</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1,899.1</w:t>
            </w:r>
          </w:p>
        </w:tc>
        <w:tc>
          <w:tcPr>
            <w:tcW w:w="90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1,784.3</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1,899.1</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Total deposits</w:t>
            </w:r>
          </w:p>
        </w:tc>
        <w:tc>
          <w:tcPr>
            <w:tcW w:w="9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1,444.7</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1,549.9</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1,612.7</w:t>
            </w:r>
          </w:p>
        </w:tc>
        <w:tc>
          <w:tcPr>
            <w:tcW w:w="9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11.6%</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1,444.7</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1,612.7</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shareholder's equity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212.0</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-0.9%</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212.0</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Net interest margin</w:t>
            </w: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gridSpan w:val="2"/>
            <w:vMerge w:val="continue"/>
          </w:tcPr>
          <w:p>
            <w:pPr>
              <w:spacing w:after="0"/>
              <w:rPr>
                <w:sz w:val="11"/>
                <w:szCs w:val="11"/>
                <w:color w:val="auto"/>
              </w:rPr>
            </w:pPr>
          </w:p>
        </w:tc>
        <w:tc>
          <w:tcPr>
            <w:tcW w:w="96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2.4%</w:t>
            </w:r>
          </w:p>
        </w:tc>
        <w:tc>
          <w:tcPr>
            <w:tcW w:w="90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2.4%</w:t>
            </w:r>
          </w:p>
        </w:tc>
        <w:tc>
          <w:tcPr>
            <w:tcW w:w="90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2.2%</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8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9.0%</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Efficiency ratio</w:t>
            </w:r>
          </w:p>
        </w:tc>
        <w:tc>
          <w:tcPr>
            <w:tcW w:w="9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9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9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25.1%</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Return on average equity</w:t>
            </w: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25.0%</w:t>
            </w:r>
          </w:p>
        </w:tc>
        <w:tc>
          <w:tcPr>
            <w:tcW w:w="9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9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13.9%</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26.5%</w:t>
            </w: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27.4%</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PDL / Total loans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0.00</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0.0%</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Coverge ratio</w:t>
            </w: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gridSpan w:val="2"/>
            <w:vMerge w:val="continue"/>
          </w:tcPr>
          <w:p>
            <w:pPr>
              <w:spacing w:after="0"/>
              <w:rPr>
                <w:sz w:val="11"/>
                <w:szCs w:val="11"/>
                <w:color w:val="auto"/>
              </w:rPr>
            </w:pPr>
          </w:p>
        </w:tc>
        <w:tc>
          <w:tcPr>
            <w:tcW w:w="96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0.1%</w:t>
            </w:r>
          </w:p>
        </w:tc>
        <w:tc>
          <w:tcPr>
            <w:tcW w:w="90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0.1%</w:t>
            </w:r>
          </w:p>
        </w:tc>
        <w:tc>
          <w:tcPr>
            <w:tcW w:w="90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0.0%</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0.1%</w:t>
            </w:r>
          </w:p>
        </w:tc>
        <w:tc>
          <w:tcPr>
            <w:tcW w:w="8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0.0%</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BIS ratio</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15.51%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15.00%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15.63%</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15.51%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15.63%</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0</wp:posOffset>
            </wp:positionV>
            <wp:extent cx="9950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0</wp:posOffset>
            </wp:positionV>
            <wp:extent cx="16033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Basel II BIS Ratio = (Eligible Capital - Deductions) / (RWA CR + Charge OR + Charge MR)</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regard to operating efficiency, ASB registered an efficiency ratio of 25.1% in 4Q14, which exceeds the ratio posted in 3Q14 (22.9%). The increase in this indicator was due to a drop in net earnings this quarter, as explained above, and to a QoQ increase in operating expenses (+U$0.4 million). In YoY terms, the efficiency ratio increased 582bps. Nevertheless, in accumulated terms at the end of 2014, this indicator’s result is situated at 16.3%, which falls 10 points below the 16.2% posted last quarter.</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Interest-earning assets totaled US$ 1,755 million as shown in the table below. In QoQ terms, these assets rose 2.2% and 6.0% YoY. At the individual level, the variation in Loans of +6.1% QoQ and +7.3% YoY is noteworthy and is attributable to loans disbursement flows. The position in Cash and Banks declined slightly QoQ by -0.3% but posted a significant increase of 30.9% YoY due to an increase in client deposits.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YoY comparison of assets and liabilities indicates an increase of US$ 99 million (US$ 31 million in Cash and Banks, US$ 58 million in Loans and US$ 10 million in Investments) due to i) the increase in fund captures from clients, ii) new loan disbursements and iii) the net increase in the equity and fixed income investment portfolio. It is important to note that ASB continues to maintain a good risk profile, which is reflected in its low delinquency ratio.</w:t>
      </w:r>
    </w:p>
    <w:p>
      <w:pPr>
        <w:spacing w:after="0" w:line="172"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million</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4Q13</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3Q14</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4Q14</w:t>
            </w:r>
          </w:p>
        </w:tc>
        <w:tc>
          <w:tcPr>
            <w:tcW w:w="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7"/>
              </w:rPr>
              <w:t>QoQ</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banks</w:t>
            </w:r>
          </w:p>
        </w:tc>
        <w:tc>
          <w:tcPr>
            <w:tcW w:w="10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1,657</w:t>
            </w:r>
          </w:p>
        </w:tc>
        <w:tc>
          <w:tcPr>
            <w:tcW w:w="2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1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1,755</w:t>
            </w:r>
          </w:p>
        </w:tc>
        <w:tc>
          <w:tcPr>
            <w:tcW w:w="1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-8890</wp:posOffset>
            </wp:positionV>
            <wp:extent cx="38588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 Excludes investments in equities and mutual funds.</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regard to the investment portfolio, it is worth noting that ASB’s investment policy prioritizes instruments with good risk profiles. Accordingly, 54% of the bank’s instruments have an investment grade, which is proof of ASB’s sustained and conservative strategy to concentrate on investments in high-quality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123190</wp:posOffset>
            </wp:positionV>
            <wp:extent cx="5994400" cy="1920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94400"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ASB exercises strict control over and follow-up on diversification strategies and the limits set for investment types. This helps maintain a healthy balance in its proprietary portfolio, ensure the quality of its investments and guarantee return levels that contribute to the financial margin- which has a subsequently positive impact on shareholders’ returns.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quarter, client deposits reflect marginal growth of 4.1% QoQ and an increase of 11.6% YoY. The QoQ increase in deposits is related to captures of new client deposits (+US$ 63 million) while the YoY increase of US$ 168 million was attributable to the Treasury Division’s efforts to retain and capture new deposits through fidelity campaigns.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liabilities, which are primarily composed of financing (US$ 51 million) and other outstanding liabilities (US$ 23 million, which includes interest due for US$ 10 million), fell -24.0% QoQ and -46.6% YoY. This decline was mainly due to financing taken to cover the increase in fund captures, which fueled liquidity levels.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5" w:name="page46"/>
    <w:bookmarkEnd w:id="45"/>
    <w:tbl>
      <w:tblPr>
        <w:tblLayout w:type="fixed"/>
        <w:tblInd w:w="1140" w:type="dxa"/>
        <w:tblCellMar>
          <w:top w:w="0" w:type="dxa"/>
          <w:left w:w="0" w:type="dxa"/>
          <w:bottom w:w="0" w:type="dxa"/>
          <w:right w:w="0" w:type="dxa"/>
        </w:tblCellMar>
      </w:tblPr>
      <w:tr>
        <w:trPr>
          <w:trHeight w:val="230"/>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million</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4Q13</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3Q14</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4Q14</w:t>
            </w:r>
          </w:p>
        </w:tc>
        <w:tc>
          <w:tcPr>
            <w:tcW w:w="15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QoQ</w:t>
            </w:r>
          </w:p>
        </w:tc>
        <w:tc>
          <w:tcPr>
            <w:tcW w:w="8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7"/>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9"/>
                <w:szCs w:val="19"/>
                <w:color w:val="auto"/>
              </w:rPr>
            </w:pP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1,648</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1,687</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Net shareholders’ equity reported a slight decrease of -0.9% QoQ. This was primarily attributable to a decline in unrealized earnings on the securities available for sale portfolio due to volatility in the international securities market, which was associated with widespread uncertainty regarding an increase in reference rates, economic deceleration in Europe and China and the fact that the US economy remains weak.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BIS Ratio at the end of 4Q14 was situated at 15.63%. This represents a 63 bps increase over the figure registered in 3Q14 (15.0%), which was associated with a decline in the value of the equity portfolio; an increase in the weight of lower-risk assets; as well as an increase in the eligible capital base. It is important to note that the Bank’s minimum ratio continues to be set at 12%.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Management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Assets under management, which include client deposits, investments in funds and custody of financial instruments, totaled US$ 6,120 million at market value in 4Q14. This represents a 2.2% increase QoQ and 17.3% YoY. The QoQ result, at market value, reveals an increase of US$ 133 million that incorporates the effects of market volatility this quarter. The volume of client investments, in comparison to their cost, posted growth of US$ 85 million QoQ due to net purchase and transfer flows, which was accompanied by a US$ 63 million increase in deposits this quarter. A YoY comparison reveals an US$ 903 million increase in AuMs; an increase in the stock of investments of US$ 523 million (+20%); and growth in deposits for a total of US$ 168 million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130810</wp:posOffset>
            </wp:positionV>
            <wp:extent cx="4528185" cy="2324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528185"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VII. Pacifico Insurance Group (PGA)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PGA</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tcPr>
          <w:p>
            <w:pPr>
              <w:ind w:left="74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ind w:left="680"/>
              <w:spacing w:after="0"/>
              <w:rPr>
                <w:sz w:val="20"/>
                <w:szCs w:val="20"/>
                <w:color w:val="auto"/>
              </w:rPr>
            </w:pPr>
            <w:r>
              <w:rPr>
                <w:rFonts w:ascii="Times New Roman" w:cs="Times New Roman" w:eastAsia="Times New Roman" w:hAnsi="Times New Roman"/>
                <w:sz w:val="13"/>
                <w:szCs w:val="13"/>
                <w:b w:val="1"/>
                <w:bCs w:val="1"/>
                <w:color w:val="auto"/>
                <w:w w:val="96"/>
              </w:rPr>
              <w:t>Year to date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55"/>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PEN (000)</w:t>
            </w:r>
          </w:p>
        </w:tc>
        <w:tc>
          <w:tcPr>
            <w:tcW w:w="1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4Q13</w:t>
            </w:r>
          </w:p>
        </w:tc>
        <w:tc>
          <w:tcPr>
            <w:tcW w:w="2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3Q14</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4Q14</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QoQ</w:t>
            </w:r>
          </w:p>
        </w:tc>
        <w:tc>
          <w:tcPr>
            <w:tcW w:w="2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YoY</w:t>
            </w:r>
          </w:p>
        </w:tc>
        <w:tc>
          <w:tcPr>
            <w:tcW w:w="2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Dec 13</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Dec 14</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Dec 14 / Dec 13</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3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Net earned premiums</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540,950</w:t>
            </w: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573,853</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590,066</w:t>
            </w:r>
          </w:p>
        </w:tc>
        <w:tc>
          <w:tcPr>
            <w:tcW w:w="2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2.8%</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9.1%</w:t>
            </w: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2,197,859</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2,252,793</w:t>
            </w:r>
          </w:p>
        </w:tc>
        <w:tc>
          <w:tcPr>
            <w:tcW w:w="2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Net claims</w:t>
            </w:r>
          </w:p>
        </w:tc>
        <w:tc>
          <w:tcPr>
            <w:tcW w:w="11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361,787</w:t>
            </w:r>
          </w:p>
        </w:tc>
        <w:tc>
          <w:tcPr>
            <w:tcW w:w="11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358,492</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375,029</w:t>
            </w:r>
          </w:p>
        </w:tc>
        <w:tc>
          <w:tcPr>
            <w:tcW w:w="220" w:type="dxa"/>
            <w:vAlign w:val="bottom"/>
          </w:tcPr>
          <w:p>
            <w:pPr>
              <w:spacing w:after="0"/>
              <w:rPr>
                <w:sz w:val="11"/>
                <w:szCs w:val="11"/>
                <w:color w:val="auto"/>
              </w:rPr>
            </w:pPr>
          </w:p>
        </w:tc>
        <w:tc>
          <w:tcPr>
            <w:tcW w:w="11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3.7%</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1,465,578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1,426,706</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commissions</w:t>
            </w:r>
          </w:p>
        </w:tc>
        <w:tc>
          <w:tcPr>
            <w:tcW w:w="118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103,491</w:t>
            </w:r>
          </w:p>
        </w:tc>
        <w:tc>
          <w:tcPr>
            <w:tcW w:w="11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105,668</w:t>
            </w:r>
          </w:p>
        </w:tc>
        <w:tc>
          <w:tcPr>
            <w:tcW w:w="11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111,190</w:t>
            </w:r>
          </w:p>
        </w:tc>
        <w:tc>
          <w:tcPr>
            <w:tcW w:w="116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11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390,190</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422,610</w:t>
            </w:r>
          </w:p>
        </w:tc>
        <w:tc>
          <w:tcPr>
            <w:tcW w:w="10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underwriting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17,280</w:t>
            </w:r>
          </w:p>
        </w:tc>
        <w:tc>
          <w:tcPr>
            <w:tcW w:w="2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12,710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20,593</w:t>
            </w:r>
          </w:p>
        </w:tc>
        <w:tc>
          <w:tcPr>
            <w:tcW w:w="11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62.0%</w:t>
            </w:r>
          </w:p>
        </w:tc>
        <w:tc>
          <w:tcPr>
            <w:tcW w:w="240" w:type="dxa"/>
            <w:vAlign w:val="bottom"/>
          </w:tcPr>
          <w:p>
            <w:pPr>
              <w:spacing w:after="0"/>
              <w:rPr>
                <w:sz w:val="12"/>
                <w:szCs w:val="12"/>
                <w:color w:val="auto"/>
              </w:rPr>
            </w:pP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19.2%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87,666</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75,911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20"/>
        </w:trPr>
        <w:tc>
          <w:tcPr>
            <w:tcW w:w="24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Underwriting result</w:t>
            </w: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2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58,393</w:t>
            </w:r>
          </w:p>
        </w:tc>
        <w:tc>
          <w:tcPr>
            <w:tcW w:w="240" w:type="dxa"/>
            <w:vAlign w:val="bottom"/>
            <w:vMerge w:val="continue"/>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96,982</w:t>
            </w:r>
          </w:p>
        </w:tc>
        <w:tc>
          <w:tcPr>
            <w:tcW w:w="220" w:type="dxa"/>
            <w:vAlign w:val="bottom"/>
            <w:vMerge w:val="continue"/>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83,254</w:t>
            </w:r>
          </w:p>
        </w:tc>
        <w:tc>
          <w:tcPr>
            <w:tcW w:w="220" w:type="dxa"/>
            <w:vAlign w:val="bottom"/>
            <w:vMerge w:val="continue"/>
            <w:shd w:val="clear" w:color="auto" w:fill="CCEEFF"/>
          </w:tcPr>
          <w:p>
            <w:pPr>
              <w:spacing w:after="0"/>
              <w:rPr>
                <w:sz w:val="11"/>
                <w:szCs w:val="11"/>
                <w:color w:val="auto"/>
              </w:rPr>
            </w:pPr>
          </w:p>
        </w:tc>
        <w:tc>
          <w:tcPr>
            <w:tcW w:w="1160" w:type="dxa"/>
            <w:vAlign w:val="bottom"/>
            <w:gridSpan w:val="2"/>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-14.2%</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42.6%</w:t>
            </w: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254,426</w:t>
            </w:r>
          </w:p>
        </w:tc>
        <w:tc>
          <w:tcPr>
            <w:tcW w:w="2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327,566</w:t>
            </w:r>
          </w:p>
        </w:tc>
        <w:tc>
          <w:tcPr>
            <w:tcW w:w="220" w:type="dxa"/>
            <w:vAlign w:val="bottom"/>
            <w:vMerge w:val="continue"/>
            <w:shd w:val="clear" w:color="auto" w:fill="CCEEFF"/>
          </w:tcPr>
          <w:p>
            <w:pPr>
              <w:spacing w:after="0"/>
              <w:rPr>
                <w:sz w:val="11"/>
                <w:szCs w:val="11"/>
                <w:color w:val="auto"/>
              </w:rPr>
            </w:pPr>
          </w:p>
        </w:tc>
        <w:tc>
          <w:tcPr>
            <w:tcW w:w="10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28.7%</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Medical Services gross margin (1)</w:t>
            </w:r>
          </w:p>
        </w:tc>
        <w:tc>
          <w:tcPr>
            <w:tcW w:w="11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12,990</w:t>
            </w:r>
          </w:p>
        </w:tc>
        <w:tc>
          <w:tcPr>
            <w:tcW w:w="11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28,813</w:t>
            </w:r>
          </w:p>
        </w:tc>
        <w:tc>
          <w:tcPr>
            <w:tcW w:w="11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23,434</w:t>
            </w:r>
          </w:p>
        </w:tc>
        <w:tc>
          <w:tcPr>
            <w:tcW w:w="11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-18.7%</w:t>
            </w:r>
          </w:p>
        </w:tc>
        <w:tc>
          <w:tcPr>
            <w:tcW w:w="240" w:type="dxa"/>
            <w:vAlign w:val="bottom"/>
          </w:tcPr>
          <w:p>
            <w:pPr>
              <w:spacing w:after="0"/>
              <w:rPr>
                <w:sz w:val="11"/>
                <w:szCs w:val="11"/>
                <w:color w:val="auto"/>
              </w:rPr>
            </w:pPr>
          </w:p>
        </w:tc>
        <w:tc>
          <w:tcPr>
            <w:tcW w:w="9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80.4%</w:t>
            </w:r>
          </w:p>
        </w:tc>
        <w:tc>
          <w:tcPr>
            <w:tcW w:w="11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64,147</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98,199</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53.1%</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Underwriting result (1)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71,383</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125,795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106,688</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-15.2%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49.5%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318,573</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425,765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33.6%</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Financial income, net</w:t>
            </w: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20" w:type="dxa"/>
            <w:vAlign w:val="bottom"/>
            <w:gridSpan w:val="2"/>
            <w:vMerge w:val="continue"/>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75,139</w:t>
            </w:r>
          </w:p>
        </w:tc>
        <w:tc>
          <w:tcPr>
            <w:tcW w:w="240" w:type="dxa"/>
            <w:vAlign w:val="bottom"/>
            <w:vMerge w:val="continue"/>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87,035</w:t>
            </w:r>
          </w:p>
        </w:tc>
        <w:tc>
          <w:tcPr>
            <w:tcW w:w="220" w:type="dxa"/>
            <w:vAlign w:val="bottom"/>
            <w:vMerge w:val="continue"/>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75,017</w:t>
            </w:r>
          </w:p>
        </w:tc>
        <w:tc>
          <w:tcPr>
            <w:tcW w:w="220" w:type="dxa"/>
            <w:vAlign w:val="bottom"/>
            <w:vMerge w:val="continue"/>
          </w:tcPr>
          <w:p>
            <w:pPr>
              <w:spacing w:after="0"/>
              <w:rPr>
                <w:sz w:val="11"/>
                <w:szCs w:val="11"/>
                <w:color w:val="auto"/>
              </w:rPr>
            </w:pPr>
          </w:p>
        </w:tc>
        <w:tc>
          <w:tcPr>
            <w:tcW w:w="1160" w:type="dxa"/>
            <w:vAlign w:val="bottom"/>
            <w:gridSpan w:val="2"/>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-13.8%</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-0.2%</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332,958</w:t>
            </w:r>
          </w:p>
        </w:tc>
        <w:tc>
          <w:tcPr>
            <w:tcW w:w="2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319,831</w:t>
            </w:r>
          </w:p>
        </w:tc>
        <w:tc>
          <w:tcPr>
            <w:tcW w:w="220" w:type="dxa"/>
            <w:vAlign w:val="bottom"/>
            <w:vMerge w:val="continue"/>
          </w:tcPr>
          <w:p>
            <w:pPr>
              <w:spacing w:after="0"/>
              <w:rPr>
                <w:sz w:val="11"/>
                <w:szCs w:val="11"/>
                <w:color w:val="auto"/>
              </w:rPr>
            </w:pPr>
          </w:p>
        </w:tc>
        <w:tc>
          <w:tcPr>
            <w:tcW w:w="10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Opertating expenses</w:t>
            </w:r>
          </w:p>
        </w:tc>
        <w:tc>
          <w:tcPr>
            <w:tcW w:w="118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139,434</w:t>
            </w:r>
          </w:p>
        </w:tc>
        <w:tc>
          <w:tcPr>
            <w:tcW w:w="11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138,085</w:t>
            </w: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140,265</w:t>
            </w:r>
          </w:p>
        </w:tc>
        <w:tc>
          <w:tcPr>
            <w:tcW w:w="2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11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529,297</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536,519</w:t>
            </w:r>
          </w:p>
        </w:tc>
        <w:tc>
          <w:tcPr>
            <w:tcW w:w="10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Other income</w:t>
            </w:r>
          </w:p>
        </w:tc>
        <w:tc>
          <w:tcPr>
            <w:tcW w:w="11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9,602</w:t>
            </w:r>
          </w:p>
        </w:tc>
        <w:tc>
          <w:tcPr>
            <w:tcW w:w="11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1,853</w:t>
            </w:r>
          </w:p>
        </w:tc>
        <w:tc>
          <w:tcPr>
            <w:tcW w:w="11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12,656</w:t>
            </w:r>
          </w:p>
        </w:tc>
        <w:tc>
          <w:tcPr>
            <w:tcW w:w="11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582.9%</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31.8%</w:t>
            </w:r>
          </w:p>
        </w:tc>
        <w:tc>
          <w:tcPr>
            <w:tcW w:w="11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14,620</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23,335</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59.6%</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Traslations results</w:t>
            </w:r>
          </w:p>
        </w:tc>
        <w:tc>
          <w:tcPr>
            <w:tcW w:w="118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843</w:t>
            </w:r>
          </w:p>
        </w:tc>
        <w:tc>
          <w:tcPr>
            <w:tcW w:w="11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740</w:t>
            </w: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2,122</w:t>
            </w:r>
          </w:p>
        </w:tc>
        <w:tc>
          <w:tcPr>
            <w:tcW w:w="2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186.7%</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151.6%</w:t>
            </w:r>
          </w:p>
        </w:tc>
        <w:tc>
          <w:tcPr>
            <w:tcW w:w="11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-20,976</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4,586</w:t>
            </w:r>
          </w:p>
        </w:tc>
        <w:tc>
          <w:tcPr>
            <w:tcW w:w="10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-121.9%</w:t>
            </w: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tax</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5,690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15,075</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220" w:type="dxa"/>
            <w:vAlign w:val="bottom"/>
          </w:tcPr>
          <w:p>
            <w:pPr>
              <w:spacing w:after="0"/>
              <w:rPr>
                <w:sz w:val="12"/>
                <w:szCs w:val="12"/>
                <w:color w:val="auto"/>
              </w:rPr>
            </w:pPr>
          </w:p>
        </w:tc>
        <w:tc>
          <w:tcPr>
            <w:tcW w:w="11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-103.1%</w:t>
            </w:r>
          </w:p>
        </w:tc>
        <w:tc>
          <w:tcPr>
            <w:tcW w:w="240" w:type="dxa"/>
            <w:vAlign w:val="bottom"/>
          </w:tcPr>
          <w:p>
            <w:pPr>
              <w:spacing w:after="0"/>
              <w:rPr>
                <w:sz w:val="12"/>
                <w:szCs w:val="12"/>
                <w:color w:val="auto"/>
              </w:rPr>
            </w:pP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-108.3%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9,016</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31,148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245.5%</w:t>
            </w:r>
          </w:p>
        </w:tc>
        <w:tc>
          <w:tcPr>
            <w:tcW w:w="0" w:type="dxa"/>
            <w:vAlign w:val="bottom"/>
          </w:tcPr>
          <w:p>
            <w:pPr>
              <w:spacing w:after="0"/>
              <w:rPr>
                <w:sz w:val="1"/>
                <w:szCs w:val="1"/>
                <w:color w:val="auto"/>
              </w:rPr>
            </w:pPr>
          </w:p>
        </w:tc>
      </w:tr>
      <w:tr>
        <w:trPr>
          <w:trHeight w:val="129"/>
        </w:trPr>
        <w:tc>
          <w:tcPr>
            <w:tcW w:w="242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before minority interest</w:t>
            </w:r>
          </w:p>
        </w:tc>
        <w:tc>
          <w:tcPr>
            <w:tcW w:w="9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11,843</w:t>
            </w:r>
          </w:p>
        </w:tc>
        <w:tc>
          <w:tcPr>
            <w:tcW w:w="2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62,264</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56,688</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-9.0</w:t>
            </w:r>
          </w:p>
        </w:tc>
        <w:tc>
          <w:tcPr>
            <w:tcW w:w="260" w:type="dxa"/>
            <w:vAlign w:val="bottom"/>
            <w:tcBorders>
              <w:top w:val="single" w:sz="8" w:color="CCEEFF"/>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378.7</w:t>
            </w:r>
          </w:p>
        </w:tc>
        <w:tc>
          <w:tcPr>
            <w:tcW w:w="240" w:type="dxa"/>
            <w:vAlign w:val="bottom"/>
            <w:tcBorders>
              <w:top w:val="single" w:sz="8" w:color="CCEEFF"/>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106,862</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205,851</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92.6</w:t>
            </w:r>
          </w:p>
        </w:tc>
        <w:tc>
          <w:tcPr>
            <w:tcW w:w="14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29"/>
        </w:trPr>
        <w:tc>
          <w:tcPr>
            <w:tcW w:w="242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9,965</w:t>
            </w:r>
          </w:p>
        </w:tc>
        <w:tc>
          <w:tcPr>
            <w:tcW w:w="24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55,874</w:t>
            </w:r>
          </w:p>
        </w:tc>
        <w:tc>
          <w:tcPr>
            <w:tcW w:w="2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48,904</w:t>
            </w:r>
          </w:p>
        </w:tc>
        <w:tc>
          <w:tcPr>
            <w:tcW w:w="2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-12.5</w:t>
            </w:r>
          </w:p>
        </w:tc>
        <w:tc>
          <w:tcPr>
            <w:tcW w:w="260" w:type="dxa"/>
            <w:vAlign w:val="bottom"/>
            <w:tcBorders>
              <w:bottom w:val="single" w:sz="8" w:color="CCEEFF"/>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390.8</w:t>
            </w:r>
          </w:p>
        </w:tc>
        <w:tc>
          <w:tcPr>
            <w:tcW w:w="240" w:type="dxa"/>
            <w:vAlign w:val="bottom"/>
            <w:tcBorders>
              <w:bottom w:val="single" w:sz="8" w:color="CCEEFF"/>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89,996</w:t>
            </w: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180,843</w:t>
            </w:r>
          </w:p>
        </w:tc>
        <w:tc>
          <w:tcPr>
            <w:tcW w:w="2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100.9</w:t>
            </w:r>
          </w:p>
        </w:tc>
        <w:tc>
          <w:tcPr>
            <w:tcW w:w="14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29"/>
        </w:trPr>
        <w:tc>
          <w:tcPr>
            <w:tcW w:w="24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Contribution to Credicorp</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13,184</w:t>
            </w:r>
          </w:p>
        </w:tc>
        <w:tc>
          <w:tcPr>
            <w:tcW w:w="24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60,031</w:t>
            </w:r>
          </w:p>
        </w:tc>
        <w:tc>
          <w:tcPr>
            <w:tcW w:w="22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54,890</w:t>
            </w:r>
          </w:p>
        </w:tc>
        <w:tc>
          <w:tcPr>
            <w:tcW w:w="22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-8.6</w:t>
            </w:r>
          </w:p>
        </w:tc>
        <w:tc>
          <w:tcPr>
            <w:tcW w:w="26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316.3</w:t>
            </w:r>
          </w:p>
        </w:tc>
        <w:tc>
          <w:tcPr>
            <w:tcW w:w="240" w:type="dxa"/>
            <w:vAlign w:val="bottom"/>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108,478</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199,270</w:t>
            </w:r>
          </w:p>
        </w:tc>
        <w:tc>
          <w:tcPr>
            <w:tcW w:w="22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83.7</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29"/>
        </w:trPr>
        <w:tc>
          <w:tcPr>
            <w:tcW w:w="242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7,723,283</w:t>
            </w:r>
          </w:p>
        </w:tc>
        <w:tc>
          <w:tcPr>
            <w:tcW w:w="24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8,521,038</w:t>
            </w:r>
          </w:p>
        </w:tc>
        <w:tc>
          <w:tcPr>
            <w:tcW w:w="22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8,656,376</w:t>
            </w:r>
          </w:p>
        </w:tc>
        <w:tc>
          <w:tcPr>
            <w:tcW w:w="220" w:type="dxa"/>
            <w:vAlign w:val="bottom"/>
          </w:tcPr>
          <w:p>
            <w:pPr>
              <w:spacing w:after="0"/>
              <w:rPr>
                <w:sz w:val="11"/>
                <w:szCs w:val="11"/>
                <w:color w:val="auto"/>
              </w:rPr>
            </w:pPr>
          </w:p>
        </w:tc>
        <w:tc>
          <w:tcPr>
            <w:tcW w:w="1160" w:type="dxa"/>
            <w:vAlign w:val="bottom"/>
            <w:gridSpan w:val="2"/>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1.6%</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12.1%</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7,723,283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8,656,376</w:t>
            </w:r>
          </w:p>
        </w:tc>
        <w:tc>
          <w:tcPr>
            <w:tcW w:w="220" w:type="dxa"/>
            <w:vAlign w:val="bottom"/>
          </w:tcPr>
          <w:p>
            <w:pPr>
              <w:spacing w:after="0"/>
              <w:rPr>
                <w:sz w:val="11"/>
                <w:szCs w:val="11"/>
                <w:color w:val="auto"/>
              </w:rPr>
            </w:pPr>
          </w:p>
        </w:tc>
        <w:tc>
          <w:tcPr>
            <w:tcW w:w="10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Invesment on securities</w:t>
            </w:r>
          </w:p>
        </w:tc>
        <w:tc>
          <w:tcPr>
            <w:tcW w:w="118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4,754,746</w:t>
            </w: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5,229,270</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5,455,950</w:t>
            </w:r>
          </w:p>
        </w:tc>
        <w:tc>
          <w:tcPr>
            <w:tcW w:w="2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14.7%</w:t>
            </w: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4,754,746</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5,455,950</w:t>
            </w:r>
          </w:p>
        </w:tc>
        <w:tc>
          <w:tcPr>
            <w:tcW w:w="10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Technical reserves</w:t>
            </w:r>
          </w:p>
        </w:tc>
        <w:tc>
          <w:tcPr>
            <w:tcW w:w="11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4,993,515</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5,322,961</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5,549,005</w:t>
            </w:r>
          </w:p>
        </w:tc>
        <w:tc>
          <w:tcPr>
            <w:tcW w:w="220" w:type="dxa"/>
            <w:vAlign w:val="bottom"/>
          </w:tcPr>
          <w:p>
            <w:pPr>
              <w:spacing w:after="0"/>
              <w:rPr>
                <w:sz w:val="11"/>
                <w:szCs w:val="11"/>
                <w:color w:val="auto"/>
              </w:rPr>
            </w:pPr>
          </w:p>
        </w:tc>
        <w:tc>
          <w:tcPr>
            <w:tcW w:w="11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4,993,515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5,549,005</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equity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1,386,655</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1,611,494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1,715,720</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6.5%</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23.7%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1,386,655</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1,715,720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Loss ratio</w:t>
            </w: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20" w:type="dxa"/>
            <w:vAlign w:val="bottom"/>
            <w:gridSpan w:val="2"/>
            <w:vMerge w:val="continue"/>
          </w:tcPr>
          <w:p>
            <w:pPr>
              <w:spacing w:after="0"/>
              <w:rPr>
                <w:sz w:val="11"/>
                <w:szCs w:val="11"/>
                <w:color w:val="auto"/>
              </w:rPr>
            </w:pPr>
          </w:p>
        </w:tc>
        <w:tc>
          <w:tcPr>
            <w:tcW w:w="118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66.9%</w:t>
            </w:r>
          </w:p>
        </w:tc>
        <w:tc>
          <w:tcPr>
            <w:tcW w:w="112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62.5%</w:t>
            </w:r>
          </w:p>
        </w:tc>
        <w:tc>
          <w:tcPr>
            <w:tcW w:w="112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63.6%</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66.7%</w:t>
            </w:r>
          </w:p>
        </w:tc>
        <w:tc>
          <w:tcPr>
            <w:tcW w:w="240" w:type="dxa"/>
            <w:vAlign w:val="bottom"/>
          </w:tcPr>
          <w:p>
            <w:pPr>
              <w:spacing w:after="0"/>
              <w:rPr>
                <w:sz w:val="11"/>
                <w:szCs w:val="11"/>
                <w:color w:val="auto"/>
              </w:rPr>
            </w:pPr>
          </w:p>
        </w:tc>
        <w:tc>
          <w:tcPr>
            <w:tcW w:w="88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63.3%</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Return on equity (2)(3)</w:t>
            </w:r>
          </w:p>
        </w:tc>
        <w:tc>
          <w:tcPr>
            <w:tcW w:w="11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1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13.9%</w:t>
            </w:r>
          </w:p>
        </w:tc>
        <w:tc>
          <w:tcPr>
            <w:tcW w:w="11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Combined ratio of PPS + PS (4)</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105.3%</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94.6%</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100.4%</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105.6%</w:t>
            </w:r>
          </w:p>
        </w:tc>
        <w:tc>
          <w:tcPr>
            <w:tcW w:w="24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98.5%</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-3810</wp:posOffset>
            </wp:positionV>
            <wp:extent cx="12865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86510" cy="889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-3810</wp:posOffset>
            </wp:positionV>
            <wp:extent cx="20326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ind w:left="220" w:hanging="212"/>
        <w:spacing w:after="0" w:line="221" w:lineRule="auto"/>
        <w:tabs>
          <w:tab w:leader="none" w:pos="22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With consolidated adjustments between insurance companies and medical services.</w:t>
      </w:r>
    </w:p>
    <w:p>
      <w:pPr>
        <w:ind w:left="220" w:hanging="212"/>
        <w:spacing w:after="0" w:line="221" w:lineRule="auto"/>
        <w:tabs>
          <w:tab w:leader="none" w:pos="22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Annualized. ROAE excl. Unrealized gains: 4Q14: 14.8%, 3Q14: 17.5%, 4Q13: 3.3%</w:t>
      </w:r>
    </w:p>
    <w:p>
      <w:pPr>
        <w:ind w:left="220" w:hanging="212"/>
        <w:spacing w:after="0" w:line="221" w:lineRule="auto"/>
        <w:tabs>
          <w:tab w:leader="none" w:pos="22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Average are determinated as the average of period - beginning and period ending.</w:t>
      </w:r>
    </w:p>
    <w:p>
      <w:pPr>
        <w:ind w:left="220" w:hanging="212"/>
        <w:spacing w:after="0"/>
        <w:tabs>
          <w:tab w:leader="none" w:pos="22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With consolidated adjustments.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Pacifico Insurance Group reported net income before minority interest of PEN 57.7 million in 4Q14, which falls 9.0% below the PEN 62.3 million posted in 3Q14 but is almost 5 times higher than the PEN 11.8 registered in 4Q13. This result shows a significant improvement with regard to previous years but still reflects a degree of volatility in income generation due to extraordinary elements.. As such, the QoQ decline is due primarily to:</w:t>
      </w:r>
    </w:p>
    <w:p>
      <w:pPr>
        <w:spacing w:after="0" w:line="176" w:lineRule="exact"/>
        <w:rPr>
          <w:sz w:val="20"/>
          <w:szCs w:val="20"/>
          <w:color w:val="auto"/>
        </w:rPr>
      </w:pPr>
    </w:p>
    <w:p>
      <w:pPr>
        <w:ind w:left="980" w:hanging="648"/>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PPS’s underwriting result due to an increase in the loss ratio and the fact that, unlike last quarter, no provisions for uncollectible reinsurance were released; and</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lower financial income given that in 3Q14, profit sharing took place and there were gains on securities for specific transactions that were not repeated in 4Q14.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was partially offset by a decrease in income tax, higher miscellaneous income and an increase in the translation result.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PGA’s underwriting result fell 15.2% QoQ due to lower underwriting results at PPS, EPS and the Medical Subsidiaries. In the case of PPS, the provisions’ release last Q and an increase in the loss ratio in the car segment drove this decline. At EPS, a drop was due primarily to an increase in the loss ratio due to a seasonal effect. Finally, in terms of the Medical Subsidiaries, the decline in the underwriting result was due to a 6% QoQ decline in sales due to seasonal effect (holidays at year-end) and a decrease in the average bill in the hospital line. It is important to note that the increase in PV’s underwriting result was due to higher net earned premiums following a decrease in reserves for Annuities, Group Life (Statutory Life) and Personal Accidents and an increase in the underwriting result due to profit sharing from reinsurance.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income was situated at PEN 75.0 million in 4Q14, which represented a 13.8% decline with regard to the PEN 87.0 million obtained in 3Q14 when extraordinary income was registered due to profit sharing relative to the ENFOCA risk fund; the sale of TESCO bonds; and the redemption of a certificate of deposit from the Bank of America. It is important to note the extraordinary income of PEN 2.8 million posted for a real estate sale.</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In terms of general expenses, the increase generated in the Medical Subsidiaries (+PEN 3.3 million) was primarily due to i) an increase in provisions for uncollectibles due to a move to clean up accounts receivables for past periods and ii) liquidation expenses for a reorganization of personnel and recognition of extraordinary expenses due to legal suits.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YoY terms, PGA reported net income before minority interest of PEN 56.7 million, which is 5 times the PEN 11.8 million obtained in 4Q13. This increase in income is a result of a stabilization of income levels following business corrections and was due to i) an increase in the underwriting result in all companies, led by the increase at PPS (+PEN 16.1 million), followed by Medical Subsidiaries (+PEN 10.4 million) and Pacifico Vida (+PEN 9.7 million); ii) higher miscellaneous income (+PEN 3.1 million) and an increase in the translation result (+PEN 1.3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PPS, the increase in the underwriting result was due to i) an increase in the net earned Premium for Cars and Private Medical and ii) a decrease in the loss ratio due to improvements in the pricing model for the car business. Finally, at PV, a higher underwriting result was due to i) higher Premium turnover in all businesses.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PGA</w:t>
            </w:r>
          </w:p>
        </w:tc>
        <w:tc>
          <w:tcPr>
            <w:tcW w:w="980" w:type="dxa"/>
            <w:vAlign w:val="bottom"/>
          </w:tcPr>
          <w:p>
            <w:pPr>
              <w:spacing w:after="0"/>
              <w:rPr>
                <w:sz w:val="19"/>
                <w:szCs w:val="19"/>
                <w:color w:val="auto"/>
              </w:rPr>
            </w:pP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Net income *</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PEN (000)</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4Q13</w:t>
            </w:r>
          </w:p>
        </w:tc>
        <w:tc>
          <w:tcPr>
            <w:tcW w:w="160" w:type="dxa"/>
            <w:vAlign w:val="bottom"/>
          </w:tcPr>
          <w:p>
            <w:pPr>
              <w:spacing w:after="0"/>
              <w:rPr>
                <w:sz w:val="20"/>
                <w:szCs w:val="20"/>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3Q14</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4Q14</w:t>
            </w:r>
          </w:p>
        </w:tc>
        <w:tc>
          <w:tcPr>
            <w:tcW w:w="15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QoQ</w:t>
            </w:r>
          </w:p>
        </w:tc>
        <w:tc>
          <w:tcPr>
            <w:tcW w:w="8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7"/>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PGA **</w:t>
            </w: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11,843</w:t>
            </w:r>
          </w:p>
        </w:tc>
        <w:tc>
          <w:tcPr>
            <w:tcW w:w="16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62,264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56,688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PV</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39,345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48,097</w:t>
            </w:r>
          </w:p>
        </w:tc>
        <w:tc>
          <w:tcPr>
            <w:tcW w:w="160" w:type="dxa"/>
            <w:vAlign w:val="bottom"/>
          </w:tcPr>
          <w:p>
            <w:pPr>
              <w:spacing w:after="0"/>
              <w:rPr>
                <w:sz w:val="18"/>
                <w:szCs w:val="18"/>
                <w:color w:val="auto"/>
              </w:rPr>
            </w:pP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EPS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Consolidation adjustments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Contribution to Credicorp</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13,184</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60,031</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54,890</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bl>
    <w:p>
      <w:pPr>
        <w:ind w:left="920"/>
        <w:spacing w:after="0"/>
        <w:rPr>
          <w:sz w:val="20"/>
          <w:szCs w:val="20"/>
          <w:color w:val="auto"/>
        </w:rPr>
      </w:pPr>
      <w:r>
        <w:rPr>
          <w:rFonts w:ascii="Times New Roman" w:cs="Times New Roman" w:eastAsia="Times New Roman" w:hAnsi="Times New Roman"/>
          <w:sz w:val="18"/>
          <w:szCs w:val="18"/>
          <w:i w:val="1"/>
          <w:iCs w:val="1"/>
          <w:color w:val="auto"/>
        </w:rPr>
        <w:t>* Before minoritary interest.</w:t>
      </w:r>
    </w:p>
    <w:p>
      <w:pPr>
        <w:spacing w:after="0" w:line="9" w:lineRule="exact"/>
        <w:rPr>
          <w:sz w:val="20"/>
          <w:szCs w:val="20"/>
          <w:color w:val="auto"/>
        </w:rPr>
      </w:pPr>
    </w:p>
    <w:p>
      <w:pPr>
        <w:ind w:left="1140" w:hanging="225"/>
        <w:spacing w:after="0"/>
        <w:tabs>
          <w:tab w:leader="none" w:pos="114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Legal name: El Pacífico Peruano Suiza Compañía de Seguros y Reaseguros S.A. y Subsidiarias.</w:t>
      </w:r>
    </w:p>
    <w:p>
      <w:pPr>
        <w:spacing w:after="0" w:line="9" w:lineRule="exact"/>
        <w:rPr>
          <w:rFonts w:ascii="Times New Roman" w:cs="Times New Roman" w:eastAsia="Times New Roman" w:hAnsi="Times New Roman"/>
          <w:sz w:val="18"/>
          <w:szCs w:val="18"/>
          <w:i w:val="1"/>
          <w:iCs w:val="1"/>
          <w:color w:val="auto"/>
        </w:rPr>
      </w:pPr>
    </w:p>
    <w:p>
      <w:pPr>
        <w:ind w:left="1240" w:hanging="325"/>
        <w:spacing w:after="0"/>
        <w:tabs>
          <w:tab w:leader="none" w:pos="124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medical subsidiaries results.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Pacifico Property and Casualty (PPS)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PPS reported earnings of PEN 8.9 million in 4Q14, which represents a 50.4% decline with regard to the PEN 18.0 million obtained in 3Q14. The decrease in this result was due to the fact that the underwriting result and financial income were lower. Nevertheless, this effect was offset by a drop in general expenses, higher miscellaneous income and lower income tax this quarter.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underwriting result fell 30.6% QoQ. This was due primarily to an increase in the cost of acquisition and, to a lesser extent, to a higher loss ratio and a decrease in the net earned premium. Higher acquisition costs were due to an increase in underwriting expenses and commissions paid. Higher underwriting expenses were due to an extraordinary effect registered in 3Q14 relative to recovery on a claim from 2008. In terms of commissions, the increase was due primarily to an accounting adjustment from prior quarters in the Wholesale Lines of PEN 3.5 million (12.7% in 3Q14 and 15.0% in 4Q14).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the loss ratio was due primarily to the fact that there were more claims in the Car segment and fewer salvage sales. This led the loss ratio to increase from 53.3% in 3Q14 to 56.4% in 4Q14.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the net earned Premium fell -PEN 3.8 million QoQ. This was due primarily to a decrease in the ceded premium in Wholesale Lines and to an accounting adjustment from prior periods for PEN 7.6 million. Nevertheless, an increase in the net earned premium in the Private Health and Car lines helped offset the aforementioned events.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financial income fell -10.5% QoQ, which was primarily due to lower income from the sale of securities due to profit sharing in 3Q14 from the ENFOCA Risk Fund. The adverse environment of the local stock Exchange in 4Q14 impeded any efforts to generate large gains.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general expenses (-PEN 6.0 million) was due to the fact that expenses for personnel reorganization fell PEN 6.5 million QoQ. This quarter, advertising expenses were also lower. The aforementioned was offset by higher expenses to structure the agreement with BanMedica in the Health businesses. These effects generated a decrease in the expense ratio in comparison to the net earned premium with regard to last quarter (26.1% versus 28.3%).</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8" w:name="page49"/>
    <w:bookmarkEnd w:id="48"/>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Miscellaneous income increased 256.1% QoQ (+PEN 1.9 million). This was due primarily to the fact that in 4Q14, Stock Awards, bonds for brokers and extraordinary bonuses were released from previous periods.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Income tax totaled PEN 1.4 million in 4Q14, which is 87.5% lower than the PEN 11.3 million registered in 3Q14. This drop was due to a decrease in earnings this quarter and to a move to release a Deferred Tax following changes in tax rates (PEN 2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we provide details on the results of the business lines in property and casualty insurance: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Result by Business Unit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rPr>
              <w:t>4Q13</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1"/>
                <w:szCs w:val="11"/>
                <w:b w:val="1"/>
                <w:bCs w:val="1"/>
                <w:color w:val="auto"/>
              </w:rPr>
              <w:t>3Q14</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4Q14</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3"/>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3"/>
              </w:rPr>
              <w:t>Private</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Private</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3"/>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Private</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Underwriting Result by Business Unit</w:t>
            </w:r>
          </w:p>
        </w:tc>
        <w:tc>
          <w:tcPr>
            <w:tcW w:w="840" w:type="dxa"/>
            <w:vAlign w:val="bottom"/>
            <w:gridSpan w:val="2"/>
          </w:tcPr>
          <w:p>
            <w:pPr>
              <w:jc w:val="right"/>
              <w:ind w:right="380"/>
              <w:spacing w:after="0" w:line="122" w:lineRule="exact"/>
              <w:rPr>
                <w:sz w:val="20"/>
                <w:szCs w:val="20"/>
                <w:color w:val="auto"/>
              </w:rPr>
            </w:pPr>
            <w:r>
              <w:rPr>
                <w:rFonts w:ascii="Times New Roman" w:cs="Times New Roman" w:eastAsia="Times New Roman" w:hAnsi="Times New Roman"/>
                <w:sz w:val="11"/>
                <w:szCs w:val="11"/>
                <w:b w:val="1"/>
                <w:bCs w:val="1"/>
                <w:color w:val="auto"/>
              </w:rPr>
              <w:t>Vehicle</w:t>
            </w:r>
          </w:p>
        </w:tc>
        <w:tc>
          <w:tcPr>
            <w:tcW w:w="900" w:type="dxa"/>
            <w:vAlign w:val="bottom"/>
            <w:gridSpan w:val="3"/>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Health</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8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b w:val="1"/>
                <w:bCs w:val="1"/>
                <w:color w:val="auto"/>
              </w:rPr>
              <w:t>Vehicle</w:t>
            </w:r>
          </w:p>
        </w:tc>
        <w:tc>
          <w:tcPr>
            <w:tcW w:w="8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Health</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jc w:val="right"/>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78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Vehicle</w:t>
            </w:r>
          </w:p>
        </w:tc>
        <w:tc>
          <w:tcPr>
            <w:tcW w:w="86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Health</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1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PEN million</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900" w:type="dxa"/>
            <w:vAlign w:val="bottom"/>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P&amp;C</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PPS</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Insurance</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P&amp;C</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PPS</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Insurance</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P&amp;C</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PPS</w:t>
            </w:r>
          </w:p>
        </w:tc>
        <w:tc>
          <w:tcPr>
            <w:tcW w:w="0" w:type="dxa"/>
            <w:vAlign w:val="bottom"/>
          </w:tcPr>
          <w:p>
            <w:pPr>
              <w:spacing w:after="0"/>
              <w:rPr>
                <w:sz w:val="1"/>
                <w:szCs w:val="1"/>
                <w:color w:val="auto"/>
              </w:rPr>
            </w:pPr>
          </w:p>
        </w:tc>
      </w:tr>
      <w:tr>
        <w:trPr>
          <w:trHeight w:val="115"/>
        </w:trPr>
        <w:tc>
          <w:tcPr>
            <w:tcW w:w="184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Net earned premiums</w:t>
            </w: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88.0</w:t>
            </w:r>
          </w:p>
        </w:tc>
        <w:tc>
          <w:tcPr>
            <w:tcW w:w="2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ind w:left="380"/>
              <w:spacing w:after="0" w:line="115" w:lineRule="exact"/>
              <w:rPr>
                <w:sz w:val="20"/>
                <w:szCs w:val="20"/>
                <w:color w:val="auto"/>
              </w:rPr>
            </w:pPr>
            <w:r>
              <w:rPr>
                <w:rFonts w:ascii="Times New Roman" w:cs="Times New Roman" w:eastAsia="Times New Roman" w:hAnsi="Times New Roman"/>
                <w:sz w:val="11"/>
                <w:szCs w:val="11"/>
                <w:color w:val="auto"/>
                <w:w w:val="93"/>
              </w:rPr>
              <w:t>76.1</w:t>
            </w: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ind w:left="300"/>
              <w:spacing w:after="0" w:line="115" w:lineRule="exact"/>
              <w:rPr>
                <w:sz w:val="20"/>
                <w:szCs w:val="20"/>
                <w:color w:val="auto"/>
              </w:rPr>
            </w:pPr>
            <w:r>
              <w:rPr>
                <w:rFonts w:ascii="Times New Roman" w:cs="Times New Roman" w:eastAsia="Times New Roman" w:hAnsi="Times New Roman"/>
                <w:sz w:val="11"/>
                <w:szCs w:val="11"/>
                <w:color w:val="auto"/>
                <w:w w:val="93"/>
              </w:rPr>
              <w:t>48.5</w:t>
            </w:r>
          </w:p>
        </w:tc>
        <w:tc>
          <w:tcPr>
            <w:tcW w:w="2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212.5</w:t>
            </w:r>
          </w:p>
        </w:tc>
        <w:tc>
          <w:tcPr>
            <w:tcW w:w="2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ind w:left="400"/>
              <w:spacing w:after="0" w:line="115" w:lineRule="exact"/>
              <w:rPr>
                <w:sz w:val="20"/>
                <w:szCs w:val="20"/>
                <w:color w:val="auto"/>
              </w:rPr>
            </w:pPr>
            <w:r>
              <w:rPr>
                <w:rFonts w:ascii="Times New Roman" w:cs="Times New Roman" w:eastAsia="Times New Roman" w:hAnsi="Times New Roman"/>
                <w:sz w:val="11"/>
                <w:szCs w:val="11"/>
                <w:color w:val="auto"/>
                <w:w w:val="82"/>
              </w:rPr>
              <w:t>92.6</w:t>
            </w:r>
          </w:p>
        </w:tc>
        <w:tc>
          <w:tcPr>
            <w:tcW w:w="2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ind w:left="400"/>
              <w:spacing w:after="0" w:line="115" w:lineRule="exact"/>
              <w:rPr>
                <w:sz w:val="20"/>
                <w:szCs w:val="20"/>
                <w:color w:val="auto"/>
              </w:rPr>
            </w:pPr>
            <w:r>
              <w:rPr>
                <w:rFonts w:ascii="Times New Roman" w:cs="Times New Roman" w:eastAsia="Times New Roman" w:hAnsi="Times New Roman"/>
                <w:sz w:val="11"/>
                <w:szCs w:val="11"/>
                <w:color w:val="auto"/>
                <w:w w:val="82"/>
              </w:rPr>
              <w:t>79.0</w:t>
            </w:r>
          </w:p>
        </w:tc>
        <w:tc>
          <w:tcPr>
            <w:tcW w:w="2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ind w:left="380"/>
              <w:spacing w:after="0" w:line="115" w:lineRule="exact"/>
              <w:rPr>
                <w:sz w:val="20"/>
                <w:szCs w:val="20"/>
                <w:color w:val="auto"/>
              </w:rPr>
            </w:pPr>
            <w:r>
              <w:rPr>
                <w:rFonts w:ascii="Times New Roman" w:cs="Times New Roman" w:eastAsia="Times New Roman" w:hAnsi="Times New Roman"/>
                <w:sz w:val="11"/>
                <w:szCs w:val="11"/>
                <w:color w:val="auto"/>
                <w:w w:val="82"/>
              </w:rPr>
              <w:t>55.4</w:t>
            </w:r>
          </w:p>
        </w:tc>
        <w:tc>
          <w:tcPr>
            <w:tcW w:w="2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227.0</w:t>
            </w: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ind w:left="380"/>
              <w:spacing w:after="0" w:line="115" w:lineRule="exact"/>
              <w:rPr>
                <w:sz w:val="20"/>
                <w:szCs w:val="20"/>
                <w:color w:val="auto"/>
              </w:rPr>
            </w:pPr>
            <w:r>
              <w:rPr>
                <w:rFonts w:ascii="Times New Roman" w:cs="Times New Roman" w:eastAsia="Times New Roman" w:hAnsi="Times New Roman"/>
                <w:sz w:val="11"/>
                <w:szCs w:val="11"/>
                <w:color w:val="auto"/>
                <w:w w:val="82"/>
              </w:rPr>
              <w:t>94.1</w:t>
            </w:r>
          </w:p>
        </w:tc>
        <w:tc>
          <w:tcPr>
            <w:tcW w:w="2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ind w:left="360"/>
              <w:spacing w:after="0" w:line="115" w:lineRule="exact"/>
              <w:rPr>
                <w:sz w:val="20"/>
                <w:szCs w:val="20"/>
                <w:color w:val="auto"/>
              </w:rPr>
            </w:pPr>
            <w:r>
              <w:rPr>
                <w:rFonts w:ascii="Times New Roman" w:cs="Times New Roman" w:eastAsia="Times New Roman" w:hAnsi="Times New Roman"/>
                <w:sz w:val="11"/>
                <w:szCs w:val="11"/>
                <w:color w:val="auto"/>
                <w:w w:val="93"/>
              </w:rPr>
              <w:t>81.6</w:t>
            </w: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280"/>
              <w:spacing w:after="0" w:line="115" w:lineRule="exact"/>
              <w:rPr>
                <w:sz w:val="20"/>
                <w:szCs w:val="20"/>
                <w:color w:val="auto"/>
              </w:rPr>
            </w:pPr>
            <w:r>
              <w:rPr>
                <w:rFonts w:ascii="Times New Roman" w:cs="Times New Roman" w:eastAsia="Times New Roman" w:hAnsi="Times New Roman"/>
                <w:sz w:val="11"/>
                <w:szCs w:val="11"/>
                <w:color w:val="auto"/>
                <w:w w:val="82"/>
              </w:rPr>
              <w:t>47.6</w:t>
            </w:r>
          </w:p>
        </w:tc>
        <w:tc>
          <w:tcPr>
            <w:tcW w:w="2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right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223.2</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Underwriting results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w:t>
            </w:r>
          </w:p>
        </w:tc>
        <w:tc>
          <w:tcPr>
            <w:tcW w:w="260" w:type="dxa"/>
            <w:vAlign w:val="bottom"/>
          </w:tcPr>
          <w:p>
            <w:pPr>
              <w:spacing w:after="0"/>
              <w:rPr>
                <w:sz w:val="10"/>
                <w:szCs w:val="10"/>
                <w:color w:val="auto"/>
              </w:rPr>
            </w:pPr>
          </w:p>
        </w:tc>
        <w:tc>
          <w:tcPr>
            <w:tcW w:w="58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w w:val="93"/>
              </w:rPr>
              <w:t>14.0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300"/>
              <w:spacing w:after="0" w:line="122" w:lineRule="exact"/>
              <w:rPr>
                <w:sz w:val="20"/>
                <w:szCs w:val="20"/>
                <w:color w:val="auto"/>
              </w:rPr>
            </w:pPr>
            <w:r>
              <w:rPr>
                <w:rFonts w:ascii="Times New Roman" w:cs="Times New Roman" w:eastAsia="Times New Roman" w:hAnsi="Times New Roman"/>
                <w:sz w:val="11"/>
                <w:szCs w:val="11"/>
                <w:color w:val="auto"/>
                <w:w w:val="93"/>
              </w:rPr>
              <w:t>24.4</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41.7</w:t>
            </w:r>
          </w:p>
        </w:tc>
        <w:tc>
          <w:tcPr>
            <w:tcW w:w="240" w:type="dxa"/>
            <w:vAlign w:val="bottom"/>
          </w:tcPr>
          <w:p>
            <w:pPr>
              <w:spacing w:after="0"/>
              <w:rPr>
                <w:sz w:val="10"/>
                <w:szCs w:val="10"/>
                <w:color w:val="auto"/>
              </w:rPr>
            </w:pPr>
          </w:p>
        </w:tc>
        <w:tc>
          <w:tcPr>
            <w:tcW w:w="580" w:type="dxa"/>
            <w:vAlign w:val="bottom"/>
          </w:tcPr>
          <w:p>
            <w:pPr>
              <w:ind w:left="400"/>
              <w:spacing w:after="0" w:line="122" w:lineRule="exact"/>
              <w:rPr>
                <w:sz w:val="20"/>
                <w:szCs w:val="20"/>
                <w:color w:val="auto"/>
              </w:rPr>
            </w:pPr>
            <w:r>
              <w:rPr>
                <w:rFonts w:ascii="Times New Roman" w:cs="Times New Roman" w:eastAsia="Times New Roman" w:hAnsi="Times New Roman"/>
                <w:sz w:val="11"/>
                <w:szCs w:val="11"/>
                <w:color w:val="auto"/>
                <w:w w:val="82"/>
              </w:rPr>
              <w:t>24.1</w:t>
            </w:r>
          </w:p>
        </w:tc>
        <w:tc>
          <w:tcPr>
            <w:tcW w:w="240" w:type="dxa"/>
            <w:vAlign w:val="bottom"/>
          </w:tcPr>
          <w:p>
            <w:pPr>
              <w:spacing w:after="0"/>
              <w:rPr>
                <w:sz w:val="10"/>
                <w:szCs w:val="10"/>
                <w:color w:val="auto"/>
              </w:rPr>
            </w:pPr>
          </w:p>
        </w:tc>
        <w:tc>
          <w:tcPr>
            <w:tcW w:w="820" w:type="dxa"/>
            <w:vAlign w:val="bottom"/>
            <w:gridSpan w:val="2"/>
          </w:tcPr>
          <w:p>
            <w:pPr>
              <w:ind w:left="400"/>
              <w:spacing w:after="0" w:line="122" w:lineRule="exact"/>
              <w:rPr>
                <w:sz w:val="20"/>
                <w:szCs w:val="20"/>
                <w:color w:val="auto"/>
              </w:rPr>
            </w:pPr>
            <w:r>
              <w:rPr>
                <w:rFonts w:ascii="Times New Roman" w:cs="Times New Roman" w:eastAsia="Times New Roman" w:hAnsi="Times New Roman"/>
                <w:sz w:val="11"/>
                <w:szCs w:val="11"/>
                <w:color w:val="auto"/>
              </w:rPr>
              <w:t>16.0</w:t>
            </w:r>
          </w:p>
        </w:tc>
        <w:tc>
          <w:tcPr>
            <w:tcW w:w="780" w:type="dxa"/>
            <w:vAlign w:val="bottom"/>
            <w:gridSpan w:val="2"/>
          </w:tcPr>
          <w:p>
            <w:pPr>
              <w:ind w:left="380"/>
              <w:spacing w:after="0" w:line="122" w:lineRule="exact"/>
              <w:rPr>
                <w:sz w:val="20"/>
                <w:szCs w:val="20"/>
                <w:color w:val="auto"/>
              </w:rPr>
            </w:pPr>
            <w:r>
              <w:rPr>
                <w:rFonts w:ascii="Times New Roman" w:cs="Times New Roman" w:eastAsia="Times New Roman" w:hAnsi="Times New Roman"/>
                <w:sz w:val="11"/>
                <w:szCs w:val="11"/>
                <w:color w:val="auto"/>
              </w:rPr>
              <w:t>43.3</w:t>
            </w:r>
          </w:p>
        </w:tc>
        <w:tc>
          <w:tcPr>
            <w:tcW w:w="7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83.4</w:t>
            </w:r>
          </w:p>
        </w:tc>
        <w:tc>
          <w:tcPr>
            <w:tcW w:w="780" w:type="dxa"/>
            <w:vAlign w:val="bottom"/>
            <w:gridSpan w:val="2"/>
          </w:tcPr>
          <w:p>
            <w:pPr>
              <w:ind w:left="380"/>
              <w:spacing w:after="0" w:line="122" w:lineRule="exact"/>
              <w:rPr>
                <w:sz w:val="20"/>
                <w:szCs w:val="20"/>
                <w:color w:val="auto"/>
              </w:rPr>
            </w:pPr>
            <w:r>
              <w:rPr>
                <w:rFonts w:ascii="Times New Roman" w:cs="Times New Roman" w:eastAsia="Times New Roman" w:hAnsi="Times New Roman"/>
                <w:sz w:val="11"/>
                <w:szCs w:val="11"/>
                <w:color w:val="auto"/>
              </w:rPr>
              <w:t>24.6</w:t>
            </w:r>
          </w:p>
        </w:tc>
        <w:tc>
          <w:tcPr>
            <w:tcW w:w="76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0"/>
                <w:szCs w:val="10"/>
                <w:color w:val="auto"/>
              </w:rPr>
            </w:pPr>
          </w:p>
        </w:tc>
        <w:tc>
          <w:tcPr>
            <w:tcW w:w="680" w:type="dxa"/>
            <w:vAlign w:val="bottom"/>
            <w:gridSpan w:val="2"/>
          </w:tcPr>
          <w:p>
            <w:pPr>
              <w:ind w:left="280"/>
              <w:spacing w:after="0" w:line="122" w:lineRule="exact"/>
              <w:rPr>
                <w:sz w:val="20"/>
                <w:szCs w:val="20"/>
                <w:color w:val="auto"/>
              </w:rPr>
            </w:pPr>
            <w:r>
              <w:rPr>
                <w:rFonts w:ascii="Times New Roman" w:cs="Times New Roman" w:eastAsia="Times New Roman" w:hAnsi="Times New Roman"/>
                <w:sz w:val="11"/>
                <w:szCs w:val="11"/>
                <w:color w:val="auto"/>
              </w:rPr>
              <w:t>17.6</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57.9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Loss ratio</w:t>
            </w:r>
          </w:p>
        </w:tc>
        <w:tc>
          <w:tcPr>
            <w:tcW w:w="84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70.4%</w:t>
            </w:r>
          </w:p>
        </w:tc>
        <w:tc>
          <w:tcPr>
            <w:tcW w:w="820" w:type="dxa"/>
            <w:vAlign w:val="bottom"/>
            <w:gridSpan w:val="2"/>
            <w:shd w:val="clear" w:color="auto" w:fill="CCEEFF"/>
          </w:tcPr>
          <w:p>
            <w:pPr>
              <w:ind w:left="380"/>
              <w:spacing w:after="0" w:line="122" w:lineRule="exact"/>
              <w:rPr>
                <w:sz w:val="20"/>
                <w:szCs w:val="20"/>
                <w:color w:val="auto"/>
              </w:rPr>
            </w:pPr>
            <w:r>
              <w:rPr>
                <w:rFonts w:ascii="Times New Roman" w:cs="Times New Roman" w:eastAsia="Times New Roman" w:hAnsi="Times New Roman"/>
                <w:sz w:val="11"/>
                <w:szCs w:val="11"/>
                <w:color w:val="auto"/>
              </w:rPr>
              <w:t>72.9%</w:t>
            </w: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30.2%</w:t>
            </w:r>
          </w:p>
        </w:tc>
        <w:tc>
          <w:tcPr>
            <w:tcW w:w="8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62.1%</w:t>
            </w:r>
          </w:p>
        </w:tc>
        <w:tc>
          <w:tcPr>
            <w:tcW w:w="820" w:type="dxa"/>
            <w:vAlign w:val="bottom"/>
            <w:gridSpan w:val="2"/>
            <w:shd w:val="clear" w:color="auto" w:fill="CCEEFF"/>
          </w:tcPr>
          <w:p>
            <w:pPr>
              <w:ind w:left="400"/>
              <w:spacing w:after="0" w:line="122" w:lineRule="exact"/>
              <w:rPr>
                <w:sz w:val="20"/>
                <w:szCs w:val="20"/>
                <w:color w:val="auto"/>
              </w:rPr>
            </w:pPr>
            <w:r>
              <w:rPr>
                <w:rFonts w:ascii="Times New Roman" w:cs="Times New Roman" w:eastAsia="Times New Roman" w:hAnsi="Times New Roman"/>
                <w:sz w:val="11"/>
                <w:szCs w:val="11"/>
                <w:color w:val="auto"/>
              </w:rPr>
              <w:t>49.3%</w:t>
            </w:r>
          </w:p>
        </w:tc>
        <w:tc>
          <w:tcPr>
            <w:tcW w:w="820" w:type="dxa"/>
            <w:vAlign w:val="bottom"/>
            <w:gridSpan w:val="2"/>
            <w:shd w:val="clear" w:color="auto" w:fill="CCEEFF"/>
          </w:tcPr>
          <w:p>
            <w:pPr>
              <w:ind w:left="400"/>
              <w:spacing w:after="0" w:line="122" w:lineRule="exact"/>
              <w:rPr>
                <w:sz w:val="20"/>
                <w:szCs w:val="20"/>
                <w:color w:val="auto"/>
              </w:rPr>
            </w:pPr>
            <w:r>
              <w:rPr>
                <w:rFonts w:ascii="Times New Roman" w:cs="Times New Roman" w:eastAsia="Times New Roman" w:hAnsi="Times New Roman"/>
                <w:sz w:val="11"/>
                <w:szCs w:val="11"/>
                <w:color w:val="auto"/>
              </w:rPr>
              <w:t>70.5%</w:t>
            </w:r>
          </w:p>
        </w:tc>
        <w:tc>
          <w:tcPr>
            <w:tcW w:w="780" w:type="dxa"/>
            <w:vAlign w:val="bottom"/>
            <w:gridSpan w:val="2"/>
            <w:shd w:val="clear" w:color="auto" w:fill="CCEEFF"/>
          </w:tcPr>
          <w:p>
            <w:pPr>
              <w:ind w:left="380"/>
              <w:spacing w:after="0" w:line="122" w:lineRule="exact"/>
              <w:rPr>
                <w:sz w:val="20"/>
                <w:szCs w:val="20"/>
                <w:color w:val="auto"/>
              </w:rPr>
            </w:pPr>
            <w:r>
              <w:rPr>
                <w:rFonts w:ascii="Times New Roman" w:cs="Times New Roman" w:eastAsia="Times New Roman" w:hAnsi="Times New Roman"/>
                <w:sz w:val="11"/>
                <w:szCs w:val="11"/>
                <w:color w:val="auto"/>
              </w:rPr>
              <w:t>35.5%</w:t>
            </w:r>
          </w:p>
        </w:tc>
        <w:tc>
          <w:tcPr>
            <w:tcW w:w="76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53.3%</w:t>
            </w:r>
          </w:p>
        </w:tc>
        <w:tc>
          <w:tcPr>
            <w:tcW w:w="780" w:type="dxa"/>
            <w:vAlign w:val="bottom"/>
            <w:gridSpan w:val="2"/>
            <w:shd w:val="clear" w:color="auto" w:fill="CCEEFF"/>
          </w:tcPr>
          <w:p>
            <w:pPr>
              <w:ind w:left="380"/>
              <w:spacing w:after="0" w:line="122" w:lineRule="exact"/>
              <w:rPr>
                <w:sz w:val="20"/>
                <w:szCs w:val="20"/>
                <w:color w:val="auto"/>
              </w:rPr>
            </w:pPr>
            <w:r>
              <w:rPr>
                <w:rFonts w:ascii="Times New Roman" w:cs="Times New Roman" w:eastAsia="Times New Roman" w:hAnsi="Times New Roman"/>
                <w:sz w:val="11"/>
                <w:szCs w:val="11"/>
                <w:color w:val="auto"/>
              </w:rPr>
              <w:t>51.1%</w:t>
            </w:r>
          </w:p>
        </w:tc>
        <w:tc>
          <w:tcPr>
            <w:tcW w:w="76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70.5%</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42.6%</w:t>
            </w:r>
          </w:p>
        </w:tc>
        <w:tc>
          <w:tcPr>
            <w:tcW w:w="6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56.4%</w:t>
            </w:r>
          </w:p>
        </w:tc>
        <w:tc>
          <w:tcPr>
            <w:tcW w:w="0" w:type="dxa"/>
            <w:vAlign w:val="bottom"/>
          </w:tcPr>
          <w:p>
            <w:pPr>
              <w:spacing w:after="0"/>
              <w:rPr>
                <w:sz w:val="1"/>
                <w:szCs w:val="1"/>
                <w:color w:val="auto"/>
              </w:rPr>
            </w:pPr>
          </w:p>
        </w:tc>
      </w:tr>
      <w:tr>
        <w:trPr>
          <w:trHeight w:val="108"/>
        </w:trPr>
        <w:tc>
          <w:tcPr>
            <w:tcW w:w="196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Underwriting results / net earned</w:t>
            </w: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19.6%</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36.7%</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25.9%</w:t>
            </w:r>
          </w:p>
        </w:tc>
        <w:tc>
          <w:tcPr>
            <w:tcW w:w="0" w:type="dxa"/>
            <w:vAlign w:val="bottom"/>
          </w:tcPr>
          <w:p>
            <w:pPr>
              <w:spacing w:after="0"/>
              <w:rPr>
                <w:sz w:val="1"/>
                <w:szCs w:val="1"/>
                <w:color w:val="auto"/>
              </w:rPr>
            </w:pPr>
          </w:p>
        </w:tc>
      </w:tr>
      <w:tr>
        <w:trPr>
          <w:trHeight w:val="149"/>
        </w:trPr>
        <w:tc>
          <w:tcPr>
            <w:tcW w:w="1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premiums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3.9%</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tcPr>
          <w:p>
            <w:pPr>
              <w:spacing w:after="0"/>
              <w:rPr>
                <w:sz w:val="12"/>
                <w:szCs w:val="1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50.3%</w:t>
            </w:r>
          </w:p>
        </w:tc>
        <w:tc>
          <w:tcPr>
            <w:tcW w:w="820" w:type="dxa"/>
            <w:vAlign w:val="bottom"/>
            <w:gridSpan w:val="2"/>
            <w:vMerge w:val="continue"/>
          </w:tcPr>
          <w:p>
            <w:pPr>
              <w:spacing w:after="0"/>
              <w:rPr>
                <w:sz w:val="12"/>
                <w:szCs w:val="12"/>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26.0%</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20.3%</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78.2%</w:t>
            </w:r>
          </w:p>
        </w:tc>
        <w:tc>
          <w:tcPr>
            <w:tcW w:w="760" w:type="dxa"/>
            <w:vAlign w:val="bottom"/>
            <w:gridSpan w:val="2"/>
            <w:vMerge w:val="continue"/>
          </w:tcPr>
          <w:p>
            <w:pPr>
              <w:spacing w:after="0"/>
              <w:rPr>
                <w:sz w:val="12"/>
                <w:szCs w:val="12"/>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26.1%</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tcPr>
          <w:p>
            <w:pPr>
              <w:spacing w:after="0"/>
              <w:rPr>
                <w:sz w:val="12"/>
                <w:szCs w:val="12"/>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37.0%</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000" w:hanging="492"/>
        <w:spacing w:after="0" w:line="25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 line posted an underwriting result of PEN 24.6 million in 4Q14, which represented a slight increase of 2.2% QoQ and 874.6% YoY. This improvement in the underwriting result was due primarily to i) an increase in the net earned premium and ii) a decrease in underwriting expenses due to the release of uncollectible premiums. This situation was offset by an increase in the loss ratio, which led the loss ratio to NEP to increase from 49.3% to 51.1%. The YoY increase in the underwriting result was due primarily to i) growth in the net earned premium (6.9% YoY), particularly in the Alliances and Bancassurance channels and ii) a reduction in the loss ratio (de 71.4% en 4T13 a 51.1% en 4T14) due to an adjustment in the product’s pricing model and a decrease in claims, which was attributable to an increase in deductibles.</w:t>
      </w:r>
    </w:p>
    <w:p>
      <w:pPr>
        <w:spacing w:after="0" w:line="187" w:lineRule="exact"/>
        <w:rPr>
          <w:rFonts w:ascii="Times New Roman" w:cs="Times New Roman" w:eastAsia="Times New Roman" w:hAnsi="Times New Roman"/>
          <w:sz w:val="18"/>
          <w:szCs w:val="18"/>
          <w:color w:val="auto"/>
        </w:rPr>
      </w:pPr>
    </w:p>
    <w:p>
      <w:pPr>
        <w:jc w:val="both"/>
        <w:ind w:left="1000" w:hanging="492"/>
        <w:spacing w:after="0" w:line="261"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Medical line posted an underwriting result of PEN 15.7 million in 4Q14, which represented a 2.1% decline QoQ but revealed an 11.7% increase YoY. In terms of 3Q14, the decrease in the result was due to higher acquisition costs due to a process to regularize expenses corresponding to previous months. The YoY underwriting result increased 11.7% due primarily to an increase in the net earned premium, which was due primarily to more sales of individual products.</w:t>
      </w:r>
    </w:p>
    <w:p>
      <w:pPr>
        <w:spacing w:after="0" w:line="180" w:lineRule="exact"/>
        <w:rPr>
          <w:rFonts w:ascii="Times New Roman" w:cs="Times New Roman" w:eastAsia="Times New Roman" w:hAnsi="Times New Roman"/>
          <w:sz w:val="18"/>
          <w:szCs w:val="18"/>
          <w:color w:val="auto"/>
        </w:rPr>
      </w:pPr>
    </w:p>
    <w:p>
      <w:pPr>
        <w:jc w:val="both"/>
        <w:ind w:left="1000" w:hanging="492"/>
        <w:spacing w:after="0" w:line="25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Property and Casualty line (P &amp; C), the underwriting result totaled PEN 17.6 million in 4Q14, which represents a 59.4% drop QoQ and 30.2% YoY. With regard to 3Q14, the decrease in the underwriting result was due primarily to i) an increase in the underwriting result following the release of reinsurance uncollectibles in 3Q14 followed by ii) the negative effect of accounting regularizations from previous quarters relative to ceded premiums; lower provisions for payments to reinsurers brokers. The YoY underwriting result fell 30.2% due to an increase in the loss ratio this quarter (28.5% in 4Q13 versus 42.6% in 4Q14).</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these results, PPS obtained a combined ratio of 100.2% in 4Q14, which can be broken down into 56.4 points for net claims (loss ratio), 17.7 points for business acquisition costs, and 26.1 points for general expenses, which compared to the combined ratio in 4Q13 of 91.6%, reflects an increase of 860 basis points that can be broken down into 53.3 points for net claims (loss ratio), 9.9 points for business acquisition costs and 28.3 points for general expenses.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YoY terms PPS reported a result of PEN 8.9 million, which represents a 27.9% increase with regard to the result obtained in 4Q13. Higher income this quarter was primarily attributable to an improvement in the underwriting result (+38.6%) as a result of an increase in the net earned premium in the Car and Private Medical lines, as well as to a lower loss ratio in the Car line. The lower loss ratio was in turn due to a drop in claims due to the increase in deductibles. The increase in miscellaneous income and a decrease in income tax helped offset the lower financial income and a less favorable translation result in 4Q14.</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2014 vs. 2013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PPS reported net earnings of PEN 32.6 million at the end of 2014, which is considerably higher than the –PEN 2.5 million loss posted at the end of 2013. This increase in earnings was due to an improvement in the underwriting result, lower general expenses, and higher miscellaneous income.</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improvement in the underwriting result was due to i) an increase in the net earned premium (+PEN 64.8 million) in all business segments but mainly in Private Medical and Car ii) a decrease in the net underwriting result due to a release of reinsurance uncollectibles in Wholesale Lines, and iii) a decrease in the loss ratio in the Car line due to adjustments to the product’s pricing model and to a decrease in claims following an increase in deductibles, which contributed decreasing the company’s loss ratio (62.0% versus 56.8% in 2014).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Lower general expenses are reflected in the drop in the loss ratio, which went from 29.5% in 2013 to 26.7% in 2014 due primarily to a strict and adequate control of expenses as part of the company’s effort to achieve operating excellence.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improvement in net income YoY is even more remarkable considering that 2013 results incorporate exceptional profits from the sale of real estate assets for PEN 36.4 million and the sale of shares (Inversiones Centenario) for 23.8 million, both registered under financial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Pacifico Vida (PV)</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Pacifico Vida reported earnings of PEN 48.1 million in 4Q14, which topped the PEN 39.3 million obtained in 3Q14 by 22.2%. This result was due to an improvement in the underwriting result; lower general expenses; and a higher translation result. Nevertheless, this effect was offset by lower net financial income and miscellaneous income.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underwriting result posted an increase of +PEN 15.5 million (+116.7% QoQ), which was due primarily to an increase in net earned premiums (+PEN 15.6 million) and a decrease in the net underwriting result (-PEN 4.4 million) despite an increase in the loss ratio (+PEN 2.5 million) and an increase in commissions paid (+PEN 2.1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earned premiums was due primarily to the need to set aside fewer reserves due to i) a decrease in premium turnover in Annuities and ii) extraordinary reserves in 3Q14 in Statutory Life (due to changes in regulatory parameters).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decrease in the underwriting result was due to profit sharing for reinsurance in the Credit Life, Individual Life and Group Life businesses for PEN 8 million, which are reported every year in the fourth quarter.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increase in the loss ratio this quarter was primarily attributable to Group Life (+PEN 6.1 million) and SCTR (Complementary Insurance for High Risk Occupations) due to an increase in reserves for IBNR, Catastrophes and inflation. The aforementioned was offset by lower claims in Credit Life due to recoveries agreed on with BCP and lower-than-average claims.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commissions paid was seen primarily to Group Life and Credit Life and coincides with an increase in premium turnover and the fact that provisions were set aside in Group Life for the right to enter into retail alliances (Censosud and Falabella).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income totaled PEN 68.8 million in 4Q14, which falls 9.3% below the PEN 75.8 million obtained in 3Q14 due to extraordinary income in 3Q14 on the sale of TESCO bonds and a move to redeem the certificate of deposit in the Bank of America Merril Lynch.</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50" w:name="page51"/>
    <w:bookmarkEnd w:id="50"/>
    <w:tbl>
      <w:tblPr>
        <w:tblLayout w:type="fixed"/>
        <w:tblInd w:w="8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Pacífico Vida</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04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Premiums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PEN million</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4Q13</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3Q14</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4Q14</w:t>
            </w:r>
          </w:p>
        </w:tc>
        <w:tc>
          <w:tcPr>
            <w:tcW w:w="16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QoQ</w:t>
            </w:r>
          </w:p>
        </w:tc>
        <w:tc>
          <w:tcPr>
            <w:tcW w:w="9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Individual annuity</w:t>
            </w:r>
          </w:p>
        </w:tc>
        <w:tc>
          <w:tcPr>
            <w:tcW w:w="10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8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Life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8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Individual life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life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accidents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Disability &amp; survivor (Pension)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-123.9%</w:t>
            </w:r>
          </w:p>
        </w:tc>
        <w:tc>
          <w:tcPr>
            <w:tcW w:w="3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244.8</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298.2</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275.9</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In YoY terms, Pacifico Vida reported earnings of PEN 48.1 million, which represents a 124.0% increase with regard to the PEN 21.5 million obtained in 4Q13. This earnings increase was due to an improvement in the underwriting result; higher financial income; and a better translation result (+PEN 7.4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underwriting result reported an increase of +PEN 9.7 million, which was primarily associated with an increase in the net earned premium and a decrease in the loss ratio despite higher commissions and a higher net underwriting result.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the net earned premium (+PEN 16.0 million) was due primarily to 15.5% growth in premium turnover in all businesses combined (excluding the AFP business due to contract termination) and Annuities in particular, due to an increase in market share. Lower claims were recorded in the AFP lines given that the contract terminated in October 2013. As such, there was no need to set aside more reserves.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income increased PEN 10.9 million due to i) higher interest due to an increase in yields on the portfolio following an investment in instruments denominated in Nuevos Soles in the long term and ii) higher leasing income due to an increase in the real estate portfolio.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vs. 2013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Pacifico Vida reported net earnings of PEN 159.3 million at the end of 2014, which represents a 17.0% increase with regard to the PEN 136.1 million obtained in 2013. This improvement was due to an increase in financial income (+PEN 20.5 million) and a higher translation result (+PEN 36 million) despite a decrease in the underwriting result, higher general expenses and lower miscellaneous income.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terms of contributions to earnings by business line in 2014, Credit Life weighed in with PEN 35.3 million, Annuities with PEN 30.8 million, Individual Life with PEN 29.3 million, AFP with PEN 28.8 million, Group Life with PEN 26.3 million and Personal Accidents with PEN 8.7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Pacifico Salud (EPS) (Insurance)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EPS reported a loss of PEN 1.1 million in 4Q14, which represents a 140.7% decrease with regard to the PEN 2.7 million obtained in 3Q14. Lower income is due primarily to a decrease in the underwriting result (-PEN 5.0 million), in addition to slight growth in general expenses and lower net financial income.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the underwriting result was due primarily to a 5.8% QoQ increase in the loss ratio, particularly in the Group Health and Facultative Insurance due to a reserves adjustment for claims incurred but not reported (IBNR) at year-end, which led the loss ratio to increase from 83.6% in 3Q14 to 86.7% in 4Q14. This was offset by an increase in premium turnover in the Group and Facultative Insurance business due to additional semi-annual contributions and an increase in the number of affiliates. Commissions paid dropped -13.0% QoQ due to a release of provisions for broker bonds.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YoY results, EPS reported a loss of -PEN 1.1 million, which represents a 20% improvement over the -PEN 1.4 million posted in 4Q13. This lower loss was primarily due to an improvement in the underwriting result and, to a lesser extent, to higher financial income and a decrease in income tax this quarter.</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The improvement in the underwriting result was due to an increase in the net earned premium- associated with Group and Facultative Insurance- which basically offset a higher loss ratio due to an adjustment on incurred but not reported claims (IBNR) at year-end (loss ratio of 86.7% in 4Q14 versus 86.4% in 4Q13). The aforementioned was offset by higher general expenses due to an increase in provisions for uncollectibles and personnel expenses, and ii) lower miscellaneous income given that in 4Q13, extraordinary income was registered (reserves released from an escrow account) that was not reported again in 4Q14.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vs 2013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EPS reported net earnings, including subsidiaries, of PEN 10.1 million in 2014, which far exceeds the loss of -PEN 13.2 million posted at the end of 2013. This level was attributable to an increase in the underwriting result and higher financial income despite an increase in general expenses and a decrease in miscellaneous income.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improvement in the underwriting result was due primarily to an increase in the net earned premium (+PEN 98.4 million) in the Group and Facultative Insurance lines. Nevertheless, this was offset by a higher loss ratio (going from 82.6% in 2013 to 83.9% in 2014) due to an increase in: i) the average cost of claims and ii) in Group Health’s share of total premiums versus SCRT Health’s share (Group Health’s loss ratio was 87% and SCTR Health’s was 52%).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Medical Subsidiaries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Medical subsidiaries reported a loss after minority interest of -PEN 0.3 million in 4Q14, which fell 130% below the PEN 1.1 million obtained in 3Q14. This decrease was due primarily to a drop in the underwriting result, which was associated primarily with a 6% drop in sales. The latter was in turn associated with</w:t>
      </w:r>
    </w:p>
    <w:p>
      <w:pPr>
        <w:ind w:firstLine="8"/>
        <w:spacing w:after="0" w:line="261" w:lineRule="auto"/>
        <w:tabs>
          <w:tab w:leader="none" w:pos="1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bed occupancy due to a seasonal effect, ii) lower average ticket in the hospital line due to an increase in the average stay and iii) a decrease in available hospital capacity given that patient and operating rooms have been closed off for regulatory work.</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 expenses increased 10% with regard to last quarter, which was due primarily to: i) an increase in provisions for uncollectibles due to efforts to clean up accounts receivables from previous periods; ii) and recognition of extraordinary expenses associated with legal suits and iii) liquidation expenses for personnel reorganization.</w:t>
      </w:r>
    </w:p>
    <w:p>
      <w:pPr>
        <w:spacing w:after="0" w:line="172"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PEN (000)</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4Q13</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3Q14</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4Q14</w:t>
            </w:r>
          </w:p>
        </w:tc>
        <w:tc>
          <w:tcPr>
            <w:tcW w:w="16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QoQ</w:t>
            </w:r>
          </w:p>
        </w:tc>
        <w:tc>
          <w:tcPr>
            <w:tcW w:w="9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income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8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-1040%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38,858</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35,548</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minority interest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9"/>
                <w:szCs w:val="19"/>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-10,388</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1,143</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ind w:left="700"/>
        <w:spacing w:after="0"/>
        <w:rPr>
          <w:sz w:val="20"/>
          <w:szCs w:val="20"/>
          <w:color w:val="auto"/>
        </w:rPr>
      </w:pPr>
      <w:r>
        <w:rPr>
          <w:rFonts w:ascii="Times New Roman" w:cs="Times New Roman" w:eastAsia="Times New Roman" w:hAnsi="Times New Roman"/>
          <w:sz w:val="18"/>
          <w:szCs w:val="18"/>
          <w:i w:val="1"/>
          <w:iCs w:val="1"/>
          <w:color w:val="auto"/>
        </w:rPr>
        <w:t>* Considers Other income.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vs. 2013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medical subsidiaries reported earnings of PEN 0.8 million versus a loss of PEN 24.0 in 2013. Growth in sales, which was due to higher occupancy levels, new lines of business, an increase in average client billing as well as an adequate strategy to control spending, contributed to a better result this quarter.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end of 2014, Pacifico and the Grupo Banmedica de Chile, which is the largest private health conglomerate in the region, formalized a partnership that has allowed us to consolidate as the largest private health group in Peru – with the incorporation of Clínica San Felipe and Laboratorios ROE – to strengthen our health insurance proposition and improve our level of health care services throughout the country.</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VIII. Prima AFP</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Main financial indicators</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17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(PEN thousand) (1)</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4Q13</w:t>
            </w: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3Q14</w:t>
            </w: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4Q14</w:t>
            </w: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QoQ</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95"/>
              </w:rPr>
              <w:t>YoY</w:t>
            </w: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 13</w:t>
            </w: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 14</w:t>
            </w:r>
          </w:p>
        </w:tc>
        <w:tc>
          <w:tcPr>
            <w:tcW w:w="2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 14 / Dec 13</w:t>
            </w:r>
          </w:p>
        </w:tc>
        <w:tc>
          <w:tcPr>
            <w:tcW w:w="120" w:type="dxa"/>
            <w:vAlign w:val="bottom"/>
            <w:tcBorders>
              <w:bottom w:val="single" w:sz="8" w:color="CCEEFF"/>
            </w:tcBorders>
          </w:tcPr>
          <w:p>
            <w:pPr>
              <w:spacing w:after="0"/>
              <w:rPr>
                <w:sz w:val="15"/>
                <w:szCs w:val="15"/>
                <w:color w:val="auto"/>
              </w:rPr>
            </w:pPr>
          </w:p>
        </w:tc>
      </w:tr>
      <w:tr>
        <w:trPr>
          <w:trHeight w:val="142"/>
        </w:trPr>
        <w:tc>
          <w:tcPr>
            <w:tcW w:w="3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from commissions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96,801</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98,312</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97,534</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-0.8%</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0.8%</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371,482</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385,463</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w:t>
            </w:r>
          </w:p>
        </w:tc>
      </w:tr>
      <w:tr>
        <w:trPr>
          <w:trHeight w:val="149"/>
        </w:trPr>
        <w:tc>
          <w:tcPr>
            <w:tcW w:w="3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Administrative and sale expenses</w:t>
            </w:r>
          </w:p>
        </w:tc>
        <w:tc>
          <w:tcPr>
            <w:tcW w:w="10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(41,250)</w:t>
            </w:r>
          </w:p>
        </w:tc>
        <w:tc>
          <w:tcPr>
            <w:tcW w:w="10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(36,391)</w:t>
            </w:r>
          </w:p>
        </w:tc>
        <w:tc>
          <w:tcPr>
            <w:tcW w:w="10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(38,532)</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0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(153,463)</w:t>
            </w:r>
          </w:p>
        </w:tc>
        <w:tc>
          <w:tcPr>
            <w:tcW w:w="10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(144,854)</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(4,954)</w:t>
            </w:r>
          </w:p>
        </w:tc>
        <w:tc>
          <w:tcPr>
            <w:tcW w:w="10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(5,043)</w:t>
            </w:r>
          </w:p>
        </w:tc>
        <w:tc>
          <w:tcPr>
            <w:tcW w:w="10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(5,498)</w:t>
            </w: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0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(19,194)</w:t>
            </w:r>
          </w:p>
        </w:tc>
        <w:tc>
          <w:tcPr>
            <w:tcW w:w="10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(20,606)</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r>
      <w:tr>
        <w:trPr>
          <w:trHeight w:val="149"/>
        </w:trPr>
        <w:tc>
          <w:tcPr>
            <w:tcW w:w="3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operating income</w:t>
            </w:r>
          </w:p>
        </w:tc>
        <w:tc>
          <w:tcPr>
            <w:tcW w:w="102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50,597</w:t>
            </w:r>
          </w:p>
        </w:tc>
        <w:tc>
          <w:tcPr>
            <w:tcW w:w="10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56,878</w:t>
            </w:r>
          </w:p>
        </w:tc>
        <w:tc>
          <w:tcPr>
            <w:tcW w:w="10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53,503</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0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198,825</w:t>
            </w:r>
          </w:p>
        </w:tc>
        <w:tc>
          <w:tcPr>
            <w:tcW w:w="10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220,003</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and expenses, net</w:t>
            </w:r>
          </w:p>
        </w:tc>
        <w:tc>
          <w:tcPr>
            <w:tcW w:w="10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(2,590)</w:t>
            </w:r>
          </w:p>
        </w:tc>
        <w:tc>
          <w:tcPr>
            <w:tcW w:w="10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(763)</w:t>
            </w:r>
          </w:p>
        </w:tc>
        <w:tc>
          <w:tcPr>
            <w:tcW w:w="10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(2,204)</w:t>
            </w: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188.9%</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10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(4,991)</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865</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w:t>
            </w:r>
          </w:p>
        </w:tc>
      </w:tr>
      <w:tr>
        <w:trPr>
          <w:trHeight w:val="149"/>
        </w:trPr>
        <w:tc>
          <w:tcPr>
            <w:tcW w:w="3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Employee profit sharing</w:t>
            </w:r>
          </w:p>
        </w:tc>
        <w:tc>
          <w:tcPr>
            <w:tcW w:w="102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6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#DIV/0!</w:t>
            </w: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#DIV/0!</w:t>
            </w:r>
          </w:p>
        </w:tc>
        <w:tc>
          <w:tcPr>
            <w:tcW w:w="10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10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(13,843)</w:t>
            </w:r>
          </w:p>
        </w:tc>
        <w:tc>
          <w:tcPr>
            <w:tcW w:w="10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(18,961)</w:t>
            </w:r>
          </w:p>
        </w:tc>
        <w:tc>
          <w:tcPr>
            <w:tcW w:w="10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(14,263)</w:t>
            </w: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0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(58,335)</w:t>
            </w:r>
          </w:p>
        </w:tc>
        <w:tc>
          <w:tcPr>
            <w:tcW w:w="10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(67,868)</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r>
      <w:tr>
        <w:trPr>
          <w:trHeight w:val="149"/>
        </w:trPr>
        <w:tc>
          <w:tcPr>
            <w:tcW w:w="3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before translation results</w:t>
            </w:r>
          </w:p>
        </w:tc>
        <w:tc>
          <w:tcPr>
            <w:tcW w:w="102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34,163</w:t>
            </w:r>
          </w:p>
        </w:tc>
        <w:tc>
          <w:tcPr>
            <w:tcW w:w="10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37,154</w:t>
            </w:r>
          </w:p>
        </w:tc>
        <w:tc>
          <w:tcPr>
            <w:tcW w:w="10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37,036</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0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135,499</w:t>
            </w:r>
          </w:p>
        </w:tc>
        <w:tc>
          <w:tcPr>
            <w:tcW w:w="10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152,999</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Translations results</w:t>
            </w:r>
          </w:p>
        </w:tc>
        <w:tc>
          <w:tcPr>
            <w:tcW w:w="102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0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104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2,844</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-87.2%</w:t>
            </w:r>
          </w:p>
        </w:tc>
      </w:tr>
      <w:tr>
        <w:trPr>
          <w:trHeight w:val="162"/>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34,207</w:t>
            </w:r>
          </w:p>
        </w:tc>
        <w:tc>
          <w:tcPr>
            <w:tcW w:w="10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37,363</w:t>
            </w: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37,086</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-0.7%</w:t>
            </w:r>
          </w:p>
        </w:tc>
        <w:tc>
          <w:tcPr>
            <w:tcW w:w="2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8.4%</w:t>
            </w:r>
          </w:p>
        </w:tc>
        <w:tc>
          <w:tcPr>
            <w:tcW w:w="10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138,342</w:t>
            </w:r>
          </w:p>
        </w:tc>
        <w:tc>
          <w:tcPr>
            <w:tcW w:w="10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153,364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42"/>
        </w:trPr>
        <w:tc>
          <w:tcPr>
            <w:tcW w:w="31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ROAE (2)</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28.6</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29.0</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26.2</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31.4</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29.8</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42"/>
        </w:trPr>
        <w:tc>
          <w:tcPr>
            <w:tcW w:w="3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815,677</w:t>
            </w:r>
          </w:p>
        </w:tc>
        <w:tc>
          <w:tcPr>
            <w:tcW w:w="2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844,349</w:t>
            </w:r>
          </w:p>
        </w:tc>
        <w:tc>
          <w:tcPr>
            <w:tcW w:w="2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912,761</w:t>
            </w: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8.1%</w:t>
            </w:r>
          </w:p>
        </w:tc>
        <w:tc>
          <w:tcPr>
            <w:tcW w:w="240" w:type="dxa"/>
            <w:vAlign w:val="bottom"/>
          </w:tcPr>
          <w:p>
            <w:pPr>
              <w:spacing w:after="0"/>
              <w:rPr>
                <w:sz w:val="12"/>
                <w:szCs w:val="12"/>
                <w:color w:val="auto"/>
              </w:rPr>
            </w:pPr>
          </w:p>
        </w:tc>
        <w:tc>
          <w:tcPr>
            <w:tcW w:w="7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11.9%</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102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315,167</w:t>
            </w:r>
          </w:p>
        </w:tc>
        <w:tc>
          <w:tcPr>
            <w:tcW w:w="10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308,820</w:t>
            </w:r>
          </w:p>
        </w:tc>
        <w:tc>
          <w:tcPr>
            <w:tcW w:w="104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316,799</w:t>
            </w: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77"/>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shareholders' equity</w:t>
            </w:r>
          </w:p>
        </w:tc>
        <w:tc>
          <w:tcPr>
            <w:tcW w:w="10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500,510</w:t>
            </w:r>
          </w:p>
        </w:tc>
        <w:tc>
          <w:tcPr>
            <w:tcW w:w="10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535,529</w:t>
            </w: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595,962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11.3%</w:t>
            </w:r>
          </w:p>
        </w:tc>
        <w:tc>
          <w:tcPr>
            <w:tcW w:w="2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19.1%</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-8890</wp:posOffset>
            </wp:positionV>
            <wp:extent cx="31045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ind w:left="260" w:hanging="252"/>
        <w:spacing w:after="0"/>
        <w:tabs>
          <w:tab w:leader="none" w:pos="26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IFRS</w:t>
      </w:r>
    </w:p>
    <w:p>
      <w:pPr>
        <w:spacing w:after="0" w:line="7"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shareholder´s equity include unrealized gains from Prima´s investment portfolio</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 of 2014, Prima AFP’s net income totaled PEN 37.1 million, which represents return on equity of 26.2%. This net result is slightly lower than last quarter’s level but 8.4% higher than the figure posted for the same period last year given that in the last month of the year, quarterly results incorporate (i) provisions for deferred income of PEN 1.3MM, which will be explained later in the report; (ii) more expenses for marketing for advertising and affiliate services in the last quarter of the year (seasonal end-of-year campaign), and (iii) diverse end-of-year provisions (tax provisions for SUNAT audits).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note that Prima AFP’s income has remained stable despite (i) an increase in market share of the AFP that won the tender process for the exclusive right to new affiliations, and (ii) the low level of economic growth in the country, which directly affects pension fund administrators, whose income is based their affiliates’ remuneration.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also important to note that net income in 4Q14 incorporates a positive adjustment for PEN 5.9 MM in the income tax line due to the tax changes decreed by the Peruvian government, which cut corporate income taxes as of 2015. In this context, Prima AFP made adjustments to the deferred income account in December 2014, which contributed to a stable net result.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main indicators for Prima AFP and SPP: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PRIMA</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System</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 Share</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PRIMA</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System</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 Share</w:t>
            </w:r>
          </w:p>
        </w:tc>
      </w:tr>
      <w:tr>
        <w:trPr>
          <w:trHeight w:val="238"/>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Quarterly main indicators and market share</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3Q14</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3Q14</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3Q14</w:t>
            </w: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4Q14</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4Q14</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4Q14</w:t>
            </w:r>
          </w:p>
        </w:tc>
        <w:tc>
          <w:tcPr>
            <w:tcW w:w="160" w:type="dxa"/>
            <w:vAlign w:val="bottom"/>
            <w:tcBorders>
              <w:bottom w:val="single" w:sz="8" w:color="CCEEFF"/>
            </w:tcBorders>
          </w:tcPr>
          <w:p>
            <w:pPr>
              <w:spacing w:after="0"/>
              <w:rPr>
                <w:sz w:val="20"/>
                <w:szCs w:val="20"/>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1,462,728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7"/>
              </w:rPr>
              <w:t>5,681,955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1,460,015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7"/>
              </w:rPr>
              <w:t>5,727,865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affiliations (1)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101,335</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58,817</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under management PEN million</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35,606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110,947</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36,741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114,503</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Collections PEN million (1)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2,041</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Voluntary contributions PEN million</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w:t>
            </w:r>
          </w:p>
        </w:tc>
      </w:tr>
      <w:tr>
        <w:trPr>
          <w:trHeight w:val="230"/>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 PEN million (2)</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6,111</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r>
      <w:tr>
        <w:trPr>
          <w:trHeight w:val="211"/>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 Superintendencia de Banca, Seguros y AFP</w:t>
            </w: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bl>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to the Quarter. Prima AFP's new affiliations correspond to fishing workers</w:t>
      </w:r>
    </w:p>
    <w:p>
      <w:pPr>
        <w:spacing w:after="0" w:line="7" w:lineRule="exact"/>
        <w:rPr>
          <w:rFonts w:ascii="Times New Roman" w:cs="Times New Roman" w:eastAsia="Times New Roman" w:hAnsi="Times New Roman"/>
          <w:sz w:val="18"/>
          <w:szCs w:val="18"/>
          <w:color w:val="auto"/>
        </w:rPr>
      </w:pPr>
    </w:p>
    <w:p>
      <w:pPr>
        <w:ind w:right="2280" w:firstLine="8"/>
        <w:spacing w:after="0" w:line="261"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 AFP estimates: average of aggregated income during the last 4 months excluding special collections and voluntary contribution fees. Source: Compiled by authors. Estimates november 2014.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Results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4Q14, there were 5.7 million affiliates in the SPP. In the fourth quarter of 2014, new affiliations to the System totaled 58,817, which represent a 42.0% decline with regard to the capture rate in 3Q14. This drop was due to the fact that in 3Q14, close to 38,000 independent affiliates were captured. In 4Q14, this capture level was not replicated given that the law decreeing that all independent workers must contribute to pension funds was appealed. If we exclude this effect, new affiliate capture reflects a decline of 7% with regard to the previous quarter.</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Prima AFP’s funds under management at the end of 2014 totaled PEN 36,741 MM, which represents 32.1% of the System’s total FuMs. In comparison to last quarter (PEN 35,606 million); the company’s portfolio under management reflects growth of 3.2%.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Collections for new contributions to Prima AFP’s fund under management totaled PEN 688 million, which represents 33.0% of SPP’s total collections. Prima AFP’s collections volume posted slight growth of 0.5% with regard to 3Q14.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terms of the RAM indicator (month insurable remuneration, which is the income base for AFPs), the company reported a figure of PEN 2,048 million at the end of November 2014 and posted a market share of 33.3%. In comparison to last quarter, market share fell 0.3%. This decline was due to the fact that the AFP that won the tender process for the exclusive right to new affiliates registered an increase in its market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international ambit in the last quarter of this year, relevant differences were evident in the evolution of the world’s main regions. The Federal Reserve of the United States finalized its progressive program to cut its monetary stimulus, while the European Central Bank (ECB) and the Central Bank of Japan (BoJ) continued to implement expansive monetary policy measures in a weaker-than-expected context for economic growth. Finally, the Chinese economy is seeking to strike a balance between growth and reforms.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local scene, the indicators of economic activity continued to be weak, as is reflected in economic figures that were lower-than-expected. The Central Bank of Peru (BCRP) continued to follow an expansive policy by implementing reductions in reserve requirements and other measures.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Peru’s equity market performed negatively this quarter. The General Index of the Lima Stock Exchange (IGBVL) drew back 8.8% due, among other factors, to a drop in commodities prices that led to a subsequent decline in the value of the shares of the most important global mining companies. Uncertainty regarding economic growth in China had a negative effect on different assets associated with emerging markets. In this context, Prima AFP continues to make efforts to diversity and optimize its investment portfolios to obtain better risk-adjusted profitability levels.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aforementioned events were reflected in the profitability of our funds under management, which in the last 12 months (December 2014 / December 2013) obtained nominal yields of 7.8%, 9.6% and 7.6% for Funds 1, 2 and 3, respectively. In this context, Prima AFP ranked fourth in Fund 1 and first in Funds 2 and 3 within the system’s profitability ranking.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long term analysis reveals that from the point at which the system was created to date (2014 / 1994), the annualized profitability of the funds managed by the AFP for fund 2 was 12.2% in nominal terms and 7.5% in real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structure of Prima AFP’s funds under management in the fourth quarter of 2014:</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Funds under management</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sep-14</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Share</w:t>
            </w: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dec-14</w:t>
            </w: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Share</w:t>
            </w:r>
          </w:p>
        </w:tc>
        <w:tc>
          <w:tcPr>
            <w:tcW w:w="160" w:type="dxa"/>
            <w:vAlign w:val="bottom"/>
            <w:tcBorders>
              <w:bottom w:val="single" w:sz="8" w:color="CCEEFF"/>
            </w:tcBorders>
          </w:tcPr>
          <w:p>
            <w:pPr>
              <w:spacing w:after="0"/>
              <w:rPr>
                <w:sz w:val="20"/>
                <w:szCs w:val="20"/>
                <w:color w:val="auto"/>
              </w:rPr>
            </w:pP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 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18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65.9%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24,264</w:t>
            </w:r>
          </w:p>
        </w:tc>
        <w:tc>
          <w:tcPr>
            <w:tcW w:w="1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30"/>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 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US$ millon</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35,606</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36,741</w:t>
            </w:r>
          </w:p>
        </w:tc>
        <w:tc>
          <w:tcPr>
            <w:tcW w:w="1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-8890</wp:posOffset>
            </wp:positionV>
            <wp:extent cx="32499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Source: Superintendencia de Banca, Seguros y AFP</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Prima AFP’s fee income in the fourth quarter of the year totaled PEN 97.5 MM, which represents minimal quarterly and year-on year variations of -0.8% and 0.8% respectively. This slight decline was due to provisions for deferred income for PEN 1.3MM. These provisions were set aside given that some affiliates may stop paying commissions to the AFP in the future but will still receive pension administration services (this is the case of non-contributors and retirees). Deferred income is calculated by using the discount (present value) on forecasts for expenses stemming from fund administration and pensioner services for these clients. For this reason, Prima up-dates its forecasts every quarter and any difference in the result, whether in favor or against, is registered in the Income Statement on the income 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we list the current commission schemes that apply to our affiliates depending on their commission preference (only one option can be chosen):</w:t>
      </w:r>
    </w:p>
    <w:p>
      <w:pPr>
        <w:spacing w:after="0" w:line="225" w:lineRule="exact"/>
        <w:rPr>
          <w:sz w:val="20"/>
          <w:szCs w:val="20"/>
          <w:color w:val="auto"/>
        </w:rPr>
      </w:pPr>
    </w:p>
    <w:p>
      <w:pPr>
        <w:ind w:left="500" w:hanging="370"/>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for flow: 1.60% applied to the affiliates’ monthly remuneration.</w:t>
      </w:r>
    </w:p>
    <w:p>
      <w:pPr>
        <w:spacing w:after="0" w:line="225" w:lineRule="exact"/>
        <w:rPr>
          <w:rFonts w:ascii="Times New Roman" w:cs="Times New Roman" w:eastAsia="Times New Roman" w:hAnsi="Times New Roman"/>
          <w:sz w:val="18"/>
          <w:szCs w:val="18"/>
          <w:color w:val="auto"/>
        </w:rPr>
      </w:pPr>
    </w:p>
    <w:p>
      <w:pPr>
        <w:jc w:val="both"/>
        <w:ind w:left="500" w:hanging="370"/>
        <w:spacing w:after="0" w:line="266"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Commission: Mixed commission: composed of a flow commission of 1.51%, which is applied to affiliates’ monthly remuneration, plus a commission of 1.25% a year, which is applied to the new balance (generated as of February 2013 for new affiliates to the system and beginning in June 2013 for old affiliates who have chosen this commission scheme).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for administration and sales in 4Q14 totaled PEN 38.5 MM. This represented an increase of 5.9% with regard to last quarter, which was due primarily to a seasonal increase in marketing expenses (more expenditure execution during this period of the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Expenses for depreciation and amortization in 4Q14 totaled PEN 5.5 MM, which tops last quarter’s level by 9.0%. These expenses include charges for amortization of intangibles (obtained in the framework of the merger with Unión Vida) as well as depreciation and amortization of real estate property, equipment and systems.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fourth quarter of 2014, operating income totaled PEN 53.5 MM. The QoQ comparison reflects a decrease of 5.9%, which was primarily due to higher expenses in 4Q14. Nevertheless, the YoY analysis reflects an increase of 5.7%.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terms of other income and expenses, the QoQ increase in expenses was due to the fact that tax provisions were set aside in the last quarter for audits by the tax superintendence. As such, the QoQ comparison of this line reveals an increase of 188.9% while the YoY analysis indicates a decrease of 14.9%.</w:t>
      </w:r>
    </w:p>
    <w:p>
      <w:pPr>
        <w:spacing w:after="0" w:line="16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4Q14, return on average equity (ROAE)</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 xml:space="preserve"> was situated at 26.2% while in 2014; Prima AFP’s ROAE reached 29.8%. If we isolate the extraordinary effects generated this year (income deferral, reversals and adjustments to the income tax and earnings on real estate sales), Prima AFP’s ROAE would be 23.1% and 29.7% for 4Q14 and 3Q14 respectively and 28.8% for 2014.</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2014, Prima AFP reported an asset level of PEN 912.8 million; net shareholders’ equity of PEN 596.0 million and liabilities for PEN 316.8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8097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 ROAE calculation on total equity (includes unrealized gains on reserves)</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Other relevant aspects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 for Affiliates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Circular N° 143-2014, the second affiliate tender for pension fund management in the Private Pension System (SPP) took place on 18.12.14. Based on the guidelines and conditions to participate in this tender, Prima AFP decided not to participate in order to focus on maintaining customer service levels and the value proposition that the company offers its affiliates. The overall objective is to strengthen Prima AFP’s position in the market. The company that won the first tender was eventually awarded the exclusive right to capture new affiliates for an additional 2 years (June 2015 – May 2017).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Tender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tender process for insurance companies interested in managing disability, survival and burial insurance in the SPP under a collective policy was held on 19.12.2014. As a result, six companies won the right to collectively manage this insurance. The new insurance premium is equivalent to 1.33% of an affiliate’s monthly remuneration and is applicable to all affiliates in the SPP. This represents an increase with regard to the current Premium of 1.23%. This new premium will be applicable during the period that will run from January 01, 2015 to December 31, 2016.</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IX. Economic Outlook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and November 2014, economic activity posted an advance of 2.4% YoY and 0.3% YoY respectively. In 4Q14, the Peruvian economy more than likely grew around 1.5% YoY, which falls slightly below the figure observed in 3Q14 (1.8% YoY) and 2Q14 (1.7% YoY). It is important to note that the comparative base for the annual calculation is high (growth in 4Q13 was 7.2% YoY). Nevertheless, the growth registered in 1Q14 (5.1% YoY) implies that annual expansion in 2014 was situated at around 2.5%. The deceleration in 2014 was also due to supply shocks in the primary sectors (-2.1%), which posted their worst year since 1992.</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weakness continued during the last quarter (October: 0.4%; November: -7.3%). The deterioration in the fishing sector (October: -9.7%, November: -68.7%), which was adversely affected by the fact that there was no second fishing season in the north and center of the country and by a significant reduction in anchovy captures (in Nov-14 there was no fishing of this species), led to a decline in primary manufacturing (October: -11.4%, November: -41.4%) when fishmeal and canned product production fell (October: -11.1%, November: -87.6%). This was accompanied by weak mining activity (October: 0.2%, November: -1.6%), which continued to experience adverse supply shocks due to lower ore grades and lower-than-expected production levels at some important projects. This also affected primary manufacturing given that it reduced activity in some industries, including non-ferrous precious metal refining (October: -23.8%, November: -24.5%).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decline in expenditure was due primarily to a deceleration in public expenditure. Public investment was weak (4Q14: -3.0%), particularly at the regional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(4Q14: -17.0%) and local (4Q14: -5.8%) government levels and despite the fact that the national government increased its expenditure (4Q14: 40%).</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mid-November, the government announced a new package of measures for the equivalent of 2.2% of GDP to boost expectations and reactivate private investment. These measures include: (i) reducing taxes (0.8% of GDP), (ii) increases in expenditure that is not contemplated in the Budget Bill 2015 (0.8% of GDP), and (iii) continuity and maintenance of investments (0.6% of GDP). The main tax measures include modifications to corporate income tax to encourage earnings reinvestment and investment: third category income tax will be gradually reduced from 30% to 26% by 2019 (in 2015, it fell to 28%) while the dividend rate will increase from 4.1% to 9.3% in 2019 (in 2015 it will increase to 6.8%). Personal income tax will also fall in the low income segment from 15% to 8%. Additionally, steps have been taken to simplify the system for IGV withholding to free up resources in the private sector for the equivalent of 0.4% of GDP. Although the fiscal deficit may be around 2.40% of GDP in 2015 due to these measures, Peru’s strong fiscal position (fiscal surplus in previous years, public debt below 20% of GDP and fiscal savings for around 15% of GDP) will allow it to implement this package without affecting sustainability.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2015, the economy is expected to grow around 4.5% due to the following factors: (i) normalization of production or start-up at mining projects (Toromocho, Constancia, Antamina, etc.); (ii) more investment in project infrastructure that has already been awarded (Line 2 of the Metro, the Southern Peruvian Gas Pipeline, Refinery at Talara); and (iii) the impact of expansive monetary and fiscal policies. On the monetary side, cuts in reserves in local currency reserve requirements, which are currently situated at 9.0%, and the delayed effect of the last two reductions in the monetary policy rate in September and January (from 3.75% to 3.50% and 3.50% to 3.25% respectively) will provide support for growth. This will be accompanied by an income tax cut for the lowest income segment (which represents a stimulus of 0.8% of GDP) and an increase in public expenditure (stimulus of 1.4% of GDP). Finally, the decline in the international oil price (-50% since its first peak in June-14 approximately) will also have a net positive effect.</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57" w:name="page58"/>
    <w:bookmarkEnd w:id="57"/>
    <w:p>
      <w:pPr>
        <w:ind w:left="5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GDP Growth</w:t>
      </w:r>
    </w:p>
    <w:p>
      <w:pPr>
        <w:spacing w:after="0" w:line="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(Var. YoY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142875</wp:posOffset>
            </wp:positionV>
            <wp:extent cx="2941320" cy="22294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94132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i w:val="1"/>
          <w:iCs w:val="1"/>
          <w:color w:val="auto"/>
        </w:rPr>
        <w:t>Source: BCRP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Sector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January-November, exports totaled USD 34.9 thousand MM, which represents a decline of 9.0% with regard to the same period last year. Imports totaled USD 37.7 thousand MM, which constitutes a drawback of 3.5%. In this context, the accumulated trade deficit in the first eleven months of the year totaled USD 2.7 thousand MM. This took place in a scenario in which the terms of exchange fell 4.2% between January-November with regard to the same period in 2013. In the first eleven months of 2014, export prices fell 7.1% while the volume of deliveries dropped 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weak evolution of the primary sectors, particularly mining, was reflected in external accounts. Traditional exports fell 14.3% between January and November, which was driven mainly by a decrease in gold deliveries (-33%) and copper (-8%). In contrast, non-traditional exports increased 6.0%. On the import side, the 5.9% decline in capital goods was noteworthy.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and November, exports fell USD 3,264 MM and USD 3,002 MM respectively. Traditional exports, gold dispatches (October: USD 487 MM, November: USD 361 MM) and copper (October: USD 738 MM, November: USD 744 MM) continue to account for approximately 36% of the total. Imports totaled USD 3,560 MM in October and USD 3,255 MM in November. The trade deficit was USD 296 and USD 253 MM respectively for both these months.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weak trade balance continued to affect the current account’s results. In 3Q14 (the last data available to date), the deficit in the current account fell to 4.5% from 6.6% reported in 2Q14. The current transfers made in 3Q14 due to the sale of the Las Bambas mining project contributed to reducing the deficit. According to BCRP, the current account deficit for the whole year was 4.4%..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coming years, the deficit in the current account should fall as new mining projects begin operations and existing projects increase their pace of production: Toromocho, Constancia, expansion at Cerro Verde, etc. A decrease in international oil prices will also help to maintain the current account deficit at 4.4% in 2015, and reduce it to 3.7% in 2016.</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58" w:name="page59"/>
    <w:bookmarkEnd w:id="58"/>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Exports and Imports</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(Moving average 3m – var. annual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2555875" cy="16205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55875" cy="1620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Times New Roman" w:cs="Times New Roman" w:eastAsia="Times New Roman" w:hAnsi="Times New Roman"/>
          <w:sz w:val="18"/>
          <w:szCs w:val="18"/>
          <w:b w:val="1"/>
          <w:bCs w:val="1"/>
          <w:color w:val="auto"/>
        </w:rPr>
        <w:t>Current Account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-699770</wp:posOffset>
            </wp:positionV>
            <wp:extent cx="1132205" cy="3086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 of GDP, moving average 4Q)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150495</wp:posOffset>
            </wp:positionV>
            <wp:extent cx="2624455" cy="15862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24455" cy="15862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20" w:space="720"/>
            <w:col w:w="4080"/>
          </w:cols>
          <w:pgMar w:left="240" w:top="1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b w:val="1"/>
          <w:bCs w:val="1"/>
          <w:i w:val="1"/>
          <w:iCs w:val="1"/>
          <w:color w:val="auto"/>
        </w:rPr>
        <w:t>Source: BCRP</w:t>
      </w:r>
      <w:r>
        <w:rPr>
          <w:sz w:val="20"/>
          <w:szCs w:val="20"/>
          <w:color w:val="auto"/>
        </w:rPr>
        <w:tab/>
      </w:r>
      <w:r>
        <w:rPr>
          <w:rFonts w:ascii="Times New Roman" w:cs="Times New Roman" w:eastAsia="Times New Roman" w:hAnsi="Times New Roman"/>
          <w:sz w:val="27"/>
          <w:szCs w:val="27"/>
          <w:b w:val="1"/>
          <w:bCs w:val="1"/>
          <w:i w:val="1"/>
          <w:iCs w:val="1"/>
          <w:color w:val="auto"/>
          <w:vertAlign w:val="superscript"/>
        </w:rPr>
        <w:t>Source: BCRP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Prices and the exchange rate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Inflation in 2014 was 3.2%, which is slightly higher than BCRP’s target (2.0% +/- 1pp); nevertheless, the variation in prices was lower than that observed in various countries in the region such as Colombia (3.5%), Mexico (4.2%), Chile (5.3%), and Brazil (6.5%). In 2015, we expect inflation to converge at the average point of the target range. This should occur in a context marked by a negative product gap and lower oil prices.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end of 2014, the exchange rate was situated at USDPEN 2.9795, which represents an annual depreciation of 6.54% (the majority of which took place in 4Q14 (3.10%). Nevertheless, currency depreciation in 2014 was lower than that seen in Peru’s regional peers: Colombia (23.2% in 2014, 17.4% in 4Q14), Chile (15.4% in 2014, 1.4% in 4Q14), Brazil (12.5% in 2014, 8.6% in 4Q14) and Mexico (12.4% in 2014, 9.1% in 4Q14). Additionally, depreciation this year was lower than last year’s figure of 9.6%. The factors that drove these depreciatory pressures at the regional level include: (i) the fact that the dollar rallied worldwide against all currencies, including G10 and emerging currencies, due to the expectation that the FED would increase its interest rate and growth would increase in the USA; (ii) the decline in international prices for raw materials such as oil and copper; and (iii) weakness and in some cases deceleration in local economies.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 context of weak growth and an expected decline in inflation, BCRP cut its reference rate from 3.50% to 3.25% at its monetary policy meeting in January 2015 (BCRP had not made cuts since September 2014 when it cut the rate by 25bps). BCRP’s announcement indicates that the reference level is compatible with an inflation forecasts that converges more quickly to a goal of 2.0% (+/-1pp) in 2015 considering that: (i) economic activity continues to grow below its potential; (ii) expectations for inflation continue to be situated within the target range; (iii) recent international indicators show mixed signs of recovery in the global economy as well as more volatility in the financial markets; and (iv) lower oil prices have begun to transfer to the internal market.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reduce exchange volatility, in January 2015, the Central Bank introduced an additional reserve requirement for local currency that will apply only when daily and weekly transactions with exchange derivatives exceed certain limits. The daily parameter is equivalent to amounts that exceed between 10% of the cash equity of a financial entity and USD 100 MM while the weekly limit is equivalent to between 30% of the institution’s cash equity and USD 400 MM.</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type w:val="continuous"/>
        </w:sectPr>
      </w:pPr>
    </w:p>
    <w:bookmarkStart w:id="59" w:name="page60"/>
    <w:bookmarkEnd w:id="59"/>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Consumer Price Index</w:t>
      </w:r>
    </w:p>
    <w:p>
      <w:pPr>
        <w:spacing w:after="0" w:line="3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(Annual percentage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2624455" cy="16033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24455" cy="1603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Exchange rate,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-699770</wp:posOffset>
            </wp:positionV>
            <wp:extent cx="1132205" cy="3086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line="11"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(Soles per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142875</wp:posOffset>
            </wp:positionV>
            <wp:extent cx="2332355" cy="15005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32355" cy="15005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0" w:space="720"/>
            <w:col w:w="3900"/>
          </w:cols>
          <w:pgMar w:left="240" w:top="1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i w:val="1"/>
          <w:iCs w:val="1"/>
          <w:color w:val="auto"/>
        </w:rPr>
        <w:t>Source: BCRP</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 BCRP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Aspects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2014, the non-financial public sector reported a deficit of PEN 755 MM, which is equivalent to 0.1% of GDP, after registering a surplus of 0.9% in 2013. This is the first deficit registered since 2010 and responds to an increase of 9.9% in real terms of public expenditure (to PEN 123.5 thousand MM). In this context, current expenditure rose 10.4% (to PEN 89.3 thousand MM) while capital expenditure contracted 1.0% (to PEN 34.2 thousand MM). Income in the public sector grew 2.8% in real terms (to PEN 128.5 thousand MM): tax revenues grew 3.3% (to PEN 97.8 thousand MM) while non-tax revenue increased 1.2% (to PEN 30.7 thousand MM).</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4Q14, the Ministry of Economy and Finance (MEF) conducted a series of significant debt transactions. First, on October 30, MEF repurchase sovereign debt for a total of PEN 3.21 thousand MM by withdrawing Sovereign Bonds 2015 y 2020 (denominated in Nuevos Soles) and Global Bonds Peru 2015, 2016 and 2019 (denominated in foreign currency). The public treasury the largest debt placement in its history for a total of PEN 8,860 MM, of which PEN 7,410 (83%) corresponded to the new Sovereign Bond 2024 (denominated in local currency). The remainder of the placement corresponded to the reopening of Global Bond Peru 2050 (denominated in US Dollars). Finally, and after the announcement of new stimulus measures at the end of November 2014, the Government approved the internal issuance of sovereign bonds for PEN 3,000 MM to finance investment projects.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2015, we expect the fiscal deficit to situate around 2.0% due to the government’s stimulus measures. Additional fiscal stimuli via tax cuts and more public expenditure do not put fiscal stability at risk due to the fact that the surplus posted in years past has allowed the government to accumulate savings for around 15% of GDP while public debt is situated at low levels (19.7% of GDP at the end of 2014).</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type w:val="continuous"/>
        </w:sectPr>
      </w:pPr>
    </w:p>
    <w:bookmarkStart w:id="60" w:name="page61"/>
    <w:bookmarkEnd w:id="60"/>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Economic Result</w:t>
      </w:r>
    </w:p>
    <w:p>
      <w:pPr>
        <w:spacing w:after="0" w:line="31"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7"/>
          <w:szCs w:val="17"/>
          <w:color w:val="auto"/>
        </w:rPr>
        <w:t>(As % of GDP accumulated over the last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150495</wp:posOffset>
            </wp:positionV>
            <wp:extent cx="2495550" cy="1551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95550" cy="1551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Public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-699770</wp:posOffset>
            </wp:positionV>
            <wp:extent cx="1132205" cy="3086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line="11" w:lineRule="exact"/>
        <w:rPr>
          <w:sz w:val="20"/>
          <w:szCs w:val="20"/>
          <w:color w:val="auto"/>
        </w:rPr>
      </w:pPr>
    </w:p>
    <w:p>
      <w:pPr>
        <w:jc w:val="center"/>
        <w:ind w:right="2240"/>
        <w:spacing w:after="0"/>
        <w:rPr>
          <w:sz w:val="20"/>
          <w:szCs w:val="20"/>
          <w:color w:val="auto"/>
        </w:rPr>
      </w:pPr>
      <w:r>
        <w:rPr>
          <w:rFonts w:ascii="Times New Roman" w:cs="Times New Roman" w:eastAsia="Times New Roman" w:hAnsi="Times New Roman"/>
          <w:sz w:val="18"/>
          <w:szCs w:val="18"/>
          <w:color w:val="auto"/>
        </w:rPr>
        <w:t>(As % of GDP)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142875</wp:posOffset>
            </wp:positionV>
            <wp:extent cx="2598420" cy="1551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98420" cy="1551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40" w:space="720"/>
            <w:col w:w="3360"/>
          </w:cols>
          <w:pgMar w:left="240" w:top="1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0"/>
        <w:spacing w:after="0"/>
        <w:tabs>
          <w:tab w:leader="none" w:pos="5880" w:val="left"/>
        </w:tabs>
        <w:rPr>
          <w:sz w:val="20"/>
          <w:szCs w:val="20"/>
          <w:color w:val="auto"/>
        </w:rPr>
      </w:pPr>
      <w:r>
        <w:rPr>
          <w:rFonts w:ascii="Times New Roman" w:cs="Times New Roman" w:eastAsia="Times New Roman" w:hAnsi="Times New Roman"/>
          <w:sz w:val="18"/>
          <w:szCs w:val="18"/>
          <w:b w:val="1"/>
          <w:bCs w:val="1"/>
          <w:i w:val="1"/>
          <w:iCs w:val="1"/>
          <w:color w:val="auto"/>
        </w:rPr>
        <w:t>Source: BCRP</w:t>
      </w:r>
      <w:r>
        <w:rPr>
          <w:sz w:val="20"/>
          <w:szCs w:val="20"/>
          <w:color w:val="auto"/>
        </w:rPr>
        <w:tab/>
      </w:r>
      <w:r>
        <w:rPr>
          <w:rFonts w:ascii="Times New Roman" w:cs="Times New Roman" w:eastAsia="Times New Roman" w:hAnsi="Times New Roman"/>
          <w:sz w:val="17"/>
          <w:szCs w:val="17"/>
          <w:b w:val="1"/>
          <w:bCs w:val="1"/>
          <w:i w:val="1"/>
          <w:iCs w:val="1"/>
          <w:color w:val="auto"/>
        </w:rPr>
        <w:t>Source: BCRP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Sector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Growth in lending to the private sector moderated in the second half of 2014, going from rates of around 14% at the beginning of the year to 10.5% YoY in December 2014. This deceleration was concentrated primarily in lending in foreign currency, which contracted 0.6% YoY in December 2014 and has decelerated since mid-year due, at least partially; to the increase in the exchange rate (depreciation in 2014 was 6.5%). In contrast, loans in Nuevos Soles grew 18.6% YoY. Nevertheless, this item also shows signs of deceleration given that at the beginning of 2014, loans in national currency grew at a rate that topped 20% YoY. This deceleration was in line with less dynamism in internal demand despite the reductions in reserve requirements in local currency from 14.0% to 9.0% (BCRP cut its reserve requirement from 9.0% to 8.5% in January 2015).</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differentiated dynamic between loans in Nuevos Soles and loans in US Dollars continued throughout 2015 due to the difference in reserve requirements, the volatility of the exchange rate and the measures adopted by BCRP to stimulate the economy’s dedollarization (currently 38.1% in loans and 40% in deposits). Along these lines, the monetary authority approved measures to provide enough liquidity in national currency (LC) for an amount equivalent to up to 10% of financial entities’ legal reserve obligations in FC, which will gradually inject PEN 9,000 MM. Additionally, BCRP will provide foreign currency at spot prices to finance entities that engage in redenomination of their foreign currency loans.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Second, BCRP created additional reserves requirements in dollars at entities whose loans in FC do not fall 5% in June 2015 or 10% in December 2015 with regard to the total balance registered in September 2013. The entity will also apply additional reserve requirements in US Dollars in the case of home and car loans in FC that fail to fall more than 10% in June 2015 and 15% by December 2015 with regard to February 2013. These measures will not affect lending for foreign trade or long-term financing for projects.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accompanies two recent reductions in reserve requirements in national currency, which fell from 9.5% to 8.5%, and cuts in requirements for current accounts, which went from 2.5% to 1.5%, as well as an increase in the marginal reserve requirement in foreign currency, which went from 50% to 60%. The latter measure is meant to increase the dedollarization of deposits.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Credit to the private sector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(Var. YoY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142875</wp:posOffset>
            </wp:positionV>
            <wp:extent cx="3430270" cy="23666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3027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0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i w:val="1"/>
                <w:iCs w:val="1"/>
                <w:color w:val="auto"/>
              </w:rPr>
              <w:t>Source: BCRP</w:t>
            </w: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60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Main Economic Indicators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1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IQ</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IIQ</w:t>
            </w: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IIIQ</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GDP (US$ MM)</w:t>
            </w:r>
          </w:p>
        </w:tc>
        <w:tc>
          <w:tcPr>
            <w:tcW w:w="2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192,933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202,316</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48,011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51,202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Real GDP (var. %)</w:t>
            </w:r>
          </w:p>
        </w:tc>
        <w:tc>
          <w:tcPr>
            <w:tcW w:w="2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6.0</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GDP per-capita (US$)</w:t>
            </w:r>
          </w:p>
        </w:tc>
        <w:tc>
          <w:tcPr>
            <w:tcW w:w="2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6,387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6,639</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6,669</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Domestic demand (var. %)</w:t>
            </w:r>
          </w:p>
        </w:tc>
        <w:tc>
          <w:tcPr>
            <w:tcW w:w="2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Consumption (var. %)</w:t>
            </w:r>
          </w:p>
        </w:tc>
        <w:tc>
          <w:tcPr>
            <w:tcW w:w="2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6.1</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Private Investment (var. %)</w:t>
            </w:r>
          </w:p>
        </w:tc>
        <w:tc>
          <w:tcPr>
            <w:tcW w:w="2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7.6</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CPI (annual change, %)</w:t>
            </w:r>
          </w:p>
        </w:tc>
        <w:tc>
          <w:tcPr>
            <w:tcW w:w="2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2.9</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eop (S/. per US$)</w:t>
            </w:r>
          </w:p>
        </w:tc>
        <w:tc>
          <w:tcPr>
            <w:tcW w:w="2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Devaluation (annual change, %)</w:t>
            </w:r>
          </w:p>
        </w:tc>
        <w:tc>
          <w:tcPr>
            <w:tcW w:w="2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-5.4</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9.63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0.47</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average (S/. per US$)</w:t>
            </w:r>
          </w:p>
        </w:tc>
        <w:tc>
          <w:tcPr>
            <w:tcW w:w="2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2.73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Non-Financial Public Sector (% of GDP)</w:t>
            </w:r>
          </w:p>
        </w:tc>
        <w:tc>
          <w:tcPr>
            <w:tcW w:w="2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0.9</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Central government current revenues (% of GDP)</w:t>
            </w:r>
          </w:p>
        </w:tc>
        <w:tc>
          <w:tcPr>
            <w:tcW w:w="2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19.1</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18.9</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Income (% of GDP)</w:t>
            </w:r>
          </w:p>
        </w:tc>
        <w:tc>
          <w:tcPr>
            <w:tcW w:w="2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Tax Income (% of GDP)</w:t>
            </w:r>
          </w:p>
        </w:tc>
        <w:tc>
          <w:tcPr>
            <w:tcW w:w="2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expenditures (% of GDP)</w:t>
            </w:r>
          </w:p>
        </w:tc>
        <w:tc>
          <w:tcPr>
            <w:tcW w:w="2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12.8</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 (% of GDP)</w:t>
            </w:r>
          </w:p>
        </w:tc>
        <w:tc>
          <w:tcPr>
            <w:tcW w:w="2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4.4</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4.7</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Trade Balance (US$ MM)</w:t>
            </w:r>
          </w:p>
        </w:tc>
        <w:tc>
          <w:tcPr>
            <w:tcW w:w="2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5,232</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Exports (US$ MM)</w:t>
            </w:r>
          </w:p>
        </w:tc>
        <w:tc>
          <w:tcPr>
            <w:tcW w:w="2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46,367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42,177</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9,360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Imports (US$ MM)</w:t>
            </w:r>
          </w:p>
        </w:tc>
        <w:tc>
          <w:tcPr>
            <w:tcW w:w="2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41,135</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42,217</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-9,958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-10,391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Account Balance (US$ MM)</w:t>
            </w:r>
          </w:p>
        </w:tc>
        <w:tc>
          <w:tcPr>
            <w:tcW w:w="2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-6,281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-9,126</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-3,379</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Account Balance (% of GDP)</w:t>
            </w:r>
          </w:p>
        </w:tc>
        <w:tc>
          <w:tcPr>
            <w:tcW w:w="2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-3.3</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-5080</wp:posOffset>
            </wp:positionV>
            <wp:extent cx="38334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Source: BCRP. Data subject to revision.</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Company Description: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Credicorp Ltd. (NYSE: BAP) is the leading financial services holding company in Peru. It primarily operates via its four principal Subsidiaries: Banco de Crédito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 for Forward-Looking Statements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6" w:right="239" w:bottom="1440" w:gutter="0" w:footer="0" w:header="0"/>
        </w:sectPr>
      </w:pPr>
    </w:p>
    <w:bookmarkStart w:id="63" w:name="page64"/>
    <w:bookmarkEnd w:id="6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CREDICORP LTD.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PEN thousands, IFRS)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Dec-13</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Sep-14</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Dec-14</w:t>
            </w:r>
          </w:p>
        </w:tc>
        <w:tc>
          <w:tcPr>
            <w:tcW w:w="19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QoQ</w:t>
            </w:r>
          </w:p>
        </w:tc>
        <w:tc>
          <w:tcPr>
            <w:tcW w:w="10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due from banks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bearing</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3,464,230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3,532,840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4,351,596</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bearing</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18,458,069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20,722,989</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21,161,164</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Total cash and due from banks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21,922,300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24,255,829</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25,512,760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Trading securities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1,743,695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3,259,704</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2,824,442</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64,294,241</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75,680,558</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79,889,948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62,857,021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73,718,663</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77,880,838</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Past due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1,437,220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1,961,895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2,009,109</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 net provisions for possible loan losses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(2,263,649)</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(3,168,154)</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(3,308,220)</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 net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62,030,592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72,512,404</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76,581,728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securities available for sale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18,377,298</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18,009,518</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15,868,893</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Investments held to maturity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676,976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2,122,790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2,669,778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Reinsurance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578,721</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476,608</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468,137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Premiums and other policyholder receivables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576,049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547,229</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578,297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1,976,073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2,025,760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2,062,744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Due from customers on acceptances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189,187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175,687</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167,654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6,472,575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9,268,502</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8,716,979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Total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114,543,466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132,654,031</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135,451,411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60" w:type="dxa"/>
            <w:vAlign w:val="bottom"/>
            <w:shd w:val="clear" w:color="auto" w:fill="CCEEFF"/>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NET SHAREHOLDERS'</w:t>
            </w: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Deposits and Obligations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 bearing</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18,417,778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19,182,538</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20,574,593</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bearing</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50,013,449</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55,680,694</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56,585,901</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deposits and Obligations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68,431,226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74,863,232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77,160,494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Due to banks and correspondents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9,915,747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16,012,000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16,141,403</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Acceptances outstanding</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189,187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175,687</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167,654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Reserves for property and casualty claims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4,264,469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785,811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780,867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Reserve for unearned premiums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720,247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4,404,310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4,616,192</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Reinsurance payable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232,496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221,007</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220,910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Bonds and subordinated debt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14,271,117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15,229,395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15,096,612</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4,175,873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6,882,726</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6,641,255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Total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102,200,362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118,574,168</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120,825,387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1,318,993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1,318,993</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1,318,993</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(208,127)</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(208,305)</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(208,184)</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surplus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275,569</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299,927</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302,941</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8,115,309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9,303,397</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9,316,314</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674,961</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734,502</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789,940</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1,654,808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1,965,538</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2,459,451</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511,593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665,812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646,570</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Total liabilities and net shareholders' equity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114,543,466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132,654,031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135,451,411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Off balance sheet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45,508,601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53,438,835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60,364,716</w:t>
            </w:r>
          </w:p>
        </w:tc>
        <w:tc>
          <w:tcPr>
            <w:tcW w:w="20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87"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CREDICORP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PEN thousands, IFRS)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4Q13</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3Q14</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4Q14</w:t>
            </w:r>
          </w:p>
        </w:tc>
        <w:tc>
          <w:tcPr>
            <w:tcW w:w="12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QoQ</w:t>
            </w: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YoY</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Dec-13</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Dec-14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 14 / Dec 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Interest income and expense</w:t>
            </w: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and dividend income</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1,848,063</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2,248,936</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2,282,651</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7,114,311</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8,578,665</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(528,641)</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(562,752)</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(571,253)</w:t>
            </w: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(2,149,760)</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(2,168,859)</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Net interest income</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1,319,422</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1,686,184</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1,711,398</w:t>
            </w: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1.5%</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29.7%</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4,964,551</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6,409,805</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provisions for loan losses</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(348,981)</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(433,219)</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(437,258)</w:t>
            </w: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0.9%</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25.3%</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(1,238,279)</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(1,715,809)</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 financial income</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Fee income</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604,641</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614,777</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685,363</w:t>
            </w: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2,268,634</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2,521,829</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gain on foreign exchange transactions</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129,373</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164,097</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187,945</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536,169</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625,069</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gain on sales of securities</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28,347</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75,592</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(38,271)</w:t>
            </w: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-150.6%</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-235.0%</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81,902</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212,943</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34,057</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26,821</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30,883</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95,519</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145,368</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Total non financial income, net</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796,419</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881,287</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865,920</w:t>
            </w: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-1.7%</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8.7%</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2,982,225</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3,505,209</w:t>
            </w:r>
          </w:p>
        </w:tc>
        <w:tc>
          <w:tcPr>
            <w:tcW w:w="1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Insurance premiums and claims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premiums earned</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524,932</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555,160</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569,851</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2,136,549</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2,188,239</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claims incurred</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(361,787)</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(358,492)</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(375,056)</w:t>
            </w: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(1,465,578)</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(1,426,733)</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technical commissions and expenses</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(60,338)</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(79,030)</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(90,802)</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50.5%</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(287,100)</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(338,608)</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Insurance services technical result</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102,806</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117,638</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103,992</w:t>
            </w: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-11.6%</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1.2%</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383,871</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422,898</w:t>
            </w:r>
          </w:p>
        </w:tc>
        <w:tc>
          <w:tcPr>
            <w:tcW w:w="1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Medical services gross margin</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12,990</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28,813</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23,467</w:t>
            </w: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-18.6%</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80.7%</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64,147</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98,232</w:t>
            </w:r>
          </w:p>
        </w:tc>
        <w:tc>
          <w:tcPr>
            <w:tcW w:w="1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Salaries and employees benefits</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(526,824)</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(672,540)</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(680,338)</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(2,215,035)</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(2,659,122)</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Administrative and general expenses</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(509,491)</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(487,216)</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(566,463)</w:t>
            </w: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(1,747,189)</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(1,930,483)</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(96,969)</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(105,443)</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(129,616)</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(351,227)</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(433,787)</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(128,522)</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(84,368)</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(148,227)</w:t>
            </w: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75.7%</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(223,820)</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(307,796)</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(1,261,806)</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(1,349,566)</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(1,524,644)</w:t>
            </w: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13.0%</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20.8%</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(4,537,272)</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(5,331,188)</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620,850</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931,137</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742,875</w:t>
            </w: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-20.2%</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19.7%</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2,619,243</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3,389,147</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Translation result</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(13,564)</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2,603</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(1,751)</w:t>
            </w: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-167.3%</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-87.1%</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(284,072)</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(188,448)</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(275,364)</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(257,220)</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(777,630)</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(968,333)</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418,838</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658,376</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483,903</w:t>
            </w: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-26.5%</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15.5%</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1,557,541</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2,421,245</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Minority interest</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(3,536)</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12,941</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(11,703)</w:t>
            </w: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-190.4%</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231.0%</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18,832</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33,394</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attributed to Credicorp</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422,374</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645,435</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495,606</w:t>
            </w: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-23.2%</w:t>
            </w:r>
          </w:p>
        </w:tc>
        <w:tc>
          <w:tcPr>
            <w:tcW w:w="2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17.3%</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1,538,709</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2,387,851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65" w:name="page66"/>
    <w:bookmarkEnd w:id="65"/>
    <w:p>
      <w:pPr>
        <w:ind w:left="4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CREDICORP LTD. AND SUBSIDIARIES</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SELECTED FINANCIAL INDICATORS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w w:val="96"/>
              </w:rPr>
              <w:t>Year to date</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4Q13</w:t>
            </w:r>
          </w:p>
        </w:tc>
        <w:tc>
          <w:tcPr>
            <w:tcW w:w="15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3Q14</w:t>
            </w:r>
          </w:p>
        </w:tc>
        <w:tc>
          <w:tcPr>
            <w:tcW w:w="15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4Q14</w:t>
            </w:r>
          </w:p>
        </w:tc>
        <w:tc>
          <w:tcPr>
            <w:tcW w:w="18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Dec 13</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 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Profitability</w:t>
            </w: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per common share (PEN per share) (1)</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5.30</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8.09</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6.21</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19.29</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margin on interest earning assets (2)</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5.16%</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5.65%</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Return on average total assets (2)(3)</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Return on average shareholders' equity (2)(3)</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of outstanding shares (millions) (4)</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79.76</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79.76</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79.76</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79.76</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Quality of loan portfolio</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PDL ratio</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NPL ratio</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Coverage of PDLs</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157.50%</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161.48%</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164.66%</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157.50%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Coverage of NPLs</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125.14%</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128.32%</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124.52%</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125.14%</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Reserves for loan losses / Total loans</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efficiency</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 expenses as a percent. of total income (5)</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43.3%</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43.3%</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Oper. expenses as a percent. of av. tot. assets (2)(3)</w:t>
            </w: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balances (millions of PEN) (3)</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earning assets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102,118</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117,173</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121,105</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97,301</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113,181</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129,898</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134,053</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109,734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124,997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shareholder's equity</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11,605</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13,111</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13,697</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11,230</w:t>
            </w:r>
          </w:p>
        </w:tc>
        <w:tc>
          <w:tcPr>
            <w:tcW w:w="3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-2540</wp:posOffset>
            </wp:positionV>
            <wp:extent cx="46050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ind w:left="260" w:hanging="252"/>
        <w:spacing w:after="0"/>
        <w:tabs>
          <w:tab w:leader="none" w:pos="26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Based on Net Income attributed to BAP. Number of shares outstanding of 79.8 million in all periods.</w:t>
      </w:r>
    </w:p>
    <w:p>
      <w:pPr>
        <w:spacing w:after="0" w:line="17"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Ratios are annualized.</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Averages are determined as the average of period-beginning and period-ending balances.</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of treasury shares. The total number of shares was of 94.38 million.</w:t>
      </w:r>
    </w:p>
    <w:p>
      <w:pPr>
        <w:spacing w:after="0" w:line="9" w:lineRule="exact"/>
        <w:rPr>
          <w:rFonts w:ascii="Times New Roman" w:cs="Times New Roman" w:eastAsia="Times New Roman" w:hAnsi="Times New Roman"/>
          <w:sz w:val="18"/>
          <w:szCs w:val="18"/>
          <w:i w:val="1"/>
          <w:iCs w:val="1"/>
          <w:color w:val="auto"/>
        </w:rPr>
      </w:pPr>
    </w:p>
    <w:p>
      <w:pPr>
        <w:ind w:right="220" w:firstLine="8"/>
        <w:spacing w:after="0" w:line="261" w:lineRule="auto"/>
        <w:tabs>
          <w:tab w:leader="none" w:pos="25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income includes net interest income, fee income, net gain on foreign exchange transactions and net premiums earned. Operating expenses exclude Other expenses.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BANCO DE CREDITO DEL PERU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PEN thousands, IFRS)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 13</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Sep 14</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 14</w:t>
            </w:r>
          </w:p>
        </w:tc>
        <w:tc>
          <w:tcPr>
            <w:tcW w:w="19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QoQ</w:t>
            </w:r>
          </w:p>
        </w:tc>
        <w:tc>
          <w:tcPr>
            <w:tcW w:w="10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due from banks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21,438,863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23,523,820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24,774,780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BCRP</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19,586,807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18,797,146</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18,547,244</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Deposits in other Banks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1,658,117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4,286,929</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6,196,766</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Interbanks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189,462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435,939</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30,002</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interest on cash and due from banks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3,806</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768</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Trading securities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1,219,185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2,460,868</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1,967,385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62,352,702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73,636,007</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77,521,459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60,916,998</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71,675,541</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75,513,882</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Past Due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1,435,704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1,960,466</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2,007,577</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 net provisions for possible loan losses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(2,261,892)</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(3,167,014)</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(3,307,250)</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 net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60,090,810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70,468,993</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74,214,209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securities available for sale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10,433,313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9,336,182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7,027,752</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held to maturity</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676,975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2,122,790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2,669,777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1,388,993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1,547,011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1,582,040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Due from customers acceptances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189,187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175,687</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167,654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3,052,804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4,165,530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3,728,027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Total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98,490,130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113,800,881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116,131,624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6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NET SHAREHOLDERS'</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Deposits and obligations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64,771,582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70,820,125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72,863,246</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Demand deposits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20,796,426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22,766,750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23,788,719</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Saving deposits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17,764,196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19,965,805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21,214,171</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Time deposits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19,329,112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21,466,868</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20,864,602</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Severance indemnity deposits (CTS)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6,682,125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6,390,609</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6,763,832</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payable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199,723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230,093</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231,922</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Due to banks and correspondents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12,095,976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17,871,327</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17,805,105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Bonds and subordinated debt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11,564,737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12,644,297</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12,891,764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Acceptances outstanding</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189,187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175,687</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167,654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1,543,589</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2,605,865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2,315,757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Total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90,165,071</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104,117,301</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106,043,526</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shareholders' equity</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8,306,919</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9,513,534</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9,930,296</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stock</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3,459,237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4,429,372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4,429,372</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Reserves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2,203,368</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2,542,915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2,542,915</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Gains and Losses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401,425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413,285</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378,253</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982,893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631,001</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631,001</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for the year</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1,259,996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1,496,961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1,948,755</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Minority interest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18,140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170,046</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157,802</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Total liabilities and net shareholders' equity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98,490,130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113,800,881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116,131,624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Off-balance sheet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43,837,435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52,342,183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59,119,238</w:t>
            </w:r>
          </w:p>
        </w:tc>
        <w:tc>
          <w:tcPr>
            <w:tcW w:w="20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44" w:right="239" w:bottom="1440" w:gutter="0" w:footer="0" w:header="0"/>
        </w:sectPr>
      </w:pPr>
    </w:p>
    <w:bookmarkStart w:id="67" w:name="page68"/>
    <w:bookmarkEnd w:id="6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BANCO DE CREDITO DEL PERU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QUARTERLY INCOME STATEMENT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PEN thousands, IFRS)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4Q13</w:t>
            </w: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3Q14</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4Q14</w:t>
            </w:r>
          </w:p>
        </w:tc>
        <w:tc>
          <w:tcPr>
            <w:tcW w:w="14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QoQ</w:t>
            </w:r>
          </w:p>
        </w:tc>
        <w:tc>
          <w:tcPr>
            <w:tcW w:w="9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YoY</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 13</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 14</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 14 / Dec 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Interest income and expense</w:t>
            </w: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and dividend income</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1,724,983</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2,110,370</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2,151,241</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6,596,712</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8,033,208</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(496,244)</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(522,412)</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(539,436)</w:t>
            </w: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(2,012,577)</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(2,034,986)</w:t>
            </w: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Net interest income</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1,228,739</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1,587,958</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1,611,805</w:t>
            </w: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1.5%</w:t>
            </w:r>
          </w:p>
        </w:tc>
        <w:tc>
          <w:tcPr>
            <w:tcW w:w="2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31.2%</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4,584,135</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5,998,222</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provision for loan losses</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(349,632)</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(433,343)</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(437,827)</w:t>
            </w: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1.0%</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25.2%</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(1,240,303)</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(1,717,226)</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 financial income</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Fee income, net</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476,740</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484,541</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523,265</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1,766,542</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1,957,799</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Gain on foreign exchange</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124,053</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156,641</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173,979</w:t>
            </w: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11.1%</w:t>
            </w:r>
          </w:p>
        </w:tc>
        <w:tc>
          <w:tcPr>
            <w:tcW w:w="2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40.2%</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519,013</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593,154</w:t>
            </w:r>
          </w:p>
        </w:tc>
        <w:tc>
          <w:tcPr>
            <w:tcW w:w="10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transactions, net</w:t>
            </w:r>
          </w:p>
        </w:tc>
        <w:tc>
          <w:tcPr>
            <w:tcW w:w="11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Gain on sales of securities, net</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7,537</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35,055</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5,656</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-83.9%</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(67,663)</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56,781</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22,352</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12,581</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16,914</w:t>
            </w: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69,965</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54,137</w:t>
            </w: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Total non financial income, net</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630,682</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688,818</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719,814</w:t>
            </w: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4.5%</w:t>
            </w:r>
          </w:p>
        </w:tc>
        <w:tc>
          <w:tcPr>
            <w:tcW w:w="2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14.1%</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2,287,857</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2,661,871</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Salaries and employees benefits</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(394,624)</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(532,961)</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(537,658)</w:t>
            </w: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(1,665,773)</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(2,103,274)</w:t>
            </w: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Administrative expenses</w:t>
            </w: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(390,326)</w:t>
            </w: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(386,242)</w:t>
            </w: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(469,831)</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(1,340,095)</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(1,541,901)</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(72,783)</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(82,570)</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(100,638)</w:t>
            </w: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(270,693)</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(337,583)</w:t>
            </w: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(58,457)</w:t>
            </w: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(47,401)</w:t>
            </w: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(78,071)</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(180,672)</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(184,577)</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(916,190)</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(1,049,174)</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(1,186,198)</w:t>
            </w: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13.1%</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29.5%</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(3,457,233)</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(4,167,335)</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593,599</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794,259</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707,594</w:t>
            </w: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-10.9%</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19.2%</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2,174,456</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2,775,532</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Translation result</w:t>
            </w: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(14,119)</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13,066</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11,449</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-181.1%</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(235,117)</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21,370</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(176,917)</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(224,940)</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(273,761)</w:t>
            </w: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54.7%</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(677,241)</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(855,563)</w:t>
            </w: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Minority interest</w:t>
            </w: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(592)</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3,379</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6,512</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92.7%</w:t>
            </w:r>
          </w:p>
        </w:tc>
        <w:tc>
          <w:tcPr>
            <w:tcW w:w="26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(2,102)</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7,416</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401,971</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585,764</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451,794</w:t>
            </w: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-22.9%</w:t>
            </w: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1,259,996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1,948,755</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BANCO DE CREDITO DEL PERU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INDICATORS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w w:val="96"/>
              </w:rPr>
              <w:t>Year to date</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4Q13</w:t>
            </w:r>
          </w:p>
        </w:tc>
        <w:tc>
          <w:tcPr>
            <w:tcW w:w="15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3Q14</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4Q14</w:t>
            </w:r>
          </w:p>
        </w:tc>
        <w:tc>
          <w:tcPr>
            <w:tcW w:w="18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Dec 13</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 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Profitability</w:t>
            </w: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per common share (PEN per share) (1)</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0.09</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0.12</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0.10</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0.27</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margin on interest earning assets (2)</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5.41%</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6.02%</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5.94%</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Return on average total assets (2)(3)</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Return on average shareholders' equity (2)(3)</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of outstanding shares (million)</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4,722.8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4,722.8</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4,722.8</w:t>
            </w:r>
          </w:p>
        </w:tc>
        <w:tc>
          <w:tcPr>
            <w:tcW w:w="2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4,722.8</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Quality of loan portfolio</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PDL ratio</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NPL ratio</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Coverage of PDLs</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157.6%</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161.5%</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164.7%</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Coverage of NPLs</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125.2%</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128.3%</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124.6%</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Reserves for loan losses as a percentage of total</w:t>
            </w: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efficiency</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 expenses as a percent. of total income (4)</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47.7%</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Oper. expenses as a percent. of av. tot. Assets (2)</w:t>
            </w: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(3)(4)</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adequacy</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Regulatory Capital (PEN million)</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10,755</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12,524</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12,704</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10,755</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Tier 1 ratio</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10.19%</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9.83%</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Equity Tier 1 ratio</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7.45%</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BIS ratio</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14.46%</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14.78%</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14.45%</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balances (PEN million) (3)</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earning assets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90,781</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105,482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108,569</w:t>
            </w:r>
          </w:p>
        </w:tc>
        <w:tc>
          <w:tcPr>
            <w:tcW w:w="2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87,129</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97,008</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111,596</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114,966</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94,881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107,311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shareholders' equity</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8,108</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9,226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28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7,692</w:t>
            </w:r>
          </w:p>
        </w:tc>
        <w:tc>
          <w:tcPr>
            <w:tcW w:w="3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-2540</wp:posOffset>
            </wp:positionV>
            <wp:extent cx="46050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ind w:left="260" w:hanging="252"/>
        <w:spacing w:after="0"/>
        <w:tabs>
          <w:tab w:leader="none" w:pos="26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Shares outstanding of 4,722 million is used for all periods since shares have been issued only for capitalization of profits and inflation adjustment.</w:t>
      </w:r>
    </w:p>
    <w:p>
      <w:pPr>
        <w:spacing w:after="0" w:line="17"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Ratios are annualized.</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Averages are determined as the average of period-beginning and period-ending balances.</w:t>
      </w:r>
    </w:p>
    <w:p>
      <w:pPr>
        <w:spacing w:after="0" w:line="9" w:lineRule="exact"/>
        <w:rPr>
          <w:rFonts w:ascii="Times New Roman" w:cs="Times New Roman" w:eastAsia="Times New Roman" w:hAnsi="Times New Roman"/>
          <w:sz w:val="18"/>
          <w:szCs w:val="18"/>
          <w:i w:val="1"/>
          <w:iCs w:val="1"/>
          <w:color w:val="auto"/>
        </w:rPr>
      </w:pPr>
    </w:p>
    <w:p>
      <w:pPr>
        <w:ind w:right="340" w:firstLine="8"/>
        <w:spacing w:after="0" w:line="250" w:lineRule="auto"/>
        <w:tabs>
          <w:tab w:leader="none" w:pos="25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income includes net interest income, fee income and net gain on foreign exchange transactions. Operating expense includes personnel expenses, administrative expenses and depreciation and amortization.</w:t>
      </w:r>
    </w:p>
    <w:p>
      <w:pPr>
        <w:ind w:left="260" w:hanging="252"/>
        <w:spacing w:after="0"/>
        <w:tabs>
          <w:tab w:leader="none" w:pos="26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Regulatory Capital/ risk-weighted assets. Risk weighted assets include market risk and operation risk.</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086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PACIFICO GRUPO ASEGURADOR (PGA)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PEN thousand)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4Q13</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3Q14</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4Q14</w:t>
            </w: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QoQ</w:t>
            </w: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YoY</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 13</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 14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 14 / Dec 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top w:val="single" w:sz="8" w:color="CCEEFF"/>
            </w:tcBorders>
            <w:shd w:val="clear" w:color="auto" w:fill="CCEEFF"/>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Results</w:t>
            </w: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Written premiums</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797,108</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793,062</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838,033</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3,093,241</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3,155,620</w:t>
            </w:r>
          </w:p>
        </w:tc>
        <w:tc>
          <w:tcPr>
            <w:tcW w:w="26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Ceded Premiums</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158,528</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96,816</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140,153</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483,784</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457,742</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Unearned premium reserves</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97,630</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122,394</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107,815</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411,598</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445,084</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earned premiums</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540,950</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573,853</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590,066</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2.8%</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9.1%</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2,197,859</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2,252,793</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Direct claims *</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397,527</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372,543</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388,997</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1,616,729</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1,517,396</w:t>
            </w:r>
          </w:p>
        </w:tc>
        <w:tc>
          <w:tcPr>
            <w:tcW w:w="26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Reinsurance ceded</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35,741</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14,051</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13,968</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-60.9%</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151,151</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90,690</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claims *</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361,787</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358,492</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375,029</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4.6%</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3.7%</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1,465,578</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1,426,706</w:t>
            </w:r>
          </w:p>
        </w:tc>
        <w:tc>
          <w:tcPr>
            <w:tcW w:w="26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Paid commissions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112,926</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120,663</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122,076</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430,510</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468,740</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Commissions received</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9,435</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14,995</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10,886</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40,320</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46,131</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commissions</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103,491</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105,668</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111,190</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5.2%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7.4%</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390,190</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422,610</w:t>
            </w:r>
          </w:p>
        </w:tc>
        <w:tc>
          <w:tcPr>
            <w:tcW w:w="1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expenses *</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33,133</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23,485</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40,674</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73.2%</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132,875</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128,399</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Underwriting income</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15,853</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10,775</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20,081</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86.4%</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45,208</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52,488</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underwriting expenses *</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17,280</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12,710</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20,593</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62.0%</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19.2%</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87,666</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75,911</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Underwriting result before Medical Services *</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58,393</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96,982</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83,254</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-14.2%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42.6%</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254,426</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327,566</w:t>
            </w:r>
          </w:p>
        </w:tc>
        <w:tc>
          <w:tcPr>
            <w:tcW w:w="1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Medical Services gross margin *</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12,990</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28,813</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23,434</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-18.7%</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80.4%</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64,147</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98,199</w:t>
            </w:r>
          </w:p>
        </w:tc>
        <w:tc>
          <w:tcPr>
            <w:tcW w:w="1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Financial income</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65,825</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73,298</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75,221</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267,435</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296,615</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Gains on sale of securities</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14,768</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13,741</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2,389</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-82.6%</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-83.8%</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72,754</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28,577</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property and rental income</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4,399</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5,648</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6,679</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51.8%</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20,477</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23,286</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 Financial expenses</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9,853</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5,652</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9,272</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64.1%</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27,709</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28,647</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income, net</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75,139</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87,035</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75,017</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-13.8%</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-0.2%</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332,958</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319,831</w:t>
            </w:r>
          </w:p>
        </w:tc>
        <w:tc>
          <w:tcPr>
            <w:tcW w:w="1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Salaries and benefits</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52,401</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65,392</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57,588</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242,780</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240,632</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Administrative expenses</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87,033</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72,694</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82,677</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286,518</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295,887</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Third party services</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28,142</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32,774</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30,714</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125,920</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120,078</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Management expenses</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20,273</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15,578</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15,328</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61,971</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60,921</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Provisions</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18,422</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13,792</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19,863</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51,644</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63,911</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Taxes</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12,865</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7,460</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8,589</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31,068</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30,564</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7,331</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3,089</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8,182</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164.9%</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15,913</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20,412</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Opertating expenses</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139,434</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138,085</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140,265</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1.6%</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0.6%</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529,297</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536,519</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9,602</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1,853</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12,656</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582.9%</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14,620</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23,335</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Traslations results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2,122</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186.7%</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151.6%</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-20976</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4,586</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5,690</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15,075</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2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-103.1%</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-108.3%</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9,016</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31,148</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before minority interest</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11,843</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62,264</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56,688</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-9.0%</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378.7%</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106,862</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205,851</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Minority interest</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1,878</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6,390</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7,785</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314.5%</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16,867</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25,008</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9,965</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55,874</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48,904</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-12.5%</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390.8%</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89,996</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180,843</w:t>
            </w:r>
          </w:p>
        </w:tc>
        <w:tc>
          <w:tcPr>
            <w:tcW w:w="1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Balance (end of period)</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7,723,283</w:t>
            </w:r>
          </w:p>
        </w:tc>
        <w:tc>
          <w:tcPr>
            <w:tcW w:w="26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8,521,038</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8,656,376</w:t>
            </w:r>
          </w:p>
        </w:tc>
        <w:tc>
          <w:tcPr>
            <w:tcW w:w="26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135,337</w:t>
            </w:r>
          </w:p>
        </w:tc>
        <w:tc>
          <w:tcPr>
            <w:tcW w:w="22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933,093</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7,723,283</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8,656,376</w:t>
            </w:r>
          </w:p>
        </w:tc>
        <w:tc>
          <w:tcPr>
            <w:tcW w:w="26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933,093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Invesment on securities (1)</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4,754,746</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5,229,270</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5,455,950</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226,680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701,204</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4,754,746</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5,455,950</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701,204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Technical reserves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4,993,515</w:t>
            </w:r>
          </w:p>
        </w:tc>
        <w:tc>
          <w:tcPr>
            <w:tcW w:w="26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5,322,961</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5,549,005</w:t>
            </w:r>
          </w:p>
        </w:tc>
        <w:tc>
          <w:tcPr>
            <w:tcW w:w="26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226,043</w:t>
            </w:r>
          </w:p>
        </w:tc>
        <w:tc>
          <w:tcPr>
            <w:tcW w:w="22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555,490</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4,993,515</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5,549,005</w:t>
            </w:r>
          </w:p>
        </w:tc>
        <w:tc>
          <w:tcPr>
            <w:tcW w:w="26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555,490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equity</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1,386,655</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1,611,494</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1,715,720</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104,226</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329,065</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1,386,655</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1,715,720</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329,065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Ratios</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Ceded</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ratio</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66.9%</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63.6%</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66.7%</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63.3%</w:t>
            </w: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Commissions + underwriting expenses, net / net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22.3%</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20.6%</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22.3%</w:t>
            </w: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0.0</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21.7%</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22.1%</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earned premiums</w:t>
            </w: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results / net premiums earned</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 / net premiums earned</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Return on equity (2)(3)</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Return on written premiums</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Combined ratio of PPS + PS (4)(5)</w:t>
            </w: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105.3%</w:t>
            </w: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94.6%</w:t>
            </w: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100.4%</w:t>
            </w: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5.9</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(4.9)</w:t>
            </w: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105.6%</w:t>
            </w: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98.5%</w:t>
            </w: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claims / net earned premiums</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73.1%</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70.6%</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71.3%</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General expenses and commissions / net earned</w:t>
            </w: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premiums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32.2%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27.3%</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29.8%</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34.4%</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0</wp:posOffset>
            </wp:positionV>
            <wp:extent cx="52057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231" w:lineRule="auto"/>
        <w:rPr>
          <w:sz w:val="20"/>
          <w:szCs w:val="20"/>
          <w:color w:val="auto"/>
        </w:rPr>
      </w:pPr>
      <w:r>
        <w:rPr>
          <w:rFonts w:ascii="Times New Roman" w:cs="Times New Roman" w:eastAsia="Times New Roman" w:hAnsi="Times New Roman"/>
          <w:sz w:val="14"/>
          <w:szCs w:val="14"/>
          <w:i w:val="1"/>
          <w:iCs w:val="1"/>
          <w:color w:val="auto"/>
        </w:rPr>
        <w:t>*Change in these accounts are due to reclassifications (related to the medical services) made in 4Q12 and before.</w:t>
      </w:r>
    </w:p>
    <w:p>
      <w:pPr>
        <w:ind w:left="220" w:hanging="212"/>
        <w:spacing w:after="0" w:line="222" w:lineRule="auto"/>
        <w:tabs>
          <w:tab w:leader="none" w:pos="220" w:val="left"/>
        </w:tabs>
        <w:numPr>
          <w:ilvl w:val="0"/>
          <w:numId w:val="4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Doesn´t include investments in real estate.</w:t>
      </w:r>
    </w:p>
    <w:p>
      <w:pPr>
        <w:ind w:left="220" w:hanging="212"/>
        <w:spacing w:after="0" w:line="221" w:lineRule="auto"/>
        <w:tabs>
          <w:tab w:leader="none" w:pos="220" w:val="left"/>
        </w:tabs>
        <w:numPr>
          <w:ilvl w:val="0"/>
          <w:numId w:val="4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Annualized.</w:t>
      </w:r>
    </w:p>
    <w:p>
      <w:pPr>
        <w:ind w:left="220" w:hanging="212"/>
        <w:spacing w:after="0" w:line="221" w:lineRule="auto"/>
        <w:tabs>
          <w:tab w:leader="none" w:pos="220" w:val="left"/>
        </w:tabs>
        <w:numPr>
          <w:ilvl w:val="0"/>
          <w:numId w:val="4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Average are determined as the average of period - beginning and period ending.</w:t>
      </w:r>
    </w:p>
    <w:p>
      <w:pPr>
        <w:ind w:left="220" w:hanging="212"/>
        <w:spacing w:after="0" w:line="221" w:lineRule="auto"/>
        <w:tabs>
          <w:tab w:leader="none" w:pos="220" w:val="left"/>
        </w:tabs>
        <w:numPr>
          <w:ilvl w:val="0"/>
          <w:numId w:val="4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Without consolidated adjustments.</w:t>
      </w:r>
    </w:p>
    <w:p>
      <w:pPr>
        <w:ind w:right="1280" w:firstLine="8"/>
        <w:spacing w:after="0" w:line="239" w:lineRule="auto"/>
        <w:tabs>
          <w:tab w:leader="none" w:pos="204" w:val="left"/>
        </w:tabs>
        <w:numPr>
          <w:ilvl w:val="0"/>
          <w:numId w:val="4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EPS includes Médica, Doctor+, Clínica San Borja, Análisis Clínicos, Oncocare, Prosemedic, Clínica El Golf, Clínica Sanchez Ferrer and Centro Odontológico Americano. ROAE Dic 13 (PPS Formula) without unrealized profit Pvida: 8.4%.</w:t>
      </w: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lowerLetter"/>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3"/>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lowerRoman"/>
      <w:start w:val="1"/>
    </w:lvl>
  </w:abstractNum>
  <w:abstractNum w:abstractNumId="7">
    <w:nsid w:val="54E49EB4"/>
    <w:multiLevelType w:val="hybridMultilevel"/>
    <w:lvl w:ilvl="0">
      <w:lvlJc w:val="left"/>
      <w:lvlText w:val="%1)"/>
      <w:numFmt w:val="lowerRoman"/>
      <w:start w:val="3"/>
    </w:lvl>
  </w:abstractNum>
  <w:abstractNum w:abstractNumId="8">
    <w:nsid w:val="71F32454"/>
    <w:multiLevelType w:val="hybridMultilevel"/>
    <w:lvl w:ilvl="0">
      <w:lvlJc w:val="left"/>
      <w:lvlText w:val="%1)"/>
      <w:numFmt w:val="lowerRoman"/>
      <w:start w:val="1"/>
    </w:lvl>
  </w:abstractNum>
  <w:abstractNum w:abstractNumId="9">
    <w:nsid w:val="2CA88611"/>
    <w:multiLevelType w:val="hybridMultilevel"/>
    <w:lvl w:ilvl="0">
      <w:lvlJc w:val="left"/>
      <w:lvlText w:val="%1)"/>
      <w:numFmt w:val="lowerRoman"/>
      <w:start w:val="1"/>
    </w:lvl>
  </w:abstractNum>
  <w:abstractNum w:abstractNumId="10">
    <w:nsid w:val="836C40E"/>
    <w:multiLevelType w:val="hybridMultilevel"/>
    <w:lvl w:ilvl="0">
      <w:lvlJc w:val="left"/>
      <w:lvlText w:val="%1)"/>
      <w:numFmt w:val="lowerRoman"/>
      <w:start w:val="1"/>
    </w:lvl>
  </w:abstractNum>
  <w:abstractNum w:abstractNumId="11">
    <w:nsid w:val="2901D82"/>
    <w:multiLevelType w:val="hybridMultilevel"/>
    <w:lvl w:ilvl="0">
      <w:lvlJc w:val="left"/>
      <w:lvlText w:val="%1)"/>
      <w:numFmt w:val="lowerRoman"/>
      <w:start w:val="1"/>
    </w:lvl>
  </w:abstractNum>
  <w:abstractNum w:abstractNumId="12">
    <w:nsid w:val="3A95F874"/>
    <w:multiLevelType w:val="hybridMultilevel"/>
    <w:lvl w:ilvl="0">
      <w:lvlJc w:val="left"/>
      <w:lvlText w:val="%1)"/>
      <w:numFmt w:val="lowerRoman"/>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lowerRoman"/>
      <w:start w:val="1"/>
    </w:lvl>
  </w:abstractNum>
  <w:abstractNum w:abstractNumId="16">
    <w:nsid w:val="737B8DDC"/>
    <w:multiLevelType w:val="hybridMultilevel"/>
    <w:lvl w:ilvl="0">
      <w:lvlJc w:val="left"/>
      <w:lvlText w:val="%1)"/>
      <w:numFmt w:val="lowerRoman"/>
      <w:start w:val="1"/>
    </w:lvl>
  </w:abstractNum>
  <w:abstractNum w:abstractNumId="17">
    <w:nsid w:val="6CEAF087"/>
    <w:multiLevelType w:val="hybridMultilevel"/>
    <w:lvl w:ilvl="0">
      <w:lvlJc w:val="left"/>
      <w:lvlText w:val="%1)"/>
      <w:numFmt w:val="lowerRoman"/>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bullet"/>
      <w:start w:val="1"/>
    </w:lvl>
  </w:abstractNum>
  <w:abstractNum w:abstractNumId="20">
    <w:nsid w:val="3006C83E"/>
    <w:multiLevelType w:val="hybridMultilevel"/>
    <w:lvl w:ilvl="0">
      <w:lvlJc w:val="left"/>
      <w:lvlText w:val="(%1)"/>
      <w:numFmt w:val="lowerRoman"/>
      <w:start w:val="1"/>
    </w:lvl>
  </w:abstractNum>
  <w:abstractNum w:abstractNumId="21">
    <w:nsid w:val="614FD4A1"/>
    <w:multiLevelType w:val="hybridMultilevel"/>
    <w:lvl w:ilvl="0">
      <w:lvlJc w:val="left"/>
      <w:lvlText w:val="2"/>
      <w:numFmt w:val="bullet"/>
      <w:start w:val="1"/>
    </w:lvl>
  </w:abstractNum>
  <w:abstractNum w:abstractNumId="22">
    <w:nsid w:val="419AC241"/>
    <w:multiLevelType w:val="hybridMultilevel"/>
    <w:lvl w:ilvl="0">
      <w:lvlJc w:val="left"/>
      <w:lvlText w:val="3"/>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lowerRoman"/>
      <w:start w:val="1"/>
    </w:lvl>
    <w:lvl w:ilvl="1">
      <w:lvlJc w:val="left"/>
      <w:lvlText w:val="%2)"/>
      <w:numFmt w:val="lowerRoman"/>
      <w:start w:val="1"/>
    </w:lvl>
  </w:abstractNum>
  <w:abstractNum w:abstractNumId="25">
    <w:nsid w:val="5072367"/>
    <w:multiLevelType w:val="hybridMultilevel"/>
    <w:lvl w:ilvl="0">
      <w:lvlJc w:val="left"/>
      <w:lvlText w:val="%1)"/>
      <w:numFmt w:val="lowerRoman"/>
      <w:start w:val="7"/>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lowerRoman"/>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lowerRoman"/>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lowerRoman"/>
      <w:start w:val="3"/>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lowerRoman"/>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lowerRoman"/>
      <w:start w:val="1"/>
    </w:lvl>
  </w:abstractNum>
  <w:abstractNum w:abstractNumId="39">
    <w:nsid w:val="2A487CB0"/>
    <w:multiLevelType w:val="hybridMultilevel"/>
    <w:lvl w:ilvl="0">
      <w:lvlJc w:val="left"/>
      <w:lvlText w:val="%1)"/>
      <w:numFmt w:val="lowerRoman"/>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lowerRoman"/>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2019-12-06T14:13:09Z</dcterms:created>
  <dcterms:modified xsi:type="dcterms:W3CDTF">2019-12-06T14:13:09Z</dcterms:modified>
</cp:coreProperties>
</file>