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2858770</wp:posOffset>
            </wp:positionH>
            <wp:positionV relativeFrom="paragraph">
              <wp:posOffset>156845</wp:posOffset>
            </wp:positionV>
            <wp:extent cx="153924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6-K</w:t>
      </w:r>
    </w:p>
    <w:p>
      <w:pPr>
        <w:spacing w:after="0" w:line="16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Report of Foreign Private Issuer</w:t>
      </w:r>
    </w:p>
    <w:p>
      <w:pPr>
        <w:jc w:val="center"/>
        <w:ind w:right="-19"/>
        <w:spacing w:after="0" w:line="238" w:lineRule="auto"/>
        <w:rPr>
          <w:sz w:val="20"/>
          <w:szCs w:val="20"/>
          <w:color w:val="auto"/>
        </w:rPr>
      </w:pPr>
      <w:r>
        <w:rPr>
          <w:rFonts w:ascii="Arial" w:cs="Arial" w:eastAsia="Arial" w:hAnsi="Arial"/>
          <w:sz w:val="22"/>
          <w:szCs w:val="22"/>
          <w:color w:val="auto"/>
        </w:rPr>
        <w:t>Pursuant to Rule 13a-16 or 15d-16 of the</w:t>
      </w:r>
    </w:p>
    <w:p>
      <w:pPr>
        <w:jc w:val="center"/>
        <w:ind w:right="-19"/>
        <w:spacing w:after="0"/>
        <w:rPr>
          <w:sz w:val="20"/>
          <w:szCs w:val="20"/>
          <w:color w:val="auto"/>
        </w:rPr>
      </w:pPr>
      <w:r>
        <w:rPr>
          <w:rFonts w:ascii="Arial" w:cs="Arial" w:eastAsia="Arial" w:hAnsi="Arial"/>
          <w:sz w:val="22"/>
          <w:szCs w:val="22"/>
          <w:color w:val="auto"/>
        </w:rPr>
        <w:t>Securities Exchange Act of 1934</w:t>
      </w:r>
    </w:p>
    <w:p>
      <w:pPr>
        <w:spacing w:after="0" w:line="11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 the month of April,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2858770</wp:posOffset>
            </wp:positionH>
            <wp:positionV relativeFrom="paragraph">
              <wp:posOffset>309245</wp:posOffset>
            </wp:positionV>
            <wp:extent cx="153924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CREDICORP LTD.</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Clarendon House</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Church Street</w:t>
      </w:r>
    </w:p>
    <w:p>
      <w:pPr>
        <w:jc w:val="center"/>
        <w:ind w:right="-19"/>
        <w:spacing w:after="0"/>
        <w:rPr>
          <w:sz w:val="20"/>
          <w:szCs w:val="20"/>
          <w:color w:val="auto"/>
        </w:rPr>
      </w:pPr>
      <w:r>
        <w:rPr>
          <w:rFonts w:ascii="Arial" w:cs="Arial" w:eastAsia="Arial" w:hAnsi="Arial"/>
          <w:sz w:val="22"/>
          <w:szCs w:val="22"/>
          <w:b w:val="1"/>
          <w:bCs w:val="1"/>
          <w:color w:val="auto"/>
        </w:rPr>
        <w:t>Hamilton HM 11 Bermuda</w:t>
      </w:r>
    </w:p>
    <w:p>
      <w:pPr>
        <w:jc w:val="center"/>
        <w:ind w:right="-19"/>
        <w:spacing w:after="0"/>
        <w:rPr>
          <w:sz w:val="20"/>
          <w:szCs w:val="20"/>
          <w:color w:val="auto"/>
        </w:rPr>
      </w:pPr>
      <w:r>
        <w:rPr>
          <w:rFonts w:ascii="Arial" w:cs="Arial" w:eastAsia="Arial" w:hAnsi="Arial"/>
          <w:sz w:val="18"/>
          <w:szCs w:val="18"/>
          <w:color w:val="auto"/>
        </w:rPr>
        <w:t>(Address of principal executive office)</w:t>
      </w:r>
    </w:p>
    <w:p>
      <w:pPr>
        <w:spacing w:after="0" w:line="347" w:lineRule="exact"/>
        <w:rPr>
          <w:sz w:val="24"/>
          <w:szCs w:val="24"/>
          <w:color w:val="auto"/>
        </w:rPr>
      </w:pPr>
    </w:p>
    <w:p>
      <w:pPr>
        <w:jc w:val="center"/>
        <w:ind w:right="40"/>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06" w:lineRule="exact"/>
        <w:rPr>
          <w:sz w:val="24"/>
          <w:szCs w:val="24"/>
          <w:color w:val="auto"/>
        </w:rPr>
      </w:pPr>
    </w:p>
    <w:p>
      <w:pPr>
        <w:ind w:left="3920"/>
        <w:spacing w:after="0"/>
        <w:rPr>
          <w:sz w:val="20"/>
          <w:szCs w:val="20"/>
          <w:color w:val="auto"/>
        </w:rPr>
      </w:pPr>
      <w:r>
        <w:rPr>
          <w:rFonts w:ascii="Arial" w:cs="Arial" w:eastAsia="Arial" w:hAnsi="Arial"/>
          <w:sz w:val="22"/>
          <w:szCs w:val="22"/>
          <w:color w:val="auto"/>
        </w:rPr>
        <w:t>Form 20-F ___X___ Form 40-F _______</w:t>
      </w:r>
    </w:p>
    <w:p>
      <w:pPr>
        <w:spacing w:after="0" w:line="206" w:lineRule="exact"/>
        <w:rPr>
          <w:sz w:val="24"/>
          <w:szCs w:val="24"/>
          <w:color w:val="auto"/>
        </w:rPr>
      </w:pPr>
    </w:p>
    <w:p>
      <w:pPr>
        <w:ind w:firstLine="54"/>
        <w:spacing w:after="0" w:line="251" w:lineRule="auto"/>
        <w:rPr>
          <w:sz w:val="20"/>
          <w:szCs w:val="20"/>
          <w:color w:val="auto"/>
        </w:rPr>
      </w:pPr>
      <w:r>
        <w:rPr>
          <w:rFonts w:ascii="Arial" w:cs="Arial" w:eastAsia="Arial" w:hAnsi="Arial"/>
          <w:sz w:val="22"/>
          <w:szCs w:val="22"/>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ind w:left="4500"/>
        <w:spacing w:after="0"/>
        <w:rPr>
          <w:sz w:val="20"/>
          <w:szCs w:val="20"/>
          <w:color w:val="auto"/>
        </w:rPr>
      </w:pPr>
      <w:r>
        <w:rPr>
          <w:rFonts w:ascii="Arial" w:cs="Arial" w:eastAsia="Arial" w:hAnsi="Arial"/>
          <w:sz w:val="22"/>
          <w:szCs w:val="22"/>
          <w:color w:val="auto"/>
        </w:rPr>
        <w:t>Yes _______ No ___X____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5226050</wp:posOffset>
            </wp:positionH>
            <wp:positionV relativeFrom="page">
              <wp:posOffset>88900</wp:posOffset>
            </wp:positionV>
            <wp:extent cx="2143760" cy="5657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2143760" cy="565785"/>
                    </a:xfrm>
                    <a:prstGeom prst="rect">
                      <a:avLst/>
                    </a:prstGeom>
                    <a:noFill/>
                  </pic:spPr>
                </pic:pic>
              </a:graphicData>
            </a:graphic>
          </wp:anchor>
        </w:drawing>
        <w:t>April, 3rd , 2006</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Comisión Nacional Supervisora</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 Empresas y Valores</w:t>
      </w:r>
    </w:p>
    <w:p>
      <w:pPr>
        <w:spacing w:after="0"/>
        <w:rPr>
          <w:sz w:val="20"/>
          <w:szCs w:val="20"/>
          <w:color w:val="auto"/>
        </w:rPr>
      </w:pPr>
      <w:r>
        <w:rPr>
          <w:rFonts w:ascii="Arial" w:cs="Arial" w:eastAsia="Arial" w:hAnsi="Arial"/>
          <w:sz w:val="22"/>
          <w:szCs w:val="22"/>
          <w:color w:val="auto"/>
        </w:rPr>
        <w:t>CONASEV</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Reference: Material Event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Dear Sirs:</w:t>
      </w:r>
    </w:p>
    <w:p>
      <w:pPr>
        <w:spacing w:after="0" w:line="206"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Our company, Credicorp Ltd. (NYSE: BAP) in accordance with article 28 of the Peruvian Capital Markets Law and the CONASEV Resolution for Material Events and Reserved Information and Other Communications N° 107-2002-EF/94.10.0 as modified by CONASEV Resolution number 009-2003-EF/94.10, hereby notify you of the following "Material Event":</w:t>
      </w:r>
    </w:p>
    <w:p>
      <w:pPr>
        <w:spacing w:after="0" w:line="167" w:lineRule="exact"/>
        <w:rPr>
          <w:sz w:val="20"/>
          <w:szCs w:val="20"/>
          <w:color w:val="auto"/>
        </w:rPr>
      </w:pPr>
    </w:p>
    <w:p>
      <w:pPr>
        <w:ind w:right="220"/>
        <w:spacing w:after="0" w:line="251" w:lineRule="auto"/>
        <w:rPr>
          <w:sz w:val="20"/>
          <w:szCs w:val="20"/>
          <w:color w:val="auto"/>
        </w:rPr>
      </w:pPr>
      <w:r>
        <w:rPr>
          <w:rFonts w:ascii="Arial" w:cs="Arial" w:eastAsia="Arial" w:hAnsi="Arial"/>
          <w:sz w:val="22"/>
          <w:szCs w:val="22"/>
          <w:color w:val="auto"/>
        </w:rPr>
        <w:t>In the Annual Shareholder's Meeting, held on March 31, 2006 the following agreements were approved with the required quorum being represented:</w:t>
      </w:r>
    </w:p>
    <w:p>
      <w:pPr>
        <w:spacing w:after="0" w:line="185" w:lineRule="exact"/>
        <w:rPr>
          <w:sz w:val="20"/>
          <w:szCs w:val="20"/>
          <w:color w:val="auto"/>
        </w:rPr>
      </w:pPr>
    </w:p>
    <w:p>
      <w:pPr>
        <w:ind w:left="560" w:hanging="214"/>
        <w:spacing w:after="0"/>
        <w:tabs>
          <w:tab w:leader="none" w:pos="560" w:val="left"/>
        </w:tabs>
        <w:numPr>
          <w:ilvl w:val="0"/>
          <w:numId w:val="1"/>
        </w:numPr>
        <w:rPr>
          <w:rFonts w:ascii="Arial" w:cs="Arial" w:eastAsia="Arial" w:hAnsi="Arial"/>
          <w:sz w:val="15"/>
          <w:szCs w:val="15"/>
          <w:color w:val="auto"/>
        </w:rPr>
      </w:pPr>
      <w:r>
        <w:rPr>
          <w:rFonts w:ascii="Arial" w:cs="Arial" w:eastAsia="Arial" w:hAnsi="Arial"/>
          <w:sz w:val="15"/>
          <w:szCs w:val="15"/>
          <w:color w:val="auto"/>
        </w:rPr>
        <w:t>The 2005 Annual Report.</w:t>
      </w:r>
    </w:p>
    <w:p>
      <w:pPr>
        <w:spacing w:after="0" w:line="151" w:lineRule="exact"/>
        <w:rPr>
          <w:rFonts w:ascii="Arial" w:cs="Arial" w:eastAsia="Arial" w:hAnsi="Arial"/>
          <w:sz w:val="15"/>
          <w:szCs w:val="15"/>
          <w:color w:val="auto"/>
        </w:rPr>
      </w:pPr>
    </w:p>
    <w:p>
      <w:pPr>
        <w:ind w:left="560" w:right="420" w:hanging="214"/>
        <w:spacing w:after="0" w:line="247" w:lineRule="auto"/>
        <w:tabs>
          <w:tab w:leader="none" w:pos="560" w:val="left"/>
        </w:tabs>
        <w:numPr>
          <w:ilvl w:val="0"/>
          <w:numId w:val="1"/>
        </w:numPr>
        <w:rPr>
          <w:rFonts w:ascii="Arial" w:cs="Arial" w:eastAsia="Arial" w:hAnsi="Arial"/>
          <w:sz w:val="15"/>
          <w:szCs w:val="15"/>
          <w:color w:val="auto"/>
        </w:rPr>
      </w:pPr>
      <w:r>
        <w:rPr>
          <w:rFonts w:ascii="Arial" w:cs="Arial" w:eastAsia="Arial" w:hAnsi="Arial"/>
          <w:sz w:val="15"/>
          <w:szCs w:val="15"/>
          <w:color w:val="auto"/>
        </w:rPr>
        <w:t>The consolidated financial statements, including the Balance Sheet and the Profit and Loss Statement for the year ended on December 31, 2005, in addition to the Report of the external auditors, Medina, Zaldívar, Paredes y Asociados a member firm of Ernst &amp; Young.</w:t>
      </w:r>
    </w:p>
    <w:p>
      <w:pPr>
        <w:spacing w:after="0" w:line="131" w:lineRule="exact"/>
        <w:rPr>
          <w:rFonts w:ascii="Arial" w:cs="Arial" w:eastAsia="Arial" w:hAnsi="Arial"/>
          <w:sz w:val="15"/>
          <w:szCs w:val="15"/>
          <w:color w:val="auto"/>
        </w:rPr>
      </w:pPr>
    </w:p>
    <w:p>
      <w:pPr>
        <w:ind w:left="560" w:right="280" w:hanging="214"/>
        <w:spacing w:after="0" w:line="247" w:lineRule="auto"/>
        <w:tabs>
          <w:tab w:leader="none" w:pos="560" w:val="left"/>
        </w:tabs>
        <w:numPr>
          <w:ilvl w:val="0"/>
          <w:numId w:val="1"/>
        </w:numPr>
        <w:rPr>
          <w:rFonts w:ascii="Arial" w:cs="Arial" w:eastAsia="Arial" w:hAnsi="Arial"/>
          <w:sz w:val="15"/>
          <w:szCs w:val="15"/>
          <w:color w:val="auto"/>
        </w:rPr>
      </w:pPr>
      <w:r>
        <w:rPr>
          <w:rFonts w:ascii="Arial" w:cs="Arial" w:eastAsia="Arial" w:hAnsi="Arial"/>
          <w:sz w:val="15"/>
          <w:szCs w:val="15"/>
          <w:color w:val="auto"/>
        </w:rPr>
        <w:t>The designation of Medina, Zaldívar, Paredes y Asociados, a member firm of Ernst &amp; Young, as external auditors for the 2006, 2007 and 2008 calendar year, which will be renew yearly, and delegate on the Board of Director the approval of external auditors' fees during these three years.</w:t>
      </w:r>
    </w:p>
    <w:p>
      <w:pPr>
        <w:spacing w:after="0" w:line="200" w:lineRule="exact"/>
        <w:rPr>
          <w:sz w:val="20"/>
          <w:szCs w:val="20"/>
          <w:color w:val="auto"/>
        </w:rPr>
      </w:pPr>
    </w:p>
    <w:p>
      <w:pPr>
        <w:spacing w:after="0" w:line="216" w:lineRule="exact"/>
        <w:rPr>
          <w:sz w:val="20"/>
          <w:szCs w:val="20"/>
          <w:color w:val="auto"/>
        </w:rPr>
      </w:pPr>
    </w:p>
    <w:p>
      <w:pPr>
        <w:jc w:val="both"/>
        <w:spacing w:after="0" w:line="296" w:lineRule="auto"/>
        <w:rPr>
          <w:sz w:val="20"/>
          <w:szCs w:val="20"/>
          <w:color w:val="auto"/>
        </w:rPr>
      </w:pPr>
      <w:r>
        <w:rPr>
          <w:rFonts w:ascii="Arial" w:cs="Arial" w:eastAsia="Arial" w:hAnsi="Arial"/>
          <w:sz w:val="19"/>
          <w:szCs w:val="19"/>
          <w:color w:val="auto"/>
        </w:rPr>
        <w:t>A cash dividend amounting to US$ 103,820,548.70 million, equal to US$ 1.10 per share over a total of 94,382,317 shares, will be paid on May 3, 2006 and payable to all shareholders that are registered on the Company's registry by April 12, 2006 ("Record</w:t>
      </w:r>
    </w:p>
    <w:p>
      <w:pPr>
        <w:spacing w:after="0" w:line="1"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Date"). This dividend was approved by the Board in a meeting held on February 23, 2006, and was announced as a Material Event promptly thereafter.</w:t>
      </w:r>
    </w:p>
    <w:p>
      <w:pPr>
        <w:spacing w:after="0" w:line="227"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With our letter on February 24, 2006, we also included a copy of the Annual Report and the Report of the external auditors for the year 2005, as well as the Additional Information Document, according to CONASEV Resolution N° 107-2002-EF/94.10.0. These documents have not been modified.</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Sincerely,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Fernando Palao</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CREDICORP LTD.</w:t>
      </w:r>
    </w:p>
    <w:p>
      <w:pPr>
        <w:sectPr>
          <w:pgSz w:w="11900" w:h="16838" w:orient="portrait"/>
          <w:cols w:equalWidth="0" w:num="1">
            <w:col w:w="11420"/>
          </w:cols>
          <w:pgMar w:left="240" w:top="1279"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378460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t>SIGNATURE</w:t>
      </w:r>
    </w:p>
    <w:p>
      <w:pPr>
        <w:spacing w:after="0" w:line="293" w:lineRule="exact"/>
        <w:rPr>
          <w:sz w:val="20"/>
          <w:szCs w:val="20"/>
          <w:color w:val="auto"/>
        </w:rPr>
      </w:pPr>
    </w:p>
    <w:p>
      <w:pPr>
        <w:ind w:right="60" w:firstLine="456"/>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22"/>
          <w:szCs w:val="22"/>
          <w:color w:val="auto"/>
        </w:rPr>
        <w:t>Date: April 03, 2006</w:t>
      </w:r>
    </w:p>
    <w:p>
      <w:pPr>
        <w:spacing w:after="0" w:line="355" w:lineRule="exact"/>
        <w:rPr>
          <w:sz w:val="20"/>
          <w:szCs w:val="20"/>
          <w:color w:val="auto"/>
        </w:rPr>
      </w:pPr>
    </w:p>
    <w:p>
      <w:pPr>
        <w:ind w:left="2860"/>
        <w:spacing w:after="0"/>
        <w:rPr>
          <w:sz w:val="20"/>
          <w:szCs w:val="20"/>
          <w:color w:val="auto"/>
        </w:rPr>
      </w:pPr>
      <w:r>
        <w:rPr>
          <w:rFonts w:ascii="Arial" w:cs="Arial" w:eastAsia="Arial" w:hAnsi="Arial"/>
          <w:sz w:val="22"/>
          <w:szCs w:val="22"/>
          <w:color w:val="auto"/>
        </w:rPr>
        <w:t>CREDICORP LTD.</w:t>
      </w:r>
    </w:p>
    <w:p>
      <w:pPr>
        <w:spacing w:after="0" w:line="219" w:lineRule="exact"/>
        <w:rPr>
          <w:sz w:val="20"/>
          <w:szCs w:val="20"/>
          <w:color w:val="auto"/>
        </w:rPr>
      </w:pPr>
    </w:p>
    <w:p>
      <w:pPr>
        <w:ind w:left="2860"/>
        <w:spacing w:after="0"/>
        <w:tabs>
          <w:tab w:leader="none" w:pos="5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Guillermo Castillo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2192020</wp:posOffset>
            </wp:positionH>
            <wp:positionV relativeFrom="paragraph">
              <wp:posOffset>80010</wp:posOffset>
            </wp:positionV>
            <wp:extent cx="32499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213"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Guillermo Castillo</w:t>
      </w:r>
    </w:p>
    <w:p>
      <w:pPr>
        <w:spacing w:after="0" w:line="21"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Authorized Representative</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FORWARD-LOOKING STATEMENTS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This press release may contain forward-looking statements. These statements are statements that are not historical facts, and are based on management's current view and estimates of future economic circumstances, industry conditions, company performance and financial results. The words "anticipates", "believes", "estimates", "expects", "plans" and similar expressions, as they relate to the company, are intended to identify forward-looking statements. Statements regarding the declaration or payment of dividends, the implementation of principal operating and financing strategies and capital expenditure plans, the direction of future operations and the factors or trends affecting financial condition, liquidity or results of operations are examples of forward-looking statements. Such statements reflect the current views of management and are subject to a number of risks and uncertainties. There is no guarantee that the expected events, trends or results will actually occur. The statements are based on many assumptions and factors, including general economic and market conditions, industry conditions, and operating factors. Any changes in such assumptions or factors could cause actual results to differ materially from current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404495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85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2019-12-14T06:43:22Z</dcterms:created>
  <dcterms:modified xsi:type="dcterms:W3CDTF">2019-12-14T06:43:22Z</dcterms:modified>
</cp:coreProperties>
</file>