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ef20027743_6k.htm"/>
      <w:bookmarkStart w:id="1" w:name="ksef20027743_6k"/>
      <w:bookmarkStart w:id="2" w:name="ef20027743_6k.htm"/>
      <w:bookmarkStart w:id="3" w:name="ksef20027743_6k"/>
      <w:bookmarkEnd w:id="2"/>
      <w:bookmarkEnd w:id="3"/>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0" w:after="0"/>
        <w:jc w:val="center"/>
        <w:rPr>
          <w:sz w:val="20"/>
        </w:rPr>
      </w:pPr>
      <w:r>
        <w:rPr>
          <w:sz w:val="20"/>
        </w:rPr>
      </w:r>
    </w:p>
    <w:p>
      <w:pPr>
        <w:pStyle w:val="TextBody"/>
        <w:bidi w:val="0"/>
        <w:spacing w:before="0" w:after="0"/>
        <w:jc w:val="center"/>
        <w:rPr>
          <w:rFonts w:ascii="Times New Roman" w:hAnsi="Times New Roman"/>
          <w:b/>
          <w:color w:val="000000"/>
          <w:sz w:val="36"/>
        </w:rPr>
      </w:pPr>
      <w:r>
        <w:rPr>
          <w:rFonts w:ascii="Times New Roman" w:hAnsi="Times New Roman"/>
          <w:b/>
          <w:color w:val="000000"/>
          <w:sz w:val="36"/>
        </w:rPr>
        <w:t>FORM 6-K</w:t>
      </w:r>
    </w:p>
    <w:p>
      <w:pPr>
        <w:pStyle w:val="TextBody"/>
        <w:bidi w:val="0"/>
        <w:spacing w:before="0" w:after="0"/>
        <w:jc w:val="center"/>
        <w:rPr>
          <w:sz w:val="20"/>
        </w:rPr>
      </w:pPr>
      <w:r>
        <w:rPr>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Report of Foreign Private Issuer</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Pursuant to Rule 13a-16 or 15d-16 under the</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Securities Exchange Act of 1934</w:t>
      </w:r>
    </w:p>
    <w:p>
      <w:pPr>
        <w:pStyle w:val="TextBody"/>
        <w:bidi w:val="0"/>
        <w:spacing w:before="0" w:after="0"/>
        <w:jc w:val="center"/>
        <w:rPr>
          <w:sz w:val="20"/>
        </w:rPr>
      </w:pPr>
      <w:r>
        <w:rPr>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For the month of April 2024</w:t>
      </w:r>
    </w:p>
    <w:p>
      <w:pPr>
        <w:pStyle w:val="TextBody"/>
        <w:bidi w:val="0"/>
        <w:spacing w:before="0" w:after="0"/>
        <w:jc w:val="center"/>
        <w:rPr>
          <w:sz w:val="20"/>
        </w:rPr>
      </w:pPr>
      <w:r>
        <w:rPr>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Commission File Number: 001-14014</w:t>
      </w:r>
    </w:p>
    <w:p>
      <w:pPr>
        <w:pStyle w:val="TextBody"/>
        <w:bidi w:val="0"/>
        <w:spacing w:before="0" w:after="0"/>
        <w:jc w:val="center"/>
        <w:rPr>
          <w:sz w:val="20"/>
        </w:rPr>
      </w:pPr>
      <w:r>
        <w:rPr>
          <w:sz w:val="20"/>
        </w:rPr>
      </w:r>
    </w:p>
    <w:p>
      <w:pPr>
        <w:pStyle w:val="TextBody"/>
        <w:bidi w:val="0"/>
        <w:spacing w:before="0" w:after="0"/>
        <w:jc w:val="center"/>
        <w:rPr>
          <w:rFonts w:ascii="Times New Roman" w:hAnsi="Times New Roman"/>
          <w:b/>
          <w:color w:val="000000"/>
          <w:sz w:val="48"/>
        </w:rPr>
      </w:pPr>
      <w:r>
        <w:rPr>
          <w:rFonts w:ascii="Times New Roman" w:hAnsi="Times New Roman"/>
          <w:b/>
          <w:color w:val="000000"/>
          <w:sz w:val="48"/>
        </w:rPr>
        <w:t>CREDICORP LTD.</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(Translation of registrant’s name into English)</w:t>
      </w:r>
    </w:p>
    <w:p>
      <w:pPr>
        <w:pStyle w:val="TextBody"/>
        <w:bidi w:val="0"/>
        <w:spacing w:before="0" w:after="0"/>
        <w:jc w:val="center"/>
        <w:rPr>
          <w:sz w:val="20"/>
        </w:rPr>
      </w:pPr>
      <w:r>
        <w:rPr>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Of our subsidiary</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Banco de Credito del Peru:</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Calle Centenario 156</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La Molina</w:t>
      </w:r>
    </w:p>
    <w:p>
      <w:pPr>
        <w:pStyle w:val="TextBody"/>
        <w:bidi w:val="0"/>
        <w:spacing w:before="0" w:after="0"/>
        <w:jc w:val="center"/>
        <w:rPr>
          <w:rFonts w:ascii="Times New Roman" w:hAnsi="Times New Roman"/>
          <w:color w:val="000000"/>
          <w:sz w:val="20"/>
        </w:rPr>
      </w:pPr>
      <w:r>
        <w:rPr>
          <w:rFonts w:ascii="Times New Roman" w:hAnsi="Times New Roman"/>
          <w:b/>
          <w:color w:val="000000"/>
          <w:sz w:val="20"/>
        </w:rPr>
        <w:t xml:space="preserve">Lima 12, Peru </w:t>
      </w:r>
      <w:r>
        <w:rPr>
          <w:rFonts w:ascii="Times New Roman" w:hAnsi="Times New Roman"/>
          <w:color w:val="000000"/>
          <w:sz w:val="20"/>
        </w:rPr>
        <w:t>(Address of principal executive office)</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Indicate by check mark whether the registrant files or will file annual reports under cover of Form 20-F or Form 40-F.</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Form 20-F ☒ Form 40-F ☐</w:t>
      </w:r>
    </w:p>
    <w:p>
      <w:pPr>
        <w:pStyle w:val="TextBody"/>
        <w:bidi w:val="0"/>
        <w:spacing w:before="0" w:after="0"/>
        <w:jc w:val="left"/>
        <w:rPr>
          <w:sz w:val="20"/>
        </w:rPr>
      </w:pPr>
      <w:r>
        <w:rPr>
          <w:sz w:val="20"/>
        </w:rPr>
      </w:r>
    </w:p>
    <w:p>
      <w:pPr>
        <w:pStyle w:val="TextBody"/>
        <w:bidi w:val="0"/>
        <w:spacing w:before="0" w:after="0"/>
        <w:jc w:val="left"/>
        <w:rPr>
          <w:color w:val="000000"/>
        </w:rPr>
      </w:pPr>
      <w:r>
        <w:rPr>
          <w:color w:val="000000"/>
        </w:rPr>
        <w:t> </w:t>
      </w:r>
      <w:r>
        <w:rPr>
          <w:rFonts w:ascii="Times New Roman" w:hAnsi="Times New Roman"/>
          <w:color w:val="000000"/>
          <w:sz w:val="20"/>
        </w:rPr>
        <w:t>Indicate by check mark if the registrant is submitting the Form 6-K in paper as permitted by Regulation S-T Rule 101(b)(1): ____</w:t>
      </w:r>
    </w:p>
    <w:p>
      <w:pPr>
        <w:pStyle w:val="TextBody"/>
        <w:bidi w:val="0"/>
        <w:spacing w:before="0" w:after="0"/>
        <w:jc w:val="left"/>
        <w:rPr>
          <w:sz w:val="20"/>
        </w:rPr>
      </w:pPr>
      <w:r>
        <w:rPr>
          <w:sz w:val="20"/>
        </w:rPr>
      </w:r>
    </w:p>
    <w:p>
      <w:pPr>
        <w:pStyle w:val="TextBody"/>
        <w:bidi w:val="0"/>
        <w:spacing w:before="0" w:after="0"/>
        <w:jc w:val="left"/>
        <w:rPr>
          <w:color w:val="000000"/>
        </w:rPr>
      </w:pPr>
      <w:r>
        <w:rPr>
          <w:color w:val="000000"/>
        </w:rPr>
        <w:t> </w:t>
      </w:r>
      <w:r>
        <w:rPr>
          <w:rFonts w:ascii="Times New Roman" w:hAnsi="Times New Roman"/>
          <w:color w:val="000000"/>
          <w:sz w:val="20"/>
        </w:rPr>
        <w:t>Indicate by check mark if the registrant is submitting the Form 6-K in paper as permitted by Regulation S-T Rule 101(b)(7): ____</w:t>
      </w:r>
    </w:p>
    <w:p>
      <w:pPr>
        <w:pStyle w:val="TextBody"/>
        <w:bidi w:val="0"/>
        <w:spacing w:before="0" w:after="0"/>
        <w:jc w:val="left"/>
        <w:rPr>
          <w:sz w:val="20"/>
        </w:rPr>
      </w:pPr>
      <w:r>
        <w:rPr>
          <w:sz w:val="20"/>
        </w:rPr>
      </w:r>
    </w:p>
    <w:p>
      <w:pPr>
        <w:pStyle w:val="HorizontalLine"/>
        <w:bidi w:val="0"/>
        <w:jc w:val="left"/>
        <w:rPr/>
      </w:pPr>
      <w:r>
        <w:rPr/>
      </w:r>
    </w:p>
    <w:p>
      <w:pPr>
        <w:pStyle w:val="HorizontalLine"/>
        <w:pBdr>
          <w:bottom w:val="single" w:sz="12" w:space="0" w:color="808080"/>
        </w:pBdr>
        <w:bidi w:val="0"/>
        <w:spacing w:before="180" w:after="180"/>
        <w:jc w:val="left"/>
        <w:rPr/>
      </w:pPr>
      <w:r>
        <w:rPr/>
      </w:r>
    </w:p>
    <w:p>
      <w:pPr>
        <w:pStyle w:val="TextBody"/>
        <w:bidi w:val="0"/>
        <w:spacing w:before="0" w:after="0"/>
        <w:jc w:val="left"/>
        <w:rPr>
          <w:color w:val="000000"/>
        </w:rPr>
      </w:pPr>
      <w:r>
        <w:rPr>
          <w:color w:val="000000"/>
        </w:rPr>
        <w:drawing>
          <wp:inline distT="0" distB="0" distL="0" distR="0">
            <wp:extent cx="2438400" cy="381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38400" cy="381000"/>
                    </a:xfrm>
                    <a:prstGeom prst="rect">
                      <a:avLst/>
                    </a:prstGeom>
                  </pic:spPr>
                </pic:pic>
              </a:graphicData>
            </a:graphic>
          </wp:inline>
        </w:drawing>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April 25, 2024</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Securities and Exchange Commission - SEC</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 MATERIAL EVENT</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Dear Sirs:</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hereby notify you as a Material Event that, in its session held on April 25, 2024, the Board of Directors of Credicorp Ltd. (the ‘Company’) agreed unanimously the distribution of a dividend according to the Bye-Laws of the Company and considering a total net income attained in the financial year 2023 of S/4,865,540,233.17. The Company’s Board of Directors approved to pay its shareholders a cash dividend of S/3,303,381,095.00 for a total of 94,382,317 issued shares, which is equivalent to S/35.0000 per share.</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cash dividend will be paid out on June 14, 2024, without withholding tax at source, to shareholders of record on May 20, 2024. The dividend will be paid in US Dollars using the weighted exchange rate registered by the Peruvian Superintendency of Banks, Insurance and Pension Funds (Superintendencia de Banca, Seguros y AFP) for the transactions at the close of business on June 12, 2024. The US Dollar dividend amount will be rounded up to four decimals.</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Sincerely,</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/s/ </w:t>
      </w:r>
      <w:r>
        <w:rPr>
          <w:rFonts w:ascii="Times New Roman" w:hAnsi="Times New Roman"/>
          <w:color w:val="000000"/>
          <w:sz w:val="20"/>
          <w:u w:val="single"/>
        </w:rPr>
        <w:t>Guillermo Morales</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Authorized Representative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Credicorp Ltd.</w:t>
      </w:r>
    </w:p>
    <w:p>
      <w:pPr>
        <w:pStyle w:val="TextBody"/>
        <w:bidi w:val="0"/>
        <w:spacing w:before="0" w:after="0"/>
        <w:jc w:val="left"/>
        <w:rPr>
          <w:sz w:val="20"/>
        </w:rPr>
      </w:pPr>
      <w:r>
        <w:rPr>
          <w:sz w:val="20"/>
        </w:rPr>
      </w:r>
    </w:p>
    <w:p>
      <w:pPr>
        <w:pStyle w:val="HorizontalLine"/>
        <w:pBdr>
          <w:bottom w:val="single" w:sz="12" w:space="0" w:color="808080"/>
        </w:pBdr>
        <w:bidi w:val="0"/>
        <w:spacing w:before="180" w:after="18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0" w:after="0"/>
        <w:jc w:val="left"/>
        <w:rPr>
          <w:sz w:val="20"/>
        </w:rPr>
      </w:pPr>
      <w:r>
        <w:rPr>
          <w:sz w:val="20"/>
        </w:rPr>
      </w:r>
    </w:p>
    <w:p>
      <w:pPr>
        <w:pStyle w:val="TextBody"/>
        <w:bidi w:val="0"/>
        <w:spacing w:before="0" w:after="0"/>
        <w:ind w:left="0" w:right="0" w:firstLine="594"/>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594"/>
        <w:jc w:val="left"/>
        <w:rPr>
          <w:color w:val="000000"/>
          <w:sz w:val="20"/>
        </w:rPr>
      </w:pPr>
      <w:r>
        <w:rPr>
          <w:color w:val="000000"/>
          <w:sz w:val="20"/>
        </w:rPr>
      </w:r>
    </w:p>
    <w:p>
      <w:pPr>
        <w:pStyle w:val="TextBody"/>
        <w:bidi w:val="0"/>
        <w:spacing w:before="0" w:after="0"/>
        <w:ind w:left="0" w:right="0" w:firstLine="594"/>
        <w:jc w:val="left"/>
        <w:rPr>
          <w:rFonts w:ascii="Times New Roman" w:hAnsi="Times New Roman"/>
          <w:color w:val="000000"/>
          <w:sz w:val="20"/>
        </w:rPr>
      </w:pPr>
      <w:r>
        <w:rPr>
          <w:rFonts w:ascii="Times New Roman" w:hAnsi="Times New Roman"/>
          <w:color w:val="000000"/>
          <w:sz w:val="20"/>
        </w:rPr>
        <w:t>Date: April 25, 2024</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4" w:name="zdb7b2250195b41fa94fe96c9d9e736d3"/>
      <w:bookmarkStart w:id="5" w:name="zdb7b2250195b41fa94fe96c9d9e736d3"/>
      <w:bookmarkEnd w:id="5"/>
    </w:p>
    <w:tbl>
      <w:tblPr>
        <w:tblW w:w="2636" w:type="dxa"/>
        <w:jc w:val="left"/>
        <w:tblInd w:w="0" w:type="dxa"/>
        <w:tblLayout w:type="fixed"/>
        <w:tblCellMar>
          <w:top w:w="0" w:type="dxa"/>
          <w:left w:w="0" w:type="dxa"/>
          <w:bottom w:w="0" w:type="dxa"/>
          <w:right w:w="0" w:type="dxa"/>
        </w:tblCellMar>
      </w:tblPr>
      <w:tblGrid>
        <w:gridCol w:w="23"/>
        <w:gridCol w:w="320"/>
        <w:gridCol w:w="2270"/>
        <w:gridCol w:w="23"/>
      </w:tblGrid>
      <w:tr>
        <w:trPr/>
        <w:tc>
          <w:tcPr>
            <w:tcW w:w="23" w:type="dxa"/>
            <w:tcBorders/>
            <w:vAlign w:val="center"/>
          </w:tcPr>
          <w:p>
            <w:pPr>
              <w:pStyle w:val="TableContents"/>
              <w:bidi w:val="0"/>
              <w:spacing w:before="0" w:after="283"/>
              <w:jc w:val="left"/>
              <w:rPr/>
            </w:pPr>
            <w:r>
              <w:rPr/>
            </w:r>
          </w:p>
        </w:tc>
        <w:tc>
          <w:tcPr>
            <w:tcW w:w="2590" w:type="dxa"/>
            <w:gridSpan w:val="2"/>
            <w:tcBorders/>
            <w:vAlign w:val="center"/>
          </w:tcPr>
          <w:p>
            <w:pPr>
              <w:pStyle w:val="TableContents"/>
              <w:bidi w:val="0"/>
              <w:spacing w:before="0" w:after="0"/>
              <w:jc w:val="left"/>
              <w:rPr>
                <w:color w:val="000000"/>
                <w:sz w:val="20"/>
              </w:rPr>
            </w:pPr>
            <w:r>
              <w:rPr>
                <w:color w:val="000000"/>
                <w:sz w:val="20"/>
              </w:rPr>
              <w:t>CREDICORP LTD.</w:t>
            </w:r>
          </w:p>
          <w:p>
            <w:pPr>
              <w:pStyle w:val="TableContents"/>
              <w:bidi w:val="0"/>
              <w:spacing w:before="0" w:after="0"/>
              <w:jc w:val="left"/>
              <w:rPr>
                <w:color w:val="000000"/>
                <w:sz w:val="20"/>
              </w:rPr>
            </w:pPr>
            <w:r>
              <w:rPr>
                <w:color w:val="000000"/>
                <w:sz w:val="20"/>
              </w:rPr>
              <w:t>(Registrant)</w:t>
            </w:r>
          </w:p>
        </w:tc>
        <w:tc>
          <w:tcPr>
            <w:tcW w:w="23" w:type="dxa"/>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2590" w:type="dxa"/>
            <w:gridSpan w:val="2"/>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0"/>
              <w:jc w:val="left"/>
              <w:rPr>
                <w:color w:val="000000"/>
                <w:sz w:val="20"/>
              </w:rPr>
            </w:pPr>
            <w:r>
              <w:rPr>
                <w:color w:val="000000"/>
                <w:sz w:val="20"/>
              </w:rPr>
              <w:t>By:</w:t>
            </w:r>
          </w:p>
        </w:tc>
        <w:tc>
          <w:tcPr>
            <w:tcW w:w="2270" w:type="dxa"/>
            <w:tcBorders>
              <w:bottom w:val="single" w:sz="12" w:space="0" w:color="000000"/>
            </w:tcBorders>
            <w:tcMar>
              <w:bottom w:w="28" w:type="dxa"/>
            </w:tcMar>
            <w:vAlign w:val="center"/>
          </w:tcPr>
          <w:p>
            <w:pPr>
              <w:pStyle w:val="TableContents"/>
              <w:bidi w:val="0"/>
              <w:spacing w:before="0" w:after="0"/>
              <w:jc w:val="left"/>
              <w:rPr>
                <w:color w:val="000000"/>
                <w:sz w:val="20"/>
              </w:rPr>
            </w:pPr>
            <w:r>
              <w:rPr>
                <w:color w:val="000000"/>
                <w:sz w:val="20"/>
              </w:rPr>
              <w:t>/s/ Guillermo Morales</w:t>
            </w:r>
          </w:p>
        </w:tc>
        <w:tc>
          <w:tcPr>
            <w:tcW w:w="23" w:type="dxa"/>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pPr>
            <w:r>
              <w:rPr/>
            </w:r>
          </w:p>
        </w:tc>
        <w:tc>
          <w:tcPr>
            <w:tcW w:w="2270" w:type="dxa"/>
            <w:tcBorders/>
            <w:vAlign w:val="center"/>
          </w:tcPr>
          <w:p>
            <w:pPr>
              <w:pStyle w:val="TableContents"/>
              <w:bidi w:val="0"/>
              <w:spacing w:before="0" w:after="0"/>
              <w:jc w:val="left"/>
              <w:rPr>
                <w:b/>
                <w:color w:val="000000"/>
                <w:sz w:val="20"/>
              </w:rPr>
            </w:pPr>
            <w:r>
              <w:rPr>
                <w:b/>
                <w:color w:val="000000"/>
                <w:sz w:val="20"/>
              </w:rPr>
              <w:t>Guillermo Morales</w:t>
            </w:r>
          </w:p>
        </w:tc>
        <w:tc>
          <w:tcPr>
            <w:tcW w:w="23" w:type="dxa"/>
            <w:tcBorders/>
            <w:vAlign w:val="center"/>
          </w:tcPr>
          <w:p>
            <w:pPr>
              <w:pStyle w:val="TableContents"/>
              <w:bidi w:val="0"/>
              <w:spacing w:before="0" w:after="283"/>
              <w:jc w:val="left"/>
              <w:rPr/>
            </w:pPr>
            <w:r>
              <w:rPr/>
            </w:r>
          </w:p>
        </w:tc>
      </w:tr>
      <w:tr>
        <w:trPr/>
        <w:tc>
          <w:tcPr>
            <w:tcW w:w="23" w:type="dxa"/>
            <w:tcBorders/>
            <w:vAlign w:val="center"/>
          </w:tcPr>
          <w:p>
            <w:pPr>
              <w:pStyle w:val="TableContents"/>
              <w:bidi w:val="0"/>
              <w:spacing w:before="0" w:after="283"/>
              <w:jc w:val="left"/>
              <w:rPr/>
            </w:pPr>
            <w:r>
              <w:rPr/>
            </w:r>
          </w:p>
        </w:tc>
        <w:tc>
          <w:tcPr>
            <w:tcW w:w="320" w:type="dxa"/>
            <w:tcBorders/>
            <w:vAlign w:val="center"/>
          </w:tcPr>
          <w:p>
            <w:pPr>
              <w:pStyle w:val="TableContents"/>
              <w:bidi w:val="0"/>
              <w:spacing w:before="0" w:after="283"/>
              <w:jc w:val="left"/>
              <w:rPr/>
            </w:pPr>
            <w:r>
              <w:rPr/>
            </w:r>
          </w:p>
        </w:tc>
        <w:tc>
          <w:tcPr>
            <w:tcW w:w="2270" w:type="dxa"/>
            <w:tcBorders/>
            <w:vAlign w:val="center"/>
          </w:tcPr>
          <w:p>
            <w:pPr>
              <w:pStyle w:val="TableContents"/>
              <w:bidi w:val="0"/>
              <w:spacing w:before="0" w:after="0"/>
              <w:jc w:val="left"/>
              <w:rPr>
                <w:b/>
                <w:color w:val="000000"/>
                <w:sz w:val="20"/>
              </w:rPr>
            </w:pPr>
            <w:r>
              <w:rPr>
                <w:b/>
                <w:color w:val="000000"/>
                <w:sz w:val="20"/>
              </w:rPr>
              <w:t>Authorized Representative</w:t>
            </w:r>
          </w:p>
        </w:tc>
        <w:tc>
          <w:tcPr>
            <w:tcW w:w="23" w:type="dxa"/>
            <w:tcBorders/>
            <w:vAlign w:val="center"/>
          </w:tcPr>
          <w:p>
            <w:pPr>
              <w:pStyle w:val="TableContents"/>
              <w:bidi w:val="0"/>
              <w:spacing w:before="0" w:after="283"/>
              <w:jc w:val="left"/>
              <w:rPr/>
            </w:pPr>
            <w:r>
              <w:rPr/>
            </w:r>
          </w:p>
        </w:tc>
      </w:tr>
    </w:tbl>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426</Words>
  <Characters>2211</Characters>
  <CharactersWithSpaces>2601</CharactersWithSpaces>
  <Paragraphs>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