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025775"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025775" cy="523240"/>
                    </a:xfrm>
                    <a:prstGeom prst="rect">
                      <a:avLst/>
                    </a:prstGeom>
                    <a:noFill/>
                  </pic:spPr>
                </pic:pic>
              </a:graphicData>
            </a:graphic>
          </wp:anchor>
        </w:drawing>
        <w:t>July 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notify you as a Material Event that on July 4, 2024, S&amp;P Global Ratings published the credit rating report for Credicorp Ltd. (Credicorp), affirming Credicorp’s credit rating at ‘BBB-’ and maintaining its stable outlook.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Form 6-K regarding the rating of S&amp;P Global Ratings has been disclosed in Peru in conformity with Peruvian law (Article 30 of the Capital Markets Law, approved by Supreme Decree 020-2023-EF, and by the Regulation of the Disclosure of Material Events and Reserved Information approved by Resolution 005-2014-SMV/01 of the Peruvian Capital Markets Superintendency). The ratings of S&amp;P Global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July 4,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 w:name="page4"/>
    <w:bookmarkEnd w:id="3"/>
    <w:p>
      <w:pPr>
        <w:ind w:left="92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155575</wp:posOffset>
            </wp:positionV>
            <wp:extent cx="6549390" cy="1663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939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40"/>
          <w:szCs w:val="40"/>
          <w:color w:val="333333"/>
        </w:rPr>
        <w:t>Credicorp Ltd.</w:t>
      </w:r>
    </w:p>
    <w:p>
      <w:pPr>
        <w:spacing w:after="0" w:line="3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Primary Credit Analyst:</w:t>
      </w:r>
    </w:p>
    <w:p>
      <w:pPr>
        <w:spacing w:after="0" w:line="6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Camilo Andres Perez, Mexico City + 52 55 5081 4446; camilo.perez@spglobal.com</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Secondary Contact:</w:t>
      </w:r>
    </w:p>
    <w:p>
      <w:pPr>
        <w:spacing w:after="0" w:line="4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Ivana L Recalde, Buenos Aires + 54 11 4891 2127; ivana.recalde@spglobal.com</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5"/>
          <w:szCs w:val="25"/>
          <w:color w:val="CC0033"/>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20320</wp:posOffset>
            </wp:positionV>
            <wp:extent cx="5126355" cy="77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26355" cy="77470"/>
                    </a:xfrm>
                    <a:prstGeom prst="rect">
                      <a:avLst/>
                    </a:prstGeom>
                    <a:noFill/>
                  </pic:spPr>
                </pic:pic>
              </a:graphicData>
            </a:graphic>
          </wp:anchor>
        </w:drawing>
      </w:r>
    </w:p>
    <w:p>
      <w:pPr>
        <w:spacing w:after="0" w:line="30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Ratings Score Snapshot</w:t>
      </w:r>
    </w:p>
    <w:p>
      <w:pPr>
        <w:spacing w:after="0" w:line="19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Credit Highlights</w:t>
      </w:r>
    </w:p>
    <w:p>
      <w:pPr>
        <w:spacing w:after="0" w:line="19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Outlook</w:t>
      </w:r>
    </w:p>
    <w:p>
      <w:pPr>
        <w:spacing w:after="0" w:line="19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Key Metrics</w:t>
      </w:r>
    </w:p>
    <w:p>
      <w:pPr>
        <w:spacing w:after="0" w:line="19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Anchor: ‘bbb-’ For Financial Institutions Operating In Peru</w:t>
      </w:r>
    </w:p>
    <w:p>
      <w:pPr>
        <w:spacing w:after="0" w:line="17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Business Position: Largest Financial Group In Peru</w:t>
      </w:r>
    </w:p>
    <w:p>
      <w:pPr>
        <w:spacing w:after="0" w:line="19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Capital And Earnings: Adequate Capitalization To Support Business</w:t>
      </w:r>
    </w:p>
    <w:p>
      <w:pPr>
        <w:spacing w:after="0" w:line="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Strategy</w:t>
      </w:r>
    </w:p>
    <w:p>
      <w:pPr>
        <w:spacing w:after="0" w:line="14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Risk Position: Diversified Business Mix</w:t>
      </w:r>
    </w:p>
    <w:p>
      <w:pPr>
        <w:spacing w:after="0" w:line="17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Funding And Liquidity: Stable Funding Base And Healthy Liquidity</w:t>
      </w:r>
    </w:p>
    <w:p>
      <w:pPr>
        <w:spacing w:after="0" w:line="19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Support: No Uplift To The Group Credit Profile</w:t>
      </w:r>
    </w:p>
    <w:p>
      <w:pPr>
        <w:spacing w:after="0" w:line="19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Environmental, Social, And Governance</w:t>
      </w:r>
    </w:p>
    <w:p>
      <w:pPr>
        <w:spacing w:after="0" w:line="19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Key Statistics</w:t>
      </w:r>
    </w:p>
    <w:p>
      <w:pPr>
        <w:spacing w:after="0" w:line="19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Related Criteria</w:t>
      </w:r>
    </w:p>
    <w:p>
      <w:pPr>
        <w:spacing w:after="0" w:line="16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Related Research</w:t>
      </w:r>
    </w:p>
    <w:p>
      <w:pPr>
        <w:spacing w:after="0" w:line="229" w:lineRule="exact"/>
        <w:rPr>
          <w:sz w:val="20"/>
          <w:szCs w:val="20"/>
          <w:color w:val="auto"/>
        </w:rPr>
      </w:pPr>
    </w:p>
    <w:p>
      <w:pPr>
        <w:ind w:left="1220"/>
        <w:spacing w:after="0"/>
        <w:tabs>
          <w:tab w:leader="none" w:pos="8920" w:val="left"/>
        </w:tabs>
        <w:rPr>
          <w:sz w:val="20"/>
          <w:szCs w:val="20"/>
          <w:color w:val="auto"/>
        </w:rPr>
      </w:pPr>
      <w:r>
        <w:rPr>
          <w:rFonts w:ascii="Times New Roman" w:cs="Times New Roman" w:eastAsia="Times New Roman" w:hAnsi="Times New Roman"/>
          <w:sz w:val="14"/>
          <w:szCs w:val="14"/>
          <w:color w:val="333333"/>
        </w:rPr>
        <w:t>WWW.STANDARDANDPOORS.COM/RATINGSDIRECT</w:t>
      </w:r>
      <w:r>
        <w:rPr>
          <w:sz w:val="20"/>
          <w:szCs w:val="20"/>
          <w:color w:val="auto"/>
        </w:rPr>
        <w:tab/>
      </w:r>
      <w:r>
        <w:rPr>
          <w:rFonts w:ascii="Times New Roman" w:cs="Times New Roman" w:eastAsia="Times New Roman" w:hAnsi="Times New Roman"/>
          <w:sz w:val="18"/>
          <w:szCs w:val="18"/>
          <w:color w:val="auto"/>
        </w:rPr>
        <w:t>JULY 4, 2024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111760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40"/>
          <w:szCs w:val="40"/>
          <w:color w:val="333333"/>
        </w:rPr>
        <w:t>Credicorp Ltd.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CC0033"/>
        </w:rPr>
        <w:t>Ratings Score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149225</wp:posOffset>
            </wp:positionV>
            <wp:extent cx="6000750" cy="2571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CC0033"/>
        </w:rPr>
        <w:t>Credit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FFFFFF"/>
        </w:rPr>
        <w:t>Overview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Key strengths</w:t>
            </w:r>
          </w:p>
        </w:tc>
        <w:tc>
          <w:tcPr>
            <w:tcW w:w="5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Key risks</w:t>
            </w:r>
          </w:p>
        </w:tc>
        <w:tc>
          <w:tcPr>
            <w:tcW w:w="0" w:type="dxa"/>
            <w:vAlign w:val="bottom"/>
          </w:tcPr>
          <w:p>
            <w:pPr>
              <w:spacing w:after="0"/>
              <w:rPr>
                <w:sz w:val="1"/>
                <w:szCs w:val="1"/>
                <w:color w:val="auto"/>
              </w:rPr>
            </w:pPr>
          </w:p>
        </w:tc>
      </w:tr>
      <w:tr>
        <w:trPr>
          <w:trHeight w:val="214"/>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High-quality and diverse asset base with dominant positions in most business segments.</w:t>
            </w:r>
          </w:p>
        </w:tc>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Complex political landscape dents short- to medium-term economic growth in Peru, affecting</w:t>
            </w:r>
          </w:p>
        </w:tc>
        <w:tc>
          <w:tcPr>
            <w:tcW w:w="0" w:type="dxa"/>
            <w:vAlign w:val="bottom"/>
          </w:tcPr>
          <w:p>
            <w:pPr>
              <w:spacing w:after="0"/>
              <w:rPr>
                <w:sz w:val="1"/>
                <w:szCs w:val="1"/>
                <w:color w:val="auto"/>
              </w:rPr>
            </w:pPr>
          </w:p>
        </w:tc>
      </w:tr>
      <w:tr>
        <w:trPr>
          <w:trHeight w:val="107"/>
        </w:trPr>
        <w:tc>
          <w:tcPr>
            <w:tcW w:w="5340" w:type="dxa"/>
            <w:vAlign w:val="bottom"/>
            <w:vMerge w:val="continue"/>
          </w:tcPr>
          <w:p>
            <w:pPr>
              <w:spacing w:after="0"/>
              <w:rPr>
                <w:sz w:val="9"/>
                <w:szCs w:val="9"/>
                <w:color w:val="auto"/>
              </w:rPr>
            </w:pPr>
          </w:p>
        </w:tc>
        <w:tc>
          <w:tcPr>
            <w:tcW w:w="59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business conditions.</w:t>
            </w:r>
          </w:p>
        </w:tc>
        <w:tc>
          <w:tcPr>
            <w:tcW w:w="0" w:type="dxa"/>
            <w:vAlign w:val="bottom"/>
          </w:tcPr>
          <w:p>
            <w:pPr>
              <w:spacing w:after="0"/>
              <w:rPr>
                <w:sz w:val="1"/>
                <w:szCs w:val="1"/>
                <w:color w:val="auto"/>
              </w:rPr>
            </w:pPr>
          </w:p>
        </w:tc>
      </w:tr>
      <w:tr>
        <w:trPr>
          <w:trHeight w:val="64"/>
        </w:trPr>
        <w:tc>
          <w:tcPr>
            <w:tcW w:w="5340" w:type="dxa"/>
            <w:vAlign w:val="bottom"/>
            <w:tcBorders>
              <w:bottom w:val="single" w:sz="8" w:color="auto"/>
            </w:tcBorders>
          </w:tcPr>
          <w:p>
            <w:pPr>
              <w:spacing w:after="0"/>
              <w:rPr>
                <w:sz w:val="5"/>
                <w:szCs w:val="5"/>
                <w:color w:val="auto"/>
              </w:rPr>
            </w:pPr>
          </w:p>
        </w:tc>
        <w:tc>
          <w:tcPr>
            <w:tcW w:w="59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Sufficient liquidity at the holding company to meet obligations, limiting dependence on</w:t>
            </w:r>
          </w:p>
        </w:tc>
        <w:tc>
          <w:tcPr>
            <w:tcW w:w="5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dividends from operating subsidiaries.</w:t>
            </w:r>
          </w:p>
        </w:tc>
        <w:tc>
          <w:tcPr>
            <w:tcW w:w="5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Credicorp has investments in multiple large assets in the financial industry in Peru and some presence in other Latin American countries. </w:t>
      </w:r>
      <w:r>
        <w:rPr>
          <w:rFonts w:ascii="Times New Roman" w:cs="Times New Roman" w:eastAsia="Times New Roman" w:hAnsi="Times New Roman"/>
          <w:sz w:val="16"/>
          <w:szCs w:val="16"/>
          <w:color w:val="auto"/>
        </w:rPr>
        <w:t>The rating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6"/>
          <w:szCs w:val="16"/>
          <w:color w:val="auto"/>
        </w:rPr>
        <w:t>the Bermuda-based nonoperating holding company (NOHC) incorporates the Credicorp group’s leading position in Peru’s financial industry, business diversification, steady earnings, adequate capitalization, manageable credit risks, diverse and stable funding base, and good liquidity coverage.</w:t>
      </w:r>
    </w:p>
    <w:p>
      <w:pPr>
        <w:spacing w:after="0" w:line="12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rating on Peru influences the creditworthiness of companies in the domestic financial sector, including Credicorp. </w:t>
      </w:r>
      <w:r>
        <w:rPr>
          <w:rFonts w:ascii="Times New Roman" w:cs="Times New Roman" w:eastAsia="Times New Roman" w:hAnsi="Times New Roman"/>
          <w:sz w:val="18"/>
          <w:szCs w:val="18"/>
          <w:color w:val="auto"/>
        </w:rPr>
        <w:t>Our foreign currency sovereign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rating (BBB-/Stable/A-3) limits the group credit profile on Credicorp because we don’t think such a local entity could withstand a sovereign default scenario, given large asset exposure to the country.</w:t>
      </w:r>
    </w:p>
    <w:p>
      <w:pPr>
        <w:spacing w:after="0" w:line="337"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4"/>
          <w:szCs w:val="14"/>
          <w:color w:val="333333"/>
        </w:rPr>
        <w:t>WWW.STANDARDANDPOORS.COM/RATINGSDIRECT</w:t>
      </w:r>
      <w:r>
        <w:rPr>
          <w:sz w:val="20"/>
          <w:szCs w:val="20"/>
          <w:color w:val="auto"/>
        </w:rPr>
        <w:tab/>
      </w:r>
      <w:r>
        <w:rPr>
          <w:rFonts w:ascii="Times New Roman" w:cs="Times New Roman" w:eastAsia="Times New Roman" w:hAnsi="Times New Roman"/>
          <w:sz w:val="18"/>
          <w:szCs w:val="18"/>
          <w:color w:val="auto"/>
        </w:rPr>
        <w:t>JULY 4, 2024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 w:name="page6"/>
    <w:bookmarkEnd w:id="5"/>
    <w:p>
      <w:pPr>
        <w:ind w:left="10180"/>
        <w:spacing w:after="0"/>
        <w:rPr>
          <w:sz w:val="20"/>
          <w:szCs w:val="20"/>
          <w:color w:val="auto"/>
        </w:rPr>
      </w:pPr>
      <w:r>
        <w:rPr>
          <w:rFonts w:ascii="Times New Roman" w:cs="Times New Roman" w:eastAsia="Times New Roman" w:hAnsi="Times New Roman"/>
          <w:sz w:val="17"/>
          <w:szCs w:val="17"/>
          <w:i w:val="1"/>
          <w:iCs w:val="1"/>
          <w:color w:val="auto"/>
        </w:rPr>
        <w:t>Credicorp Ltd.</w:t>
      </w:r>
    </w:p>
    <w:p>
      <w:pPr>
        <w:spacing w:after="0" w:line="19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Credicorp’s substantial liquid assets allow it to meet its financial obligations without depending on dividend streams, which mainly come from highly regulated entities. </w:t>
      </w:r>
      <w:r>
        <w:rPr>
          <w:rFonts w:ascii="Times New Roman" w:cs="Times New Roman" w:eastAsia="Times New Roman" w:hAnsi="Times New Roman"/>
          <w:sz w:val="18"/>
          <w:szCs w:val="18"/>
          <w:color w:val="auto"/>
        </w:rPr>
        <w:t>Therefore, we believe a hypothetical suspension of dividend flow from operating subsidiaries wouldn’t compromise the NOHC’s 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honor its obligations. We expect Credicorp to have sufficient resources to repay its only debt issuance, which will come due June 2025. Its liquid assets, mainly cash and short-term investments in high-quality assets, cover its outstanding financial liabilities by 1.4x. This sound liquidity is also a cushion to cover hypothetical contingencies or capital needs at the operating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119380</wp:posOffset>
            </wp:positionV>
            <wp:extent cx="6000750" cy="3711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75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4"/>
          <w:szCs w:val="14"/>
          <w:color w:val="333333"/>
        </w:rPr>
        <w:t>WWW.STANDARDANDPOORS.COM/RATINGSDIRECT</w:t>
      </w:r>
      <w:r>
        <w:rPr>
          <w:sz w:val="20"/>
          <w:szCs w:val="20"/>
          <w:color w:val="auto"/>
        </w:rPr>
        <w:tab/>
      </w:r>
      <w:r>
        <w:rPr>
          <w:rFonts w:ascii="Times New Roman" w:cs="Times New Roman" w:eastAsia="Times New Roman" w:hAnsi="Times New Roman"/>
          <w:sz w:val="18"/>
          <w:szCs w:val="18"/>
          <w:color w:val="auto"/>
        </w:rPr>
        <w:t>JULY 4, 2024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6" w:name="page7"/>
    <w:bookmarkEnd w:id="6"/>
    <w:p>
      <w:pPr>
        <w:ind w:left="10180"/>
        <w:spacing w:after="0"/>
        <w:rPr>
          <w:sz w:val="20"/>
          <w:szCs w:val="20"/>
          <w:color w:val="auto"/>
        </w:rPr>
      </w:pPr>
      <w:r>
        <w:rPr>
          <w:rFonts w:ascii="Times New Roman" w:cs="Times New Roman" w:eastAsia="Times New Roman" w:hAnsi="Times New Roman"/>
          <w:sz w:val="17"/>
          <w:szCs w:val="17"/>
          <w:i w:val="1"/>
          <w:i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FFFFFF"/>
        </w:rPr>
        <w:t>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237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374265"/>
                    </a:xfrm>
                    <a:prstGeom prst="rect">
                      <a:avLst/>
                    </a:prstGeom>
                    <a:noFill/>
                  </pic:spPr>
                </pic:pic>
              </a:graphicData>
            </a:graphic>
          </wp:anchor>
        </w:drawing>
      </w:r>
    </w:p>
    <w:p>
      <w:pPr>
        <w:spacing w:after="0" w:line="317" w:lineRule="exact"/>
        <w:rPr>
          <w:sz w:val="20"/>
          <w:szCs w:val="20"/>
          <w:color w:val="auto"/>
        </w:rPr>
      </w:pPr>
    </w:p>
    <w:p>
      <w:pPr>
        <w:jc w:val="both"/>
        <w:ind w:left="60" w:right="60"/>
        <w:spacing w:after="0" w:line="266" w:lineRule="auto"/>
        <w:rPr>
          <w:sz w:val="20"/>
          <w:szCs w:val="20"/>
          <w:color w:val="auto"/>
        </w:rPr>
      </w:pPr>
      <w:r>
        <w:rPr>
          <w:rFonts w:ascii="Times New Roman" w:cs="Times New Roman" w:eastAsia="Times New Roman" w:hAnsi="Times New Roman"/>
          <w:sz w:val="18"/>
          <w:szCs w:val="18"/>
          <w:color w:val="auto"/>
        </w:rPr>
        <w:t>The stable rating outlook on Credicorp for the next two years reflects that on Peru, which will continue influencing the group’s credit fundamentals. Credicorp receives a substantial portion of dividends from its Peruvian operations across various financial segments. In addition, the holding company has substantial liquid assets that would ensure debt service coverage even in a scenario of low or no dividends.</w:t>
      </w:r>
    </w:p>
    <w:p>
      <w:pPr>
        <w:spacing w:after="0" w:line="284" w:lineRule="exact"/>
        <w:rPr>
          <w:sz w:val="20"/>
          <w:szCs w:val="20"/>
          <w:color w:val="auto"/>
        </w:rPr>
      </w:pPr>
    </w:p>
    <w:p>
      <w:pPr>
        <w:jc w:val="both"/>
        <w:ind w:left="60" w:right="60"/>
        <w:spacing w:after="0" w:line="282" w:lineRule="auto"/>
        <w:rPr>
          <w:sz w:val="20"/>
          <w:szCs w:val="20"/>
          <w:color w:val="auto"/>
        </w:rPr>
      </w:pPr>
      <w:r>
        <w:rPr>
          <w:rFonts w:ascii="Times New Roman" w:cs="Times New Roman" w:eastAsia="Times New Roman" w:hAnsi="Times New Roman"/>
          <w:sz w:val="18"/>
          <w:szCs w:val="18"/>
          <w:color w:val="auto"/>
        </w:rPr>
        <w:t>The stable outlook also indicates the resilience of the group’s largest subsidiary, Banco de Credito del Peru, which we don’t expect to downgrade unless its stand-alone credit profile falls below ‘bbb-’, which is unlikely.</w:t>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Downside scenario</w:t>
      </w:r>
    </w:p>
    <w:p>
      <w:pPr>
        <w:spacing w:after="0" w:line="211" w:lineRule="exact"/>
        <w:rPr>
          <w:sz w:val="20"/>
          <w:szCs w:val="20"/>
          <w:color w:val="auto"/>
        </w:rPr>
      </w:pPr>
    </w:p>
    <w:p>
      <w:pPr>
        <w:jc w:val="both"/>
        <w:ind w:left="60" w:right="60"/>
        <w:spacing w:after="0" w:line="282" w:lineRule="auto"/>
        <w:rPr>
          <w:sz w:val="20"/>
          <w:szCs w:val="20"/>
          <w:color w:val="auto"/>
        </w:rPr>
      </w:pPr>
      <w:r>
        <w:rPr>
          <w:rFonts w:ascii="Times New Roman" w:cs="Times New Roman" w:eastAsia="Times New Roman" w:hAnsi="Times New Roman"/>
          <w:sz w:val="18"/>
          <w:szCs w:val="18"/>
          <w:color w:val="auto"/>
        </w:rPr>
        <w:t>A downgrade of Peru could trigger a similar action on Credicorp. We could also lower the rating on Credicorp if its liquidity decreases and challenging business conditions significantly weaken dividends received.</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Upside scenario</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could upgrade Credicorp if we were to take a similar action on the sovereign while the group’s intrinsic credit fundamentals remain unchanged.</w:t>
      </w:r>
    </w:p>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FFFFFF"/>
        </w:rPr>
        <w:t>Outlook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CC0033"/>
        </w:rPr>
        <w:t>Key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49891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Credicorp Ltd.--Key ratios and forecasts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0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--Fiscal year ended Dec. 31 --</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0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2021a</w:t>
            </w:r>
          </w:p>
        </w:tc>
        <w:tc>
          <w:tcPr>
            <w:tcW w:w="8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2022a</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2023a</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2024f</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2025f</w:t>
            </w:r>
          </w:p>
        </w:tc>
        <w:tc>
          <w:tcPr>
            <w:tcW w:w="0" w:type="dxa"/>
            <w:vAlign w:val="bottom"/>
          </w:tcPr>
          <w:p>
            <w:pPr>
              <w:spacing w:after="0"/>
              <w:rPr>
                <w:sz w:val="1"/>
                <w:szCs w:val="1"/>
                <w:color w:val="auto"/>
              </w:rPr>
            </w:pPr>
          </w:p>
        </w:tc>
      </w:tr>
      <w:tr>
        <w:trPr>
          <w:trHeight w:val="78"/>
        </w:trPr>
        <w:tc>
          <w:tcPr>
            <w:tcW w:w="40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Growth in customer loans</w:t>
            </w: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7.2</w:t>
            </w: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0.7</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4.0-6.0</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6.0-10.0</w:t>
            </w: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Net interest income/average earning assets (NIM)</w:t>
            </w: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4.6</w:t>
            </w: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5.7</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6.2-6.6</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5.7-6.3</w:t>
            </w: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Return on average common equity</w:t>
            </w: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13.9</w:t>
            </w: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16.7</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15.8</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15.0-16.0</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13.0-15.0</w:t>
            </w: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New loan loss provisions/average customer loans</w:t>
            </w: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0.8</w:t>
            </w: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1.2</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Gross nonperforming assets/customer loans</w:t>
            </w: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3.9</w:t>
            </w: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4.1</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4.0-4.4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Risk-adjusted capital ratio</w:t>
            </w: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8.7</w:t>
            </w: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9.0</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9.7</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9.8-10.0</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9.6-10.2</w:t>
            </w:r>
          </w:p>
        </w:tc>
        <w:tc>
          <w:tcPr>
            <w:tcW w:w="0" w:type="dxa"/>
            <w:vAlign w:val="bottom"/>
          </w:tcPr>
          <w:p>
            <w:pPr>
              <w:spacing w:after="0"/>
              <w:rPr>
                <w:sz w:val="1"/>
                <w:szCs w:val="1"/>
                <w:color w:val="auto"/>
              </w:rPr>
            </w:pPr>
          </w:p>
        </w:tc>
      </w:tr>
      <w:tr>
        <w:trPr>
          <w:trHeight w:val="227"/>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figures are S&amp;P Global Ratings-adjusted. a--Actual. f--Forecast. NIM--</w:t>
            </w:r>
          </w:p>
        </w:tc>
        <w:tc>
          <w:tcPr>
            <w:tcW w:w="14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Net interest margin.</w:t>
            </w: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CC0033"/>
        </w:rPr>
        <w:t>Anchor: ‘bbb-’ For Financial Institutions Operating In Peru</w:t>
      </w:r>
    </w:p>
    <w:p>
      <w:pPr>
        <w:spacing w:after="0" w:line="23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bank criteria use our Banking Industry Country Risk Assessment’s economic risk and industry risk scores to determine a bank’s anchor, the starting point in assigning an issuer credit rating. Our anchor for a financial entity operating in Peru (where Credicorp mostly operates) is ‘bbb-’. (See “Banking Industry Country Risk Assessment: Peru,” Nov. 30, 2023.)</w:t>
      </w:r>
    </w:p>
    <w:p>
      <w:pPr>
        <w:spacing w:after="0" w:line="338"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4"/>
          <w:szCs w:val="14"/>
          <w:color w:val="333333"/>
        </w:rPr>
        <w:t>WWW.STANDARDANDPOORS.COM/RATINGSDIRECT</w:t>
      </w:r>
      <w:r>
        <w:rPr>
          <w:sz w:val="20"/>
          <w:szCs w:val="20"/>
          <w:color w:val="auto"/>
        </w:rPr>
        <w:tab/>
      </w:r>
      <w:r>
        <w:rPr>
          <w:rFonts w:ascii="Times New Roman" w:cs="Times New Roman" w:eastAsia="Times New Roman" w:hAnsi="Times New Roman"/>
          <w:sz w:val="18"/>
          <w:szCs w:val="18"/>
          <w:color w:val="auto"/>
        </w:rPr>
        <w:t>JULY 4, 2024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7" w:name="page8"/>
    <w:bookmarkEnd w:id="7"/>
    <w:p>
      <w:pPr>
        <w:ind w:left="10180"/>
        <w:spacing w:after="0"/>
        <w:rPr>
          <w:sz w:val="20"/>
          <w:szCs w:val="20"/>
          <w:color w:val="auto"/>
        </w:rPr>
      </w:pPr>
      <w:r>
        <w:rPr>
          <w:rFonts w:ascii="Times New Roman" w:cs="Times New Roman" w:eastAsia="Times New Roman" w:hAnsi="Times New Roman"/>
          <w:sz w:val="17"/>
          <w:szCs w:val="17"/>
          <w:i w:val="1"/>
          <w:iCs w:val="1"/>
          <w:color w:val="auto"/>
        </w:rPr>
        <w:t>Credicorp Ltd.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CC0033"/>
        </w:rPr>
        <w:t>Business Position: Largest Financial Group In Peru</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Credicorp’s solid business reflects its leading position in Peru’s financial sector, primarily through its largest subsidiary, Banco de Credito del Peru (BCP; BBB-/Stable/A-3), which owns MiBanco Banco de la Microempresa S.A. (BBB-/Stable/A-3). In addition, the group has presences in the insurance and pension funds industries through Pacifico Seguros and Prima AFP (both not rated). The company also has asset management and wealth management operations in Peru and other countries in the region through Credicorp Capital (not rated), as well as smaller banking operations including ASB Bank Corp. (BB+/Stable/B) and Banco de Credito de Bolivia (not rated).</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BCP has made up 75%-80% of Credicorp’s earnings and dividends in recent years, while insurance and pension fund business have made up 10%-20% and banking operations in other jurisdictions and Credicorp Capital the rest. BCP, which has diversified operations across all retail and wholesale segments, is the leading bank in Peru, with a lending market share of about 37% including its microlender subsidiary, MiBanco. These factors confer stability to the bank’s business and dividend flows to Credicorp.</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other businesses also have strong market presences:</w:t>
      </w:r>
    </w:p>
    <w:p>
      <w:pPr>
        <w:spacing w:after="0" w:line="212" w:lineRule="exact"/>
        <w:rPr>
          <w:sz w:val="20"/>
          <w:szCs w:val="20"/>
          <w:color w:val="auto"/>
        </w:rPr>
      </w:pPr>
    </w:p>
    <w:p>
      <w:pPr>
        <w:ind w:left="220" w:right="20" w:hanging="212"/>
        <w:spacing w:after="0" w:line="282"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Pacifico Seguros is the second-largest insurance player in Peru, with a leading position in the health industry (43% of premiums) and the second position in the life (27% of premiums) and property/casualty segments (21% of premiums).</w:t>
      </w:r>
    </w:p>
    <w:p>
      <w:pPr>
        <w:spacing w:after="0" w:line="53"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 AFP is the second-largest player in Peru’s pension industry, with a 30% share in assets under management.</w:t>
      </w:r>
    </w:p>
    <w:p>
      <w:pPr>
        <w:spacing w:after="0" w:line="130" w:lineRule="exact"/>
        <w:rPr>
          <w:rFonts w:ascii="Times New Roman" w:cs="Times New Roman" w:eastAsia="Times New Roman" w:hAnsi="Times New Roman"/>
          <w:sz w:val="18"/>
          <w:szCs w:val="18"/>
          <w:color w:val="auto"/>
        </w:rPr>
      </w:pPr>
    </w:p>
    <w:p>
      <w:pPr>
        <w:ind w:left="220" w:right="460" w:hanging="212"/>
        <w:spacing w:after="0" w:line="282"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Credicorp Capital has a wide presence in the asset management and wealth management segments, with a leading position in Peru’s brokerage and mutual funds market. It offers alternative investments, offshore platforms, and structured products.</w:t>
      </w:r>
    </w:p>
    <w:p>
      <w:pPr>
        <w:spacing w:after="0" w:line="53"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group’s foreign operations, the main operation is BCP Bolivia, which is the sixth-largest bank in the country.</w:t>
      </w:r>
    </w:p>
    <w:p>
      <w:pPr>
        <w:spacing w:after="0" w:line="2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group continues to invest in digital initiatives and fintech ventures across the Andean region. These have been embedded into different business units to complement product offerings and support Credicorp’s competitiveness. For example, Yape, a payment platform with 15 million total users (and 11.5 million active users), has been increasing its functionalities and supplementing the group’s banking and insurance products.</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ongoing digital initiatives in domains such as payments, neobanks, insurtech, and others complement current businesses. We expect investment flows to continue in the coming years, supporting the group’s adaptability and competitive position amid rapid disruptive changes in the financial industry.</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Credicorp’s results and dividend flows have recovered to pre-pandemic levels thanks to the increase in net interest margins amid higher interest rates, which has supported higher income from both the loan and investment portfolios. Better insurance underwriting results have also boosted earnings in recent years.</w:t>
      </w:r>
    </w:p>
    <w:p>
      <w:pPr>
        <w:spacing w:after="0" w:line="1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BCP’s funding structure, heavily composed of low-cost transactional deposits, has helped contain funding costs amid the high interest rates. On the other hand, the rising cost of risk--due to increased credit risks amid challenging economic conditions--somewhat limited earnings last year.</w:t>
      </w:r>
    </w:p>
    <w:p>
      <w:pPr>
        <w:spacing w:after="0" w:line="324"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4"/>
          <w:szCs w:val="14"/>
          <w:color w:val="333333"/>
        </w:rPr>
        <w:t>WWW.STANDARDANDPOORS.COM/RATINGSDIRECT</w:t>
      </w:r>
      <w:r>
        <w:rPr>
          <w:sz w:val="20"/>
          <w:szCs w:val="20"/>
          <w:color w:val="auto"/>
        </w:rPr>
        <w:tab/>
      </w:r>
      <w:r>
        <w:rPr>
          <w:rFonts w:ascii="Times New Roman" w:cs="Times New Roman" w:eastAsia="Times New Roman" w:hAnsi="Times New Roman"/>
          <w:sz w:val="18"/>
          <w:szCs w:val="18"/>
          <w:color w:val="auto"/>
        </w:rPr>
        <w:t>JULY 4, 2024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8" w:name="page9"/>
    <w:bookmarkEnd w:id="8"/>
    <w:p>
      <w:pPr>
        <w:ind w:left="10180"/>
        <w:spacing w:after="0"/>
        <w:rPr>
          <w:sz w:val="20"/>
          <w:szCs w:val="20"/>
          <w:color w:val="auto"/>
        </w:rPr>
      </w:pPr>
      <w:r>
        <w:rPr>
          <w:rFonts w:ascii="Times New Roman" w:cs="Times New Roman" w:eastAsia="Times New Roman" w:hAnsi="Times New Roman"/>
          <w:sz w:val="17"/>
          <w:szCs w:val="17"/>
          <w:i w:val="1"/>
          <w:iCs w:val="1"/>
          <w:color w:val="auto"/>
        </w:rPr>
        <w:t>Credicorp Ltd.</w:t>
      </w:r>
    </w:p>
    <w:p>
      <w:pPr>
        <w:spacing w:after="0" w:line="18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Credicorp’s return on average equity dipped to 15.8% in 2023 from 16.7% in 2022. We expect good profitability to continue in 2024, mainly because interest rates should remain relatively high during the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CC0033"/>
        </w:rPr>
        <w:t>Capital And Earnings: Adequate Capitalization To Support Business Strategy</w:t>
      </w:r>
    </w:p>
    <w:p>
      <w:pPr>
        <w:spacing w:after="0" w:line="2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consider Credicorp’s capitalization metrics commensurate with its business strategy. We expect its risk-adjusted capital ratio (calculated according to our methodology) to be roughly 9.9% in 2024-2025, slightly above the 9.7% at the end of 2023, thanks to its main operating subsidiaries’ improving capacity to build earnings. Good capital buffers would allow the group to weather a potential deterioration of the Peruvian banking industry.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base case considers the following:</w:t>
      </w:r>
    </w:p>
    <w:p>
      <w:pPr>
        <w:spacing w:after="0" w:line="225"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Peru’s GDP growth of about 2.7% in 2024 and 3.0% in 2025.</w:t>
      </w:r>
    </w:p>
    <w:p>
      <w:pPr>
        <w:spacing w:after="0" w:line="11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monetary policy rate of 5.0% in 2024 and 4.0% in 2025.</w:t>
      </w:r>
    </w:p>
    <w:p>
      <w:pPr>
        <w:spacing w:after="0" w:line="11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loan portfolio growth of about 5% in 2024 and 8% in 2025, with focus on small and midsize enterprise and consumer lending.</w:t>
      </w:r>
    </w:p>
    <w:p>
      <w:pPr>
        <w:spacing w:after="0" w:line="11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Resilient net interest margins in 2024 but somewhat lower ones in 2025.</w:t>
      </w:r>
    </w:p>
    <w:p>
      <w:pPr>
        <w:spacing w:after="0" w:line="15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risk of about 2%-2.5% of total loans amid lower credit risks.</w:t>
      </w:r>
    </w:p>
    <w:p>
      <w:pPr>
        <w:spacing w:after="0" w:line="11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loan ratios above pre-pandemic levels, though declining somewhat amid better macroeconomic prospects.</w:t>
      </w:r>
    </w:p>
    <w:p>
      <w:pPr>
        <w:spacing w:after="0" w:line="11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 in digital initiatives.</w:t>
      </w:r>
    </w:p>
    <w:p>
      <w:pPr>
        <w:spacing w:after="0" w:line="13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distributions from Credicorp to its shareholders of 50%-70% of results but with flexibility to reduce them if needed, as in 2021.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has good regulatory capital metrics, with total regulatory capital at 1.3x the minimum requirement.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CC0033"/>
        </w:rPr>
        <w:t>Risk Position: Diversified Business Mix</w:t>
      </w:r>
    </w:p>
    <w:p>
      <w:pPr>
        <w:spacing w:after="0" w:line="21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Credicorp has good business diversification, conservative growth strategies, and manageable credit risks, in our view. Meanwhile, BCP’s banking operations focus on lending, with no relevant concentrations among economic sectors or customers.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Although dollarization in the Peruvian financial system has fallen in the past decade thanks to the central bank’s measures, it remains high at about 30% of total loans, similar to Credicorp’s 35%. And as in the whole Peruvian banking industry, Credicorp’s asset quality remains strained due to the challenging macroeconomic scenario last year in Peru, stemming from volatile political conditions and adverse climate events that particularly hurt the quality of microcredits, loans to small and midsize enterprises, and consumer credits in the middle- to low-income segments.</w:t>
      </w:r>
    </w:p>
    <w:p>
      <w:pPr>
        <w:spacing w:after="0" w:line="342"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4"/>
          <w:szCs w:val="14"/>
          <w:color w:val="333333"/>
        </w:rPr>
        <w:t>WWW.STANDARDANDPOORS.COM/RATINGSDIRECT</w:t>
      </w:r>
      <w:r>
        <w:rPr>
          <w:sz w:val="20"/>
          <w:szCs w:val="20"/>
          <w:color w:val="auto"/>
        </w:rPr>
        <w:tab/>
      </w:r>
      <w:r>
        <w:rPr>
          <w:rFonts w:ascii="Times New Roman" w:cs="Times New Roman" w:eastAsia="Times New Roman" w:hAnsi="Times New Roman"/>
          <w:sz w:val="18"/>
          <w:szCs w:val="18"/>
          <w:color w:val="auto"/>
        </w:rPr>
        <w:t>JULY 4, 2024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9" w:name="page10"/>
    <w:bookmarkEnd w:id="9"/>
    <w:p>
      <w:pPr>
        <w:ind w:left="10180"/>
        <w:spacing w:after="0"/>
        <w:rPr>
          <w:sz w:val="20"/>
          <w:szCs w:val="20"/>
          <w:color w:val="auto"/>
        </w:rPr>
      </w:pPr>
      <w:r>
        <w:rPr>
          <w:rFonts w:ascii="Times New Roman" w:cs="Times New Roman" w:eastAsia="Times New Roman" w:hAnsi="Times New Roman"/>
          <w:sz w:val="17"/>
          <w:szCs w:val="17"/>
          <w:i w:val="1"/>
          <w:iCs w:val="1"/>
          <w:color w:val="auto"/>
        </w:rPr>
        <w:t>Credicorp Ltd.</w:t>
      </w:r>
    </w:p>
    <w:p>
      <w:pPr>
        <w:spacing w:after="0" w:line="18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base-case scenario assumes better domestic economic conditions and bank subsidiaries’ recent improvements to their new loan originations will help keep asset quality manageable in 2024-2025. However, we will monitor latent credit risks that could arise from continued political uncertainty and climate events in Peru.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CC0033"/>
        </w:rPr>
        <w:t>Funding And Liquidity: Stable Funding Base And Healthy Liquidity</w:t>
      </w:r>
    </w:p>
    <w:p>
      <w:pPr>
        <w:spacing w:after="0" w:line="2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consider the group’s funding structure and liquidity adequate, in line with our view of BCP’s funding and liquidity. Credicorp’s stable funding ratio has averaged 113% in the past three years, and broad liquid assets to short-term wholesale funding averaged 2.4x (according to S&amp;P Global Ratings’ calculations).</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Customer deposits make up roughly 80% of Credicorp’s consolidated funding base, and half are retail deposits, which we deem more stable during times of market distress. The funding base also includes interbank credit lines, market debt, and central bank repurchase agreements.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NOHC’s substantial liquidity support its creditworthiness. We expect the company will maintain high liquid unencumbered assets to meet its financial obligations on its own. In 2020, Credicorp issued $500 million, which matures June 2025, to enhance the cash cushion for potential contingencies. Its double leverage remains adequate at about 100%.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CC0033"/>
        </w:rPr>
        <w:t>Support: No Uplift To The Group Credit Profile</w:t>
      </w:r>
    </w:p>
    <w:p>
      <w:pPr>
        <w:spacing w:after="0" w:line="2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Credicorp is 12.2% owned by the Romero family (based on floating shares), and the rest is held by private and institutional investors. Because of this, we base our rating on Credicorp on its own credit quality, excluding parental support.</w:t>
      </w:r>
    </w:p>
    <w:p>
      <w:pPr>
        <w:spacing w:after="0" w:line="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Despite the relevance of banking operations, our rating on Credicorp doesn’t include potential extraordinary government support. Although BCP would receive support, given its high systemic importance in Peru, we don’t expect such support would be extended to the holding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CC0033"/>
        </w:rPr>
        <w:t>Environmental, Social, And Governance</w:t>
      </w:r>
    </w:p>
    <w:p>
      <w:pPr>
        <w:spacing w:after="0" w:line="2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Environmental, social, and governance (ESG) factors have no material influence on our credit rating analysis of Credicorp, as with industry and domestic peers. Peru is somewhat exposed to natural disasters such as earthquakes, volcanic activity, landslides, and the El Niño climate pattern. However, Credicorp, like other domestic financial entities, has been able to keep credit and operating losses moderate during such conditions.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group has low exposure to the agricultural sector, which is vulnerable to these conditions. However, the Peruvian economy depends to some extent on the commodity metals sector, which domestic banks generally don’t directly finance. Still, banks are indirectly exposed to the agricultural and metals sectors through the whole supply chain (suppliers, subcontractors, and employees who are also retail clients).</w:t>
      </w:r>
    </w:p>
    <w:p>
      <w:pPr>
        <w:spacing w:after="0" w:line="338"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4"/>
          <w:szCs w:val="14"/>
          <w:color w:val="333333"/>
        </w:rPr>
        <w:t>WWW.STANDARDANDPOORS.COM/RATINGSDIRECT</w:t>
      </w:r>
      <w:r>
        <w:rPr>
          <w:sz w:val="20"/>
          <w:szCs w:val="20"/>
          <w:color w:val="auto"/>
        </w:rPr>
        <w:tab/>
      </w:r>
      <w:r>
        <w:rPr>
          <w:rFonts w:ascii="Times New Roman" w:cs="Times New Roman" w:eastAsia="Times New Roman" w:hAnsi="Times New Roman"/>
          <w:sz w:val="18"/>
          <w:szCs w:val="18"/>
          <w:color w:val="auto"/>
        </w:rPr>
        <w:t>JULY 4, 2024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0" w:name="page11"/>
    <w:bookmarkEnd w:id="10"/>
    <w:p>
      <w:pPr>
        <w:ind w:left="10180"/>
        <w:spacing w:after="0"/>
        <w:rPr>
          <w:sz w:val="20"/>
          <w:szCs w:val="20"/>
          <w:color w:val="auto"/>
        </w:rPr>
      </w:pPr>
      <w:r>
        <w:rPr>
          <w:rFonts w:ascii="Times New Roman" w:cs="Times New Roman" w:eastAsia="Times New Roman" w:hAnsi="Times New Roman"/>
          <w:sz w:val="17"/>
          <w:szCs w:val="17"/>
          <w:i w:val="1"/>
          <w:iCs w:val="1"/>
          <w:color w:val="auto"/>
        </w:rPr>
        <w:t>Credicorp Ltd.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CC0033"/>
        </w:rPr>
        <w:t>Key Statistics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91731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17315" cy="171450"/>
                    </a:xfrm>
                    <a:prstGeom prst="rect">
                      <a:avLst/>
                    </a:prstGeom>
                    <a:noFill/>
                  </pic:spPr>
                </pic:pic>
              </a:graphicData>
            </a:graphic>
          </wp:anchor>
        </w:drawing>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FFFFFF"/>
          <w:shd w:val="clear" w:color="auto" w:fill="CC0033"/>
        </w:rPr>
        <w:t>Credicorp Ltd.--Key figures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00" w:type="dxa"/>
            <w:vAlign w:val="bottom"/>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 Dec. 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6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(Mil. PEN)</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Adjusted assets</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236,216.8</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233,854.2</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242,111.9</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234,766.9</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185,324.4</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Customer loans (gross)</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144,976.1</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148,626.4</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147,597.4</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137,659.9</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115,609.7</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Adjusted common equity</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27,628.8</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25,774.6</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21,966.6</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17,292.3</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19,597.1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19,732.9</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17,288.0</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14,285.1</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13,335.7</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14,487.8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Noninterest expenses</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9,262.3</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8,620.6</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7,740.1</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7,127.0</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6,666.5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Core earnings</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4,959.9</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4,745.4</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3,671.8</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398.1</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4,352.3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PEN--PEN-Peruvian nuevo sol.</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Table 2</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720" w:type="dxa"/>
            <w:vAlign w:val="bottom"/>
            <w:tcBorders>
              <w:bottom w:val="single" w:sz="8" w:color="CC0033"/>
            </w:tcBorders>
            <w:gridSpan w:val="2"/>
            <w:shd w:val="clear" w:color="auto" w:fill="CC0033"/>
          </w:tcPr>
          <w:p>
            <w:pPr>
              <w:ind w:left="80"/>
              <w:spacing w:after="0"/>
              <w:rPr>
                <w:sz w:val="20"/>
                <w:szCs w:val="20"/>
                <w:color w:val="auto"/>
              </w:rPr>
            </w:pPr>
            <w:r>
              <w:rPr>
                <w:rFonts w:ascii="Times New Roman" w:cs="Times New Roman" w:eastAsia="Times New Roman" w:hAnsi="Times New Roman"/>
                <w:sz w:val="18"/>
                <w:szCs w:val="18"/>
                <w:b w:val="1"/>
                <w:bCs w:val="1"/>
                <w:color w:val="FFFFFF"/>
                <w:shd w:val="clear" w:color="auto" w:fill="CC0033"/>
              </w:rPr>
              <w:t>Credicorp Ltd.--Business position</w:t>
            </w:r>
          </w:p>
        </w:tc>
        <w:tc>
          <w:tcPr>
            <w:tcW w:w="680" w:type="dxa"/>
            <w:vAlign w:val="bottom"/>
            <w:tcBorders>
              <w:bottom w:val="single" w:sz="8" w:color="CC0033"/>
            </w:tcBorders>
            <w:shd w:val="clear" w:color="auto" w:fill="CC0033"/>
          </w:tcPr>
          <w:p>
            <w:pPr>
              <w:spacing w:after="0"/>
              <w:rPr>
                <w:sz w:val="22"/>
                <w:szCs w:val="22"/>
                <w:color w:val="auto"/>
              </w:rPr>
            </w:pPr>
          </w:p>
        </w:tc>
        <w:tc>
          <w:tcPr>
            <w:tcW w:w="560" w:type="dxa"/>
            <w:vAlign w:val="bottom"/>
            <w:tcBorders>
              <w:bottom w:val="single" w:sz="8" w:color="CC0033"/>
            </w:tcBorders>
            <w:shd w:val="clear" w:color="auto" w:fill="CC0033"/>
          </w:tcPr>
          <w:p>
            <w:pPr>
              <w:spacing w:after="0"/>
              <w:rPr>
                <w:sz w:val="22"/>
                <w:szCs w:val="22"/>
                <w:color w:val="auto"/>
              </w:rPr>
            </w:pPr>
          </w:p>
        </w:tc>
        <w:tc>
          <w:tcPr>
            <w:tcW w:w="140" w:type="dxa"/>
            <w:vAlign w:val="bottom"/>
            <w:tcBorders>
              <w:bottom w:val="single" w:sz="8" w:color="CC0033"/>
            </w:tcBorders>
            <w:shd w:val="clear" w:color="auto" w:fill="CC0033"/>
          </w:tcPr>
          <w:p>
            <w:pPr>
              <w:spacing w:after="0"/>
              <w:rPr>
                <w:sz w:val="22"/>
                <w:szCs w:val="22"/>
                <w:color w:val="auto"/>
              </w:rPr>
            </w:pPr>
          </w:p>
        </w:tc>
        <w:tc>
          <w:tcPr>
            <w:tcW w:w="560" w:type="dxa"/>
            <w:vAlign w:val="bottom"/>
            <w:tcBorders>
              <w:bottom w:val="single" w:sz="8" w:color="CC0033"/>
            </w:tcBorders>
            <w:shd w:val="clear" w:color="auto" w:fill="CC0033"/>
          </w:tcPr>
          <w:p>
            <w:pPr>
              <w:spacing w:after="0"/>
              <w:rPr>
                <w:sz w:val="22"/>
                <w:szCs w:val="22"/>
                <w:color w:val="auto"/>
              </w:rPr>
            </w:pPr>
          </w:p>
        </w:tc>
        <w:tc>
          <w:tcPr>
            <w:tcW w:w="80" w:type="dxa"/>
            <w:vAlign w:val="bottom"/>
            <w:tcBorders>
              <w:bottom w:val="single" w:sz="8" w:color="CC0033"/>
            </w:tcBorders>
            <w:shd w:val="clear" w:color="auto" w:fill="CC0033"/>
          </w:tcPr>
          <w:p>
            <w:pPr>
              <w:spacing w:after="0"/>
              <w:rPr>
                <w:sz w:val="22"/>
                <w:szCs w:val="22"/>
                <w:color w:val="auto"/>
              </w:rPr>
            </w:pPr>
          </w:p>
        </w:tc>
        <w:tc>
          <w:tcPr>
            <w:tcW w:w="560" w:type="dxa"/>
            <w:vAlign w:val="bottom"/>
            <w:tcBorders>
              <w:bottom w:val="single" w:sz="8" w:color="CC0033"/>
            </w:tcBorders>
            <w:shd w:val="clear" w:color="auto" w:fill="CC0033"/>
          </w:tcPr>
          <w:p>
            <w:pPr>
              <w:spacing w:after="0"/>
              <w:rPr>
                <w:sz w:val="22"/>
                <w:szCs w:val="22"/>
                <w:color w:val="auto"/>
              </w:rPr>
            </w:pPr>
          </w:p>
        </w:tc>
        <w:tc>
          <w:tcPr>
            <w:tcW w:w="220" w:type="dxa"/>
            <w:vAlign w:val="bottom"/>
            <w:tcBorders>
              <w:bottom w:val="single" w:sz="8" w:color="CC0033"/>
            </w:tcBorders>
            <w:shd w:val="clear" w:color="auto" w:fill="CC0033"/>
          </w:tcPr>
          <w:p>
            <w:pPr>
              <w:spacing w:after="0"/>
              <w:rPr>
                <w:sz w:val="22"/>
                <w:szCs w:val="22"/>
                <w:color w:val="auto"/>
              </w:rPr>
            </w:pPr>
          </w:p>
        </w:tc>
        <w:tc>
          <w:tcPr>
            <w:tcW w:w="120" w:type="dxa"/>
            <w:vAlign w:val="bottom"/>
            <w:tcBorders>
              <w:bottom w:val="single" w:sz="8" w:color="CC0033"/>
            </w:tcBorders>
            <w:shd w:val="clear" w:color="auto" w:fill="CC0033"/>
          </w:tcPr>
          <w:p>
            <w:pPr>
              <w:spacing w:after="0"/>
              <w:rPr>
                <w:sz w:val="22"/>
                <w:szCs w:val="22"/>
                <w:color w:val="auto"/>
              </w:rPr>
            </w:pPr>
          </w:p>
        </w:tc>
        <w:tc>
          <w:tcPr>
            <w:tcW w:w="320" w:type="dxa"/>
            <w:vAlign w:val="bottom"/>
            <w:tcBorders>
              <w:bottom w:val="single" w:sz="8" w:color="CC0033"/>
            </w:tcBorders>
            <w:shd w:val="clear" w:color="auto" w:fill="CC0033"/>
          </w:tcPr>
          <w:p>
            <w:pPr>
              <w:spacing w:after="0"/>
              <w:rPr>
                <w:sz w:val="22"/>
                <w:szCs w:val="22"/>
                <w:color w:val="auto"/>
              </w:rPr>
            </w:pPr>
          </w:p>
        </w:tc>
        <w:tc>
          <w:tcPr>
            <w:tcW w:w="220" w:type="dxa"/>
            <w:vAlign w:val="bottom"/>
            <w:tcBorders>
              <w:bottom w:val="single" w:sz="8" w:color="CC0033"/>
            </w:tcBorders>
            <w:shd w:val="clear" w:color="auto" w:fill="CC0033"/>
          </w:tcPr>
          <w:p>
            <w:pPr>
              <w:spacing w:after="0"/>
              <w:rPr>
                <w:sz w:val="22"/>
                <w:szCs w:val="22"/>
                <w:color w:val="auto"/>
              </w:rPr>
            </w:pPr>
          </w:p>
        </w:tc>
        <w:tc>
          <w:tcPr>
            <w:tcW w:w="460" w:type="dxa"/>
            <w:vAlign w:val="bottom"/>
            <w:tcBorders>
              <w:bottom w:val="single" w:sz="8" w:color="CC0033"/>
            </w:tcBorders>
            <w:shd w:val="clear" w:color="auto" w:fill="CC0033"/>
          </w:tcPr>
          <w:p>
            <w:pPr>
              <w:spacing w:after="0"/>
              <w:rPr>
                <w:sz w:val="22"/>
                <w:szCs w:val="22"/>
                <w:color w:val="auto"/>
              </w:rPr>
            </w:pPr>
          </w:p>
        </w:tc>
        <w:tc>
          <w:tcPr>
            <w:tcW w:w="100" w:type="dxa"/>
            <w:vAlign w:val="bottom"/>
            <w:tcBorders>
              <w:bottom w:val="single" w:sz="8" w:color="CC0033"/>
            </w:tcBorders>
            <w:shd w:val="clear" w:color="auto" w:fill="CC0033"/>
          </w:tcPr>
          <w:p>
            <w:pPr>
              <w:spacing w:after="0"/>
              <w:rPr>
                <w:sz w:val="22"/>
                <w:szCs w:val="22"/>
                <w:color w:val="auto"/>
              </w:rPr>
            </w:pPr>
          </w:p>
        </w:tc>
        <w:tc>
          <w:tcPr>
            <w:tcW w:w="540" w:type="dxa"/>
            <w:vAlign w:val="bottom"/>
            <w:tcBorders>
              <w:bottom w:val="single" w:sz="8" w:color="CC0033"/>
            </w:tcBorders>
            <w:shd w:val="clear" w:color="auto" w:fill="CC0033"/>
          </w:tcPr>
          <w:p>
            <w:pPr>
              <w:spacing w:after="0"/>
              <w:rPr>
                <w:sz w:val="22"/>
                <w:szCs w:val="22"/>
                <w:color w:val="auto"/>
              </w:rPr>
            </w:pPr>
          </w:p>
        </w:tc>
        <w:tc>
          <w:tcPr>
            <w:tcW w:w="580" w:type="dxa"/>
            <w:vAlign w:val="bottom"/>
            <w:tcBorders>
              <w:bottom w:val="single" w:sz="8" w:color="CC0033"/>
            </w:tcBorders>
            <w:shd w:val="clear" w:color="auto" w:fill="CC0033"/>
          </w:tcPr>
          <w:p>
            <w:pPr>
              <w:spacing w:after="0"/>
              <w:rPr>
                <w:sz w:val="22"/>
                <w:szCs w:val="22"/>
                <w:color w:val="auto"/>
              </w:rPr>
            </w:pP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 31--</w:t>
            </w:r>
          </w:p>
        </w:tc>
        <w:tc>
          <w:tcPr>
            <w:tcW w:w="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6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Total revenues from business line (currency in millions)</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19,732.9</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17,288.0</w:t>
            </w:r>
          </w:p>
        </w:tc>
        <w:tc>
          <w:tcPr>
            <w:tcW w:w="6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14,285.1</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13,335.7</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14,487.8</w:t>
            </w: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Commercial &amp; retail banking/total revenues from business line</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84.4</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83.1</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Corporate finance/total revenues from business line</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Insurance activities/total revenues from business line</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8.5</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Asset management/total revenues from business line</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Investment banking/total revenues from business line</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Return on average common equity</w:t>
            </w: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13.9</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Table 3</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400" w:type="dxa"/>
            <w:vAlign w:val="bottom"/>
            <w:tcBorders>
              <w:bottom w:val="single" w:sz="8" w:color="CC0033"/>
            </w:tcBorders>
            <w:gridSpan w:val="3"/>
            <w:shd w:val="clear" w:color="auto" w:fill="CC0033"/>
          </w:tcPr>
          <w:p>
            <w:pPr>
              <w:ind w:left="80"/>
              <w:spacing w:after="0"/>
              <w:rPr>
                <w:sz w:val="20"/>
                <w:szCs w:val="20"/>
                <w:color w:val="auto"/>
              </w:rPr>
            </w:pPr>
            <w:r>
              <w:rPr>
                <w:rFonts w:ascii="Times New Roman" w:cs="Times New Roman" w:eastAsia="Times New Roman" w:hAnsi="Times New Roman"/>
                <w:sz w:val="18"/>
                <w:szCs w:val="18"/>
                <w:b w:val="1"/>
                <w:bCs w:val="1"/>
                <w:color w:val="FFFFFF"/>
                <w:shd w:val="clear" w:color="auto" w:fill="CC0033"/>
              </w:rPr>
              <w:t>Credicorp Ltd.--Capital and earnings</w:t>
            </w:r>
          </w:p>
        </w:tc>
        <w:tc>
          <w:tcPr>
            <w:tcW w:w="560" w:type="dxa"/>
            <w:vAlign w:val="bottom"/>
            <w:tcBorders>
              <w:bottom w:val="single" w:sz="8" w:color="CC0033"/>
            </w:tcBorders>
            <w:shd w:val="clear" w:color="auto" w:fill="CC0033"/>
          </w:tcPr>
          <w:p>
            <w:pPr>
              <w:spacing w:after="0"/>
              <w:rPr>
                <w:sz w:val="22"/>
                <w:szCs w:val="22"/>
                <w:color w:val="auto"/>
              </w:rPr>
            </w:pPr>
          </w:p>
        </w:tc>
        <w:tc>
          <w:tcPr>
            <w:tcW w:w="140" w:type="dxa"/>
            <w:vAlign w:val="bottom"/>
            <w:tcBorders>
              <w:bottom w:val="single" w:sz="8" w:color="CC0033"/>
            </w:tcBorders>
            <w:shd w:val="clear" w:color="auto" w:fill="CC0033"/>
          </w:tcPr>
          <w:p>
            <w:pPr>
              <w:spacing w:after="0"/>
              <w:rPr>
                <w:sz w:val="22"/>
                <w:szCs w:val="22"/>
                <w:color w:val="auto"/>
              </w:rPr>
            </w:pPr>
          </w:p>
        </w:tc>
        <w:tc>
          <w:tcPr>
            <w:tcW w:w="560" w:type="dxa"/>
            <w:vAlign w:val="bottom"/>
            <w:tcBorders>
              <w:bottom w:val="single" w:sz="8" w:color="CC0033"/>
            </w:tcBorders>
            <w:shd w:val="clear" w:color="auto" w:fill="CC0033"/>
          </w:tcPr>
          <w:p>
            <w:pPr>
              <w:spacing w:after="0"/>
              <w:rPr>
                <w:sz w:val="22"/>
                <w:szCs w:val="22"/>
                <w:color w:val="auto"/>
              </w:rPr>
            </w:pPr>
          </w:p>
        </w:tc>
        <w:tc>
          <w:tcPr>
            <w:tcW w:w="80" w:type="dxa"/>
            <w:vAlign w:val="bottom"/>
            <w:tcBorders>
              <w:bottom w:val="single" w:sz="8" w:color="CC0033"/>
            </w:tcBorders>
            <w:shd w:val="clear" w:color="auto" w:fill="CC0033"/>
          </w:tcPr>
          <w:p>
            <w:pPr>
              <w:spacing w:after="0"/>
              <w:rPr>
                <w:sz w:val="22"/>
                <w:szCs w:val="22"/>
                <w:color w:val="auto"/>
              </w:rPr>
            </w:pPr>
          </w:p>
        </w:tc>
        <w:tc>
          <w:tcPr>
            <w:tcW w:w="560" w:type="dxa"/>
            <w:vAlign w:val="bottom"/>
            <w:tcBorders>
              <w:bottom w:val="single" w:sz="8" w:color="CC0033"/>
            </w:tcBorders>
            <w:shd w:val="clear" w:color="auto" w:fill="CC0033"/>
          </w:tcPr>
          <w:p>
            <w:pPr>
              <w:spacing w:after="0"/>
              <w:rPr>
                <w:sz w:val="22"/>
                <w:szCs w:val="22"/>
                <w:color w:val="auto"/>
              </w:rPr>
            </w:pPr>
          </w:p>
        </w:tc>
        <w:tc>
          <w:tcPr>
            <w:tcW w:w="220" w:type="dxa"/>
            <w:vAlign w:val="bottom"/>
            <w:tcBorders>
              <w:bottom w:val="single" w:sz="8" w:color="CC0033"/>
            </w:tcBorders>
            <w:shd w:val="clear" w:color="auto" w:fill="CC0033"/>
          </w:tcPr>
          <w:p>
            <w:pPr>
              <w:spacing w:after="0"/>
              <w:rPr>
                <w:sz w:val="22"/>
                <w:szCs w:val="22"/>
                <w:color w:val="auto"/>
              </w:rPr>
            </w:pPr>
          </w:p>
        </w:tc>
        <w:tc>
          <w:tcPr>
            <w:tcW w:w="120" w:type="dxa"/>
            <w:vAlign w:val="bottom"/>
            <w:tcBorders>
              <w:bottom w:val="single" w:sz="8" w:color="CC0033"/>
            </w:tcBorders>
            <w:shd w:val="clear" w:color="auto" w:fill="CC0033"/>
          </w:tcPr>
          <w:p>
            <w:pPr>
              <w:spacing w:after="0"/>
              <w:rPr>
                <w:sz w:val="22"/>
                <w:szCs w:val="22"/>
                <w:color w:val="auto"/>
              </w:rPr>
            </w:pPr>
          </w:p>
        </w:tc>
        <w:tc>
          <w:tcPr>
            <w:tcW w:w="320" w:type="dxa"/>
            <w:vAlign w:val="bottom"/>
            <w:tcBorders>
              <w:bottom w:val="single" w:sz="8" w:color="CC0033"/>
            </w:tcBorders>
            <w:shd w:val="clear" w:color="auto" w:fill="CC0033"/>
          </w:tcPr>
          <w:p>
            <w:pPr>
              <w:spacing w:after="0"/>
              <w:rPr>
                <w:sz w:val="22"/>
                <w:szCs w:val="22"/>
                <w:color w:val="auto"/>
              </w:rPr>
            </w:pPr>
          </w:p>
        </w:tc>
        <w:tc>
          <w:tcPr>
            <w:tcW w:w="220" w:type="dxa"/>
            <w:vAlign w:val="bottom"/>
            <w:tcBorders>
              <w:bottom w:val="single" w:sz="8" w:color="CC0033"/>
            </w:tcBorders>
            <w:shd w:val="clear" w:color="auto" w:fill="CC0033"/>
          </w:tcPr>
          <w:p>
            <w:pPr>
              <w:spacing w:after="0"/>
              <w:rPr>
                <w:sz w:val="22"/>
                <w:szCs w:val="22"/>
                <w:color w:val="auto"/>
              </w:rPr>
            </w:pPr>
          </w:p>
        </w:tc>
        <w:tc>
          <w:tcPr>
            <w:tcW w:w="460" w:type="dxa"/>
            <w:vAlign w:val="bottom"/>
            <w:tcBorders>
              <w:bottom w:val="single" w:sz="8" w:color="CC0033"/>
            </w:tcBorders>
            <w:shd w:val="clear" w:color="auto" w:fill="CC0033"/>
          </w:tcPr>
          <w:p>
            <w:pPr>
              <w:spacing w:after="0"/>
              <w:rPr>
                <w:sz w:val="22"/>
                <w:szCs w:val="22"/>
                <w:color w:val="auto"/>
              </w:rPr>
            </w:pPr>
          </w:p>
        </w:tc>
        <w:tc>
          <w:tcPr>
            <w:tcW w:w="100" w:type="dxa"/>
            <w:vAlign w:val="bottom"/>
            <w:tcBorders>
              <w:bottom w:val="single" w:sz="8" w:color="CC0033"/>
            </w:tcBorders>
            <w:shd w:val="clear" w:color="auto" w:fill="CC0033"/>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 ended Dec. 31--</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6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Adjusted common equity/total adjusted capital</w:t>
            </w: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100.0</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5"/>
              </w:rPr>
              <w:t>100.0</w:t>
            </w: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Net interest income/operating revenues</w:t>
            </w: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67.9</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66.6</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Fee income/operating revenues</w:t>
            </w: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21.1</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Market-sensitive income/operating revenues</w:t>
            </w: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6.7</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Cost to income ratio</w:t>
            </w: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46.9</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49.9</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Preprovision operating income/average assets</w:t>
            </w: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3.6</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Core earnings/average managed assets</w:t>
            </w: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2.0</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8"/>
        </w:trPr>
        <w:tc>
          <w:tcPr>
            <w:tcW w:w="410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333333"/>
              </w:rPr>
              <w:t>WWW.STANDARDANDPOORS.COM/RATINGSDIRECT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8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9"/>
              </w:rPr>
              <w:t>JULY 4, 2024 8</w:t>
            </w:r>
          </w:p>
        </w:tc>
        <w:tc>
          <w:tcPr>
            <w:tcW w:w="0" w:type="dxa"/>
            <w:vAlign w:val="bottom"/>
          </w:tcPr>
          <w:p>
            <w:pPr>
              <w:spacing w:after="0"/>
              <w:rPr>
                <w:sz w:val="1"/>
                <w:szCs w:val="1"/>
                <w:color w:val="auto"/>
              </w:rPr>
            </w:pPr>
          </w:p>
        </w:tc>
      </w:tr>
      <w:tr>
        <w:trPr>
          <w:trHeight w:val="61"/>
        </w:trPr>
        <w:tc>
          <w:tcPr>
            <w:tcW w:w="2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3" w:right="339" w:bottom="1440" w:gutter="0" w:footer="0" w:header="0"/>
        </w:sectPr>
      </w:pPr>
    </w:p>
    <w:bookmarkStart w:id="11" w:name="page12"/>
    <w:bookmarkEnd w:id="11"/>
    <w:p>
      <w:pPr>
        <w:ind w:left="10180"/>
        <w:spacing w:after="0"/>
        <w:rPr>
          <w:sz w:val="20"/>
          <w:szCs w:val="20"/>
          <w:color w:val="auto"/>
        </w:rPr>
      </w:pPr>
      <w:r>
        <w:rPr>
          <w:rFonts w:ascii="Times New Roman" w:cs="Times New Roman" w:eastAsia="Times New Roman" w:hAnsi="Times New Roman"/>
          <w:sz w:val="17"/>
          <w:szCs w:val="17"/>
          <w:i w:val="1"/>
          <w:iCs w:val="1"/>
          <w:color w:val="auto"/>
        </w:rPr>
        <w:t>Credicorp Ltd.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46291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29150" cy="171450"/>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FFFFFF"/>
        </w:rPr>
        <w:t>Credicorp Ltd.--Risk position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87"/>
              <w:spacing w:after="0"/>
              <w:rPr>
                <w:sz w:val="20"/>
                <w:szCs w:val="20"/>
                <w:color w:val="auto"/>
              </w:rPr>
            </w:pPr>
            <w:r>
              <w:rPr>
                <w:rFonts w:ascii="Times New Roman" w:cs="Times New Roman" w:eastAsia="Times New Roman" w:hAnsi="Times New Roman"/>
                <w:sz w:val="14"/>
                <w:szCs w:val="14"/>
                <w:b w:val="1"/>
                <w:bCs w:val="1"/>
                <w:color w:val="auto"/>
              </w:rPr>
              <w:t>--Year ended Dec. 31--</w:t>
            </w:r>
          </w:p>
        </w:tc>
        <w:tc>
          <w:tcPr>
            <w:tcW w:w="5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Growth in customer loans</w:t>
            </w: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5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0.7</w:t>
            </w: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19.1</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20" w:type="dxa"/>
            <w:vAlign w:val="bottom"/>
            <w:tcBorders>
              <w:bottom w:val="single" w:sz="8" w:color="auto"/>
            </w:tcBorders>
          </w:tcPr>
          <w:p>
            <w:pPr>
              <w:spacing w:after="0"/>
              <w:rPr>
                <w:sz w:val="12"/>
                <w:szCs w:val="12"/>
                <w:color w:val="auto"/>
              </w:rPr>
            </w:pP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managed assets/adjusted common equity (x)</w:t>
            </w: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8.6</w:t>
            </w: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9.2</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9.6</w:t>
            </w: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New loan loss provisions/average customer loans</w:t>
            </w: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2.5</w:t>
            </w: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1.2</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w:t>
            </w: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charge-offs/average customer loans</w:t>
            </w: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2.0</w:t>
            </w: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1.5</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Gross nonperforming assets/customer loans + other real estate owned</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6"/>
                <w:szCs w:val="16"/>
                <w:color w:val="auto"/>
              </w:rPr>
              <w:t>4.3</w:t>
            </w: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6"/>
                <w:szCs w:val="16"/>
                <w:color w:val="auto"/>
              </w:rPr>
              <w:t>4.1</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w:t>
            </w: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Loan loss reserves/gross nonperforming assets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132.6</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128.8</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148.6</w:t>
            </w: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3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Table 5</w:t>
            </w: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680" w:type="dxa"/>
            <w:vAlign w:val="bottom"/>
            <w:tcBorders>
              <w:bottom w:val="single" w:sz="8" w:color="CC0033"/>
            </w:tcBorders>
            <w:shd w:val="clear" w:color="auto" w:fill="CC0033"/>
          </w:tcPr>
          <w:p>
            <w:pPr>
              <w:ind w:left="40"/>
              <w:spacing w:after="0"/>
              <w:rPr>
                <w:sz w:val="20"/>
                <w:szCs w:val="20"/>
                <w:color w:val="auto"/>
              </w:rPr>
            </w:pPr>
            <w:r>
              <w:rPr>
                <w:rFonts w:ascii="Times New Roman" w:cs="Times New Roman" w:eastAsia="Times New Roman" w:hAnsi="Times New Roman"/>
                <w:sz w:val="18"/>
                <w:szCs w:val="18"/>
                <w:b w:val="1"/>
                <w:bCs w:val="1"/>
                <w:color w:val="FFFFFF"/>
              </w:rPr>
              <w:t>Credicorp Ltd.--Funding and liquidity</w:t>
            </w:r>
          </w:p>
        </w:tc>
        <w:tc>
          <w:tcPr>
            <w:tcW w:w="560" w:type="dxa"/>
            <w:vAlign w:val="bottom"/>
            <w:tcBorders>
              <w:bottom w:val="single" w:sz="8" w:color="CC0033"/>
            </w:tcBorders>
            <w:shd w:val="clear" w:color="auto" w:fill="CC0033"/>
          </w:tcPr>
          <w:p>
            <w:pPr>
              <w:spacing w:after="0"/>
              <w:rPr>
                <w:sz w:val="22"/>
                <w:szCs w:val="22"/>
                <w:color w:val="auto"/>
              </w:rPr>
            </w:pPr>
          </w:p>
        </w:tc>
        <w:tc>
          <w:tcPr>
            <w:tcW w:w="240" w:type="dxa"/>
            <w:vAlign w:val="bottom"/>
            <w:tcBorders>
              <w:bottom w:val="single" w:sz="8" w:color="CC0033"/>
            </w:tcBorders>
            <w:shd w:val="clear" w:color="auto" w:fill="CC0033"/>
          </w:tcPr>
          <w:p>
            <w:pPr>
              <w:spacing w:after="0"/>
              <w:rPr>
                <w:sz w:val="22"/>
                <w:szCs w:val="22"/>
                <w:color w:val="auto"/>
              </w:rPr>
            </w:pPr>
          </w:p>
        </w:tc>
        <w:tc>
          <w:tcPr>
            <w:tcW w:w="220" w:type="dxa"/>
            <w:vAlign w:val="bottom"/>
            <w:tcBorders>
              <w:bottom w:val="single" w:sz="8" w:color="CC0033"/>
            </w:tcBorders>
            <w:shd w:val="clear" w:color="auto" w:fill="CC0033"/>
          </w:tcPr>
          <w:p>
            <w:pPr>
              <w:spacing w:after="0"/>
              <w:rPr>
                <w:sz w:val="22"/>
                <w:szCs w:val="22"/>
                <w:color w:val="auto"/>
              </w:rPr>
            </w:pPr>
          </w:p>
        </w:tc>
        <w:tc>
          <w:tcPr>
            <w:tcW w:w="500" w:type="dxa"/>
            <w:vAlign w:val="bottom"/>
            <w:tcBorders>
              <w:bottom w:val="single" w:sz="8" w:color="CC0033"/>
            </w:tcBorders>
            <w:shd w:val="clear" w:color="auto" w:fill="CC0033"/>
          </w:tcPr>
          <w:p>
            <w:pPr>
              <w:spacing w:after="0"/>
              <w:rPr>
                <w:sz w:val="22"/>
                <w:szCs w:val="22"/>
                <w:color w:val="auto"/>
              </w:rPr>
            </w:pPr>
          </w:p>
        </w:tc>
        <w:tc>
          <w:tcPr>
            <w:tcW w:w="560" w:type="dxa"/>
            <w:vAlign w:val="bottom"/>
            <w:tcBorders>
              <w:bottom w:val="single" w:sz="8" w:color="CC0033"/>
            </w:tcBorders>
            <w:shd w:val="clear" w:color="auto" w:fill="CC0033"/>
          </w:tcPr>
          <w:p>
            <w:pPr>
              <w:spacing w:after="0"/>
              <w:rPr>
                <w:sz w:val="22"/>
                <w:szCs w:val="22"/>
                <w:color w:val="auto"/>
              </w:rPr>
            </w:pPr>
          </w:p>
        </w:tc>
        <w:tc>
          <w:tcPr>
            <w:tcW w:w="420" w:type="dxa"/>
            <w:vAlign w:val="bottom"/>
            <w:tcBorders>
              <w:bottom w:val="single" w:sz="8" w:color="CC0033"/>
            </w:tcBorders>
            <w:shd w:val="clear" w:color="auto" w:fill="CC0033"/>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2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 ended Dec. 31--</w:t>
            </w: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68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Core deposits/funding base</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78.5</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73.5</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Customer loans (net)/customer deposits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95.8</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89.7</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Long-term funding ratio</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86.1</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86.5</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Stable funding ratio</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110.8</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115.7</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Short-term wholesale funding/funding base</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15.8</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Broad liquid assets/short-term wholesale funding (x)</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Broad liquid assets/total assets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28.4</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30.6</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Broad liquid assets/customer deposits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45.7</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51.1</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broad liquid assets/short-term customer deposits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31.9</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51.9</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Short-term wholesale funding/total wholesale funding</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73.8</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56.8</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680" w:type="dxa"/>
            <w:vAlign w:val="bottom"/>
            <w:tcBorders>
              <w:bottom w:val="single" w:sz="8" w:color="CC0033"/>
            </w:tcBorders>
            <w:shd w:val="clear" w:color="auto" w:fill="CC0033"/>
          </w:tcPr>
          <w:p>
            <w:pPr>
              <w:ind w:left="40"/>
              <w:spacing w:after="0"/>
              <w:rPr>
                <w:sz w:val="20"/>
                <w:szCs w:val="20"/>
                <w:color w:val="auto"/>
              </w:rPr>
            </w:pPr>
            <w:r>
              <w:rPr>
                <w:rFonts w:ascii="Times New Roman" w:cs="Times New Roman" w:eastAsia="Times New Roman" w:hAnsi="Times New Roman"/>
                <w:sz w:val="18"/>
                <w:szCs w:val="18"/>
                <w:b w:val="1"/>
                <w:bCs w:val="1"/>
                <w:color w:val="FFFFFF"/>
              </w:rPr>
              <w:t>Credicorp Ltd.--Rating component scores</w:t>
            </w:r>
          </w:p>
        </w:tc>
        <w:tc>
          <w:tcPr>
            <w:tcW w:w="560" w:type="dxa"/>
            <w:vAlign w:val="bottom"/>
            <w:tcBorders>
              <w:bottom w:val="single" w:sz="8" w:color="CC0033"/>
            </w:tcBorders>
            <w:shd w:val="clear" w:color="auto" w:fill="CC0033"/>
          </w:tcPr>
          <w:p>
            <w:pPr>
              <w:spacing w:after="0"/>
              <w:rPr>
                <w:sz w:val="24"/>
                <w:szCs w:val="24"/>
                <w:color w:val="auto"/>
              </w:rPr>
            </w:pPr>
          </w:p>
        </w:tc>
        <w:tc>
          <w:tcPr>
            <w:tcW w:w="240" w:type="dxa"/>
            <w:vAlign w:val="bottom"/>
            <w:tcBorders>
              <w:bottom w:val="single" w:sz="8" w:color="CC0033"/>
            </w:tcBorders>
            <w:shd w:val="clear" w:color="auto" w:fill="CC0033"/>
          </w:tcPr>
          <w:p>
            <w:pPr>
              <w:spacing w:after="0"/>
              <w:rPr>
                <w:sz w:val="24"/>
                <w:szCs w:val="24"/>
                <w:color w:val="auto"/>
              </w:rPr>
            </w:pPr>
          </w:p>
        </w:tc>
        <w:tc>
          <w:tcPr>
            <w:tcW w:w="220" w:type="dxa"/>
            <w:vAlign w:val="bottom"/>
            <w:tcBorders>
              <w:bottom w:val="single" w:sz="8" w:color="CC0033"/>
            </w:tcBorders>
            <w:shd w:val="clear" w:color="auto" w:fill="CC0033"/>
          </w:tcPr>
          <w:p>
            <w:pPr>
              <w:spacing w:after="0"/>
              <w:rPr>
                <w:sz w:val="24"/>
                <w:szCs w:val="24"/>
                <w:color w:val="auto"/>
              </w:rPr>
            </w:pPr>
          </w:p>
        </w:tc>
        <w:tc>
          <w:tcPr>
            <w:tcW w:w="500" w:type="dxa"/>
            <w:vAlign w:val="bottom"/>
            <w:tcBorders>
              <w:bottom w:val="single" w:sz="8" w:color="CC0033"/>
            </w:tcBorders>
            <w:shd w:val="clear" w:color="auto" w:fill="CC0033"/>
          </w:tcPr>
          <w:p>
            <w:pPr>
              <w:spacing w:after="0"/>
              <w:rPr>
                <w:sz w:val="24"/>
                <w:szCs w:val="24"/>
                <w:color w:val="auto"/>
              </w:rPr>
            </w:pPr>
          </w:p>
        </w:tc>
        <w:tc>
          <w:tcPr>
            <w:tcW w:w="560" w:type="dxa"/>
            <w:vAlign w:val="bottom"/>
            <w:tcBorders>
              <w:bottom w:val="single" w:sz="8" w:color="CC0033"/>
            </w:tcBorders>
            <w:shd w:val="clear" w:color="auto" w:fill="CC0033"/>
          </w:tcPr>
          <w:p>
            <w:pPr>
              <w:spacing w:after="0"/>
              <w:rPr>
                <w:sz w:val="24"/>
                <w:szCs w:val="24"/>
                <w:color w:val="auto"/>
              </w:rPr>
            </w:pPr>
          </w:p>
        </w:tc>
        <w:tc>
          <w:tcPr>
            <w:tcW w:w="420" w:type="dxa"/>
            <w:vAlign w:val="bottom"/>
            <w:tcBorders>
              <w:bottom w:val="single" w:sz="8" w:color="CC0033"/>
            </w:tcBorders>
            <w:shd w:val="clear" w:color="auto" w:fill="CC0033"/>
          </w:tcPr>
          <w:p>
            <w:pPr>
              <w:spacing w:after="0"/>
              <w:rPr>
                <w:sz w:val="24"/>
                <w:szCs w:val="24"/>
                <w:color w:val="auto"/>
              </w:rPr>
            </w:pPr>
          </w:p>
        </w:tc>
        <w:tc>
          <w:tcPr>
            <w:tcW w:w="560" w:type="dxa"/>
            <w:vAlign w:val="bottom"/>
            <w:tcBorders>
              <w:bottom w:val="single" w:sz="8" w:color="CC0033"/>
            </w:tcBorders>
            <w:shd w:val="clear" w:color="auto" w:fill="CC0033"/>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Holding company issuer credit rating</w:t>
            </w:r>
          </w:p>
        </w:tc>
        <w:tc>
          <w:tcPr>
            <w:tcW w:w="15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BBB-/Stable/--</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SACP</w:t>
            </w: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bbb</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Anchor</w:t>
            </w: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bbb-</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Business position</w:t>
            </w:r>
          </w:p>
        </w:tc>
        <w:tc>
          <w:tcPr>
            <w:tcW w:w="10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color w:val="auto"/>
              </w:rPr>
              <w:t>Strong</w:t>
            </w: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Capital and earnings</w:t>
            </w:r>
          </w:p>
        </w:tc>
        <w:tc>
          <w:tcPr>
            <w:tcW w:w="10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color w:val="auto"/>
              </w:rPr>
              <w:t>Adequate</w:t>
            </w: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Risk position</w:t>
            </w:r>
          </w:p>
        </w:tc>
        <w:tc>
          <w:tcPr>
            <w:tcW w:w="10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color w:val="auto"/>
              </w:rPr>
              <w:t>Adequate</w:t>
            </w: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Funding</w:t>
            </w:r>
          </w:p>
        </w:tc>
        <w:tc>
          <w:tcPr>
            <w:tcW w:w="10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color w:val="auto"/>
              </w:rPr>
              <w:t>Adequate</w:t>
            </w: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Liquidity</w:t>
            </w:r>
          </w:p>
        </w:tc>
        <w:tc>
          <w:tcPr>
            <w:tcW w:w="10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color w:val="auto"/>
              </w:rPr>
              <w:t>Adequate</w:t>
            </w: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Comparable ratings analysis</w:t>
            </w: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Support</w:t>
            </w: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ALAC support</w:t>
            </w: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GRE support</w:t>
            </w: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Group support</w:t>
            </w: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Sovereign support</w:t>
            </w: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Additional factors</w:t>
            </w: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7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ALAC--Additional loss-absorbing capacity. GRE--Government-related entity. SACP--Stand-alone credit profile.</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333333"/>
              </w:rPr>
              <w:t>WWW.STANDARDANDPOORS.COM/RATINGSDIRECT</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Pr>
          <w:p>
            <w:pPr>
              <w:ind w:left="2740"/>
              <w:spacing w:after="0"/>
              <w:rPr>
                <w:sz w:val="20"/>
                <w:szCs w:val="20"/>
                <w:color w:val="auto"/>
              </w:rPr>
            </w:pPr>
            <w:r>
              <w:rPr>
                <w:rFonts w:ascii="Times New Roman" w:cs="Times New Roman" w:eastAsia="Times New Roman" w:hAnsi="Times New Roman"/>
                <w:sz w:val="18"/>
                <w:szCs w:val="18"/>
                <w:color w:val="auto"/>
                <w:w w:val="99"/>
              </w:rPr>
              <w:t>JULY 4, 2024 9</w:t>
            </w:r>
          </w:p>
        </w:tc>
        <w:tc>
          <w:tcPr>
            <w:tcW w:w="0" w:type="dxa"/>
            <w:vAlign w:val="bottom"/>
          </w:tcPr>
          <w:p>
            <w:pPr>
              <w:spacing w:after="0"/>
              <w:rPr>
                <w:sz w:val="1"/>
                <w:szCs w:val="1"/>
                <w:color w:val="auto"/>
              </w:rPr>
            </w:pPr>
          </w:p>
        </w:tc>
      </w:tr>
      <w:tr>
        <w:trPr>
          <w:trHeight w:val="61"/>
        </w:trPr>
        <w:tc>
          <w:tcPr>
            <w:tcW w:w="36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3"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i w:val="1"/>
          <w:iCs w:val="1"/>
          <w:color w:val="auto"/>
        </w:rPr>
        <w:t>Credicorp Ltd.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CC0033"/>
        </w:rPr>
        <w:t>Related Criteria</w:t>
      </w:r>
    </w:p>
    <w:p>
      <w:pPr>
        <w:spacing w:after="0" w:line="217"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Criteria: Hybrid Capital: Methodology And Assumptions, March 2, 2022</w:t>
      </w:r>
    </w:p>
    <w:p>
      <w:pPr>
        <w:spacing w:after="0" w:line="11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Criteria | Financial Institutions | Banks: Banking Industry Country Risk Assessment Methodology And Assumptions, Dec. 9, 2021</w:t>
      </w:r>
    </w:p>
    <w:p>
      <w:pPr>
        <w:spacing w:after="0" w:line="11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Criteria | Financial Institutions | General: Financial Institutions Rating Methodology, Dec. 9, 2021</w:t>
      </w:r>
    </w:p>
    <w:p>
      <w:pPr>
        <w:spacing w:after="0" w:line="11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Criteria: Environmental, Social, And Governance Principles In Credit Ratings, Oct. 10, 2021</w:t>
      </w:r>
    </w:p>
    <w:p>
      <w:pPr>
        <w:spacing w:after="0" w:line="13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Criteria: Group Rating Methodology, July 1, 2019</w:t>
      </w:r>
    </w:p>
    <w:p>
      <w:pPr>
        <w:spacing w:after="0" w:line="11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Criteria | Financial Institutions | General: Risk-Adjusted Capital Framework Methodology, July 20, 2017</w:t>
      </w:r>
    </w:p>
    <w:p>
      <w:pPr>
        <w:spacing w:after="0" w:line="11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Criteria: Ratings Above The Sovereign--Corporate And Government Ratings: Methodology And Assumptions, Nov. 19, 2013</w:t>
      </w:r>
    </w:p>
    <w:p>
      <w:pPr>
        <w:spacing w:after="0" w:line="11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Criteria: Principles Of Credit Ratings, Feb. 16, 2011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CC0033"/>
        </w:rPr>
        <w:t>Related Research</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Six Peruvian Financial Institutions Downgraded Following Same Action On Peru; Outlooks Stable, April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3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FFFFFF"/>
        </w:rPr>
        <w:t>Ratings Detail (As Of July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600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600450"/>
                    </a:xfrm>
                    <a:prstGeom prst="rect">
                      <a:avLst/>
                    </a:prstGeom>
                    <a:noFill/>
                  </pic:spPr>
                </pic:pic>
              </a:graphicData>
            </a:graphic>
          </wp:anchor>
        </w:drawing>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Credicorp Ltd.</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Issuer Credit Rating</w:t>
            </w:r>
          </w:p>
        </w:tc>
        <w:tc>
          <w:tcPr>
            <w:tcW w:w="5540" w:type="dxa"/>
            <w:vAlign w:val="bottom"/>
            <w:shd w:val="clear" w:color="auto" w:fill="EEEEEE"/>
          </w:tcPr>
          <w:p>
            <w:pPr>
              <w:ind w:left="40"/>
              <w:spacing w:after="0"/>
              <w:rPr>
                <w:sz w:val="20"/>
                <w:szCs w:val="20"/>
                <w:color w:val="auto"/>
              </w:rPr>
            </w:pPr>
            <w:r>
              <w:rPr>
                <w:rFonts w:ascii="Times New Roman" w:cs="Times New Roman" w:eastAsia="Times New Roman" w:hAnsi="Times New Roman"/>
                <w:sz w:val="16"/>
                <w:szCs w:val="16"/>
                <w:color w:val="auto"/>
              </w:rPr>
              <w:t>BBB-/Stable/--</w:t>
            </w: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Senior Unsecured</w:t>
            </w:r>
          </w:p>
        </w:tc>
        <w:tc>
          <w:tcPr>
            <w:tcW w:w="5540" w:type="dxa"/>
            <w:vAlign w:val="bottom"/>
            <w:shd w:val="clear" w:color="auto" w:fill="EEEEEE"/>
          </w:tcPr>
          <w:p>
            <w:pPr>
              <w:ind w:left="40"/>
              <w:spacing w:after="0"/>
              <w:rPr>
                <w:sz w:val="20"/>
                <w:szCs w:val="20"/>
                <w:color w:val="auto"/>
              </w:rPr>
            </w:pPr>
            <w:r>
              <w:rPr>
                <w:rFonts w:ascii="Times New Roman" w:cs="Times New Roman" w:eastAsia="Times New Roman" w:hAnsi="Times New Roman"/>
                <w:sz w:val="16"/>
                <w:szCs w:val="16"/>
                <w:color w:val="auto"/>
              </w:rPr>
              <w:t>BBB-</w:t>
            </w: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Issuer Credit Ratings History</w:t>
            </w:r>
          </w:p>
        </w:tc>
        <w:tc>
          <w:tcPr>
            <w:tcW w:w="5540" w:type="dxa"/>
            <w:vAlign w:val="bottom"/>
            <w:shd w:val="clear" w:color="auto" w:fill="EEEEEE"/>
          </w:tcPr>
          <w:p>
            <w:pPr>
              <w:spacing w:after="0"/>
              <w:rPr>
                <w:sz w:val="24"/>
                <w:szCs w:val="24"/>
                <w:color w:val="auto"/>
              </w:rPr>
            </w:pP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26-Apr-2024</w:t>
            </w:r>
          </w:p>
        </w:tc>
        <w:tc>
          <w:tcPr>
            <w:tcW w:w="5540" w:type="dxa"/>
            <w:vAlign w:val="bottom"/>
            <w:shd w:val="clear" w:color="auto" w:fill="EEEEEE"/>
          </w:tcPr>
          <w:p>
            <w:pPr>
              <w:ind w:left="40"/>
              <w:spacing w:after="0"/>
              <w:rPr>
                <w:sz w:val="20"/>
                <w:szCs w:val="20"/>
                <w:color w:val="auto"/>
              </w:rPr>
            </w:pPr>
            <w:r>
              <w:rPr>
                <w:rFonts w:ascii="Times New Roman" w:cs="Times New Roman" w:eastAsia="Times New Roman" w:hAnsi="Times New Roman"/>
                <w:sz w:val="16"/>
                <w:szCs w:val="16"/>
                <w:color w:val="auto"/>
              </w:rPr>
              <w:t>BBB-/Stable/--</w:t>
            </w: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15-Oct-2021</w:t>
            </w:r>
          </w:p>
        </w:tc>
        <w:tc>
          <w:tcPr>
            <w:tcW w:w="5540" w:type="dxa"/>
            <w:vAlign w:val="bottom"/>
            <w:shd w:val="clear" w:color="auto" w:fill="EEEEEE"/>
          </w:tcPr>
          <w:p>
            <w:pPr>
              <w:ind w:left="40"/>
              <w:spacing w:after="0"/>
              <w:rPr>
                <w:sz w:val="20"/>
                <w:szCs w:val="20"/>
                <w:color w:val="auto"/>
              </w:rPr>
            </w:pPr>
            <w:r>
              <w:rPr>
                <w:rFonts w:ascii="Times New Roman" w:cs="Times New Roman" w:eastAsia="Times New Roman" w:hAnsi="Times New Roman"/>
                <w:sz w:val="16"/>
                <w:szCs w:val="16"/>
                <w:color w:val="auto"/>
              </w:rPr>
              <w:t>BBB/Negative/--</w:t>
            </w:r>
          </w:p>
        </w:tc>
      </w:tr>
      <w:tr>
        <w:trPr>
          <w:trHeight w:val="284"/>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08-Jun-2020</w:t>
            </w:r>
          </w:p>
        </w:tc>
        <w:tc>
          <w:tcPr>
            <w:tcW w:w="5540" w:type="dxa"/>
            <w:vAlign w:val="bottom"/>
            <w:shd w:val="clear" w:color="auto" w:fill="EEEEEE"/>
          </w:tcPr>
          <w:p>
            <w:pPr>
              <w:ind w:left="40"/>
              <w:spacing w:after="0"/>
              <w:rPr>
                <w:sz w:val="20"/>
                <w:szCs w:val="20"/>
                <w:color w:val="auto"/>
              </w:rPr>
            </w:pPr>
            <w:r>
              <w:rPr>
                <w:rFonts w:ascii="Times New Roman" w:cs="Times New Roman" w:eastAsia="Times New Roman" w:hAnsi="Times New Roman"/>
                <w:sz w:val="16"/>
                <w:szCs w:val="16"/>
                <w:color w:val="auto"/>
              </w:rPr>
              <w:t>BBB/Stable/--</w:t>
            </w: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Sovereign Rating</w:t>
            </w:r>
          </w:p>
        </w:tc>
        <w:tc>
          <w:tcPr>
            <w:tcW w:w="5540" w:type="dxa"/>
            <w:vAlign w:val="bottom"/>
            <w:shd w:val="clear" w:color="auto" w:fill="EEEEEE"/>
          </w:tcPr>
          <w:p>
            <w:pPr>
              <w:spacing w:after="0"/>
              <w:rPr>
                <w:sz w:val="24"/>
                <w:szCs w:val="24"/>
                <w:color w:val="auto"/>
              </w:rPr>
            </w:pP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Bermuda</w:t>
            </w:r>
          </w:p>
        </w:tc>
        <w:tc>
          <w:tcPr>
            <w:tcW w:w="5540" w:type="dxa"/>
            <w:vAlign w:val="bottom"/>
            <w:shd w:val="clear" w:color="auto" w:fill="EEEEEE"/>
          </w:tcPr>
          <w:p>
            <w:pPr>
              <w:ind w:left="40"/>
              <w:spacing w:after="0"/>
              <w:rPr>
                <w:sz w:val="20"/>
                <w:szCs w:val="20"/>
                <w:color w:val="auto"/>
              </w:rPr>
            </w:pPr>
            <w:r>
              <w:rPr>
                <w:rFonts w:ascii="Times New Roman" w:cs="Times New Roman" w:eastAsia="Times New Roman" w:hAnsi="Times New Roman"/>
                <w:sz w:val="16"/>
                <w:szCs w:val="16"/>
                <w:color w:val="auto"/>
              </w:rPr>
              <w:t>A+/Stable/A-1</w:t>
            </w:r>
          </w:p>
        </w:tc>
      </w:tr>
      <w:tr>
        <w:trPr>
          <w:trHeight w:val="284"/>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Related Entities</w:t>
            </w:r>
          </w:p>
        </w:tc>
        <w:tc>
          <w:tcPr>
            <w:tcW w:w="5540" w:type="dxa"/>
            <w:vAlign w:val="bottom"/>
            <w:shd w:val="clear" w:color="auto" w:fill="EEEEEE"/>
          </w:tcPr>
          <w:p>
            <w:pPr>
              <w:spacing w:after="0"/>
              <w:rPr>
                <w:sz w:val="24"/>
                <w:szCs w:val="24"/>
                <w:color w:val="auto"/>
              </w:rPr>
            </w:pP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ASB Bank Corp.</w:t>
            </w:r>
          </w:p>
        </w:tc>
        <w:tc>
          <w:tcPr>
            <w:tcW w:w="5540" w:type="dxa"/>
            <w:vAlign w:val="bottom"/>
            <w:shd w:val="clear" w:color="auto" w:fill="EEEEEE"/>
          </w:tcPr>
          <w:p>
            <w:pPr>
              <w:spacing w:after="0"/>
              <w:rPr>
                <w:sz w:val="24"/>
                <w:szCs w:val="24"/>
                <w:color w:val="auto"/>
              </w:rPr>
            </w:pPr>
          </w:p>
        </w:tc>
      </w:tr>
      <w:tr>
        <w:trPr>
          <w:trHeight w:val="284"/>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Issuer Credit Rating</w:t>
            </w:r>
          </w:p>
        </w:tc>
        <w:tc>
          <w:tcPr>
            <w:tcW w:w="5540" w:type="dxa"/>
            <w:vAlign w:val="bottom"/>
            <w:shd w:val="clear" w:color="auto" w:fill="EEEEEE"/>
          </w:tcPr>
          <w:p>
            <w:pPr>
              <w:ind w:left="40"/>
              <w:spacing w:after="0"/>
              <w:rPr>
                <w:sz w:val="20"/>
                <w:szCs w:val="20"/>
                <w:color w:val="auto"/>
              </w:rPr>
            </w:pPr>
            <w:r>
              <w:rPr>
                <w:rFonts w:ascii="Times New Roman" w:cs="Times New Roman" w:eastAsia="Times New Roman" w:hAnsi="Times New Roman"/>
                <w:sz w:val="16"/>
                <w:szCs w:val="16"/>
                <w:color w:val="auto"/>
              </w:rPr>
              <w:t>BB+/Stable/B</w:t>
            </w: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Banco de Credito del Peru</w:t>
            </w:r>
          </w:p>
        </w:tc>
        <w:tc>
          <w:tcPr>
            <w:tcW w:w="5540" w:type="dxa"/>
            <w:vAlign w:val="bottom"/>
            <w:shd w:val="clear" w:color="auto" w:fill="EEEEEE"/>
          </w:tcPr>
          <w:p>
            <w:pPr>
              <w:spacing w:after="0"/>
              <w:rPr>
                <w:sz w:val="24"/>
                <w:szCs w:val="24"/>
                <w:color w:val="auto"/>
              </w:rPr>
            </w:pP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Issuer Credit Rating</w:t>
            </w:r>
          </w:p>
        </w:tc>
        <w:tc>
          <w:tcPr>
            <w:tcW w:w="5540" w:type="dxa"/>
            <w:vAlign w:val="bottom"/>
            <w:shd w:val="clear" w:color="auto" w:fill="EEEEEE"/>
          </w:tcPr>
          <w:p>
            <w:pPr>
              <w:ind w:left="40"/>
              <w:spacing w:after="0"/>
              <w:rPr>
                <w:sz w:val="20"/>
                <w:szCs w:val="20"/>
                <w:color w:val="auto"/>
              </w:rPr>
            </w:pPr>
            <w:r>
              <w:rPr>
                <w:rFonts w:ascii="Times New Roman" w:cs="Times New Roman" w:eastAsia="Times New Roman" w:hAnsi="Times New Roman"/>
                <w:sz w:val="16"/>
                <w:szCs w:val="16"/>
                <w:color w:val="auto"/>
              </w:rPr>
              <w:t>BBB-/Stable/A-3</w:t>
            </w:r>
          </w:p>
        </w:tc>
      </w:tr>
      <w:tr>
        <w:trPr>
          <w:trHeight w:val="284"/>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Senior Unsecured</w:t>
            </w:r>
          </w:p>
        </w:tc>
        <w:tc>
          <w:tcPr>
            <w:tcW w:w="5540" w:type="dxa"/>
            <w:vAlign w:val="bottom"/>
            <w:shd w:val="clear" w:color="auto" w:fill="EEEEEE"/>
          </w:tcPr>
          <w:p>
            <w:pPr>
              <w:ind w:left="40"/>
              <w:spacing w:after="0"/>
              <w:rPr>
                <w:sz w:val="20"/>
                <w:szCs w:val="20"/>
                <w:color w:val="auto"/>
              </w:rPr>
            </w:pPr>
            <w:r>
              <w:rPr>
                <w:rFonts w:ascii="Times New Roman" w:cs="Times New Roman" w:eastAsia="Times New Roman" w:hAnsi="Times New Roman"/>
                <w:sz w:val="16"/>
                <w:szCs w:val="16"/>
                <w:color w:val="auto"/>
              </w:rPr>
              <w:t>BBB-</w:t>
            </w: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Subordinated</w:t>
            </w:r>
          </w:p>
        </w:tc>
        <w:tc>
          <w:tcPr>
            <w:tcW w:w="5540" w:type="dxa"/>
            <w:vAlign w:val="bottom"/>
            <w:shd w:val="clear" w:color="auto" w:fill="EEEEEE"/>
          </w:tcPr>
          <w:p>
            <w:pPr>
              <w:ind w:left="40"/>
              <w:spacing w:after="0"/>
              <w:rPr>
                <w:sz w:val="20"/>
                <w:szCs w:val="20"/>
                <w:color w:val="auto"/>
              </w:rPr>
            </w:pPr>
            <w:r>
              <w:rPr>
                <w:rFonts w:ascii="Times New Roman" w:cs="Times New Roman" w:eastAsia="Times New Roman" w:hAnsi="Times New Roman"/>
                <w:sz w:val="16"/>
                <w:szCs w:val="16"/>
                <w:color w:val="auto"/>
              </w:rPr>
              <w:t>BB+</w:t>
            </w: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Banco de Credito del Peru, Panama Branch</w:t>
            </w:r>
          </w:p>
        </w:tc>
        <w:tc>
          <w:tcPr>
            <w:tcW w:w="5540" w:type="dxa"/>
            <w:vAlign w:val="bottom"/>
            <w:shd w:val="clear" w:color="auto" w:fill="EEEEEE"/>
          </w:tcPr>
          <w:p>
            <w:pPr>
              <w:spacing w:after="0"/>
              <w:rPr>
                <w:sz w:val="24"/>
                <w:szCs w:val="24"/>
                <w:color w:val="auto"/>
              </w:rPr>
            </w:pPr>
          </w:p>
        </w:tc>
      </w:tr>
      <w:tr>
        <w:trPr>
          <w:trHeight w:val="284"/>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Subordinated</w:t>
            </w:r>
          </w:p>
        </w:tc>
        <w:tc>
          <w:tcPr>
            <w:tcW w:w="5540" w:type="dxa"/>
            <w:vAlign w:val="bottom"/>
            <w:shd w:val="clear" w:color="auto" w:fill="EEEEEE"/>
          </w:tcPr>
          <w:p>
            <w:pPr>
              <w:ind w:left="40"/>
              <w:spacing w:after="0"/>
              <w:rPr>
                <w:sz w:val="20"/>
                <w:szCs w:val="20"/>
                <w:color w:val="auto"/>
              </w:rPr>
            </w:pPr>
            <w:r>
              <w:rPr>
                <w:rFonts w:ascii="Times New Roman" w:cs="Times New Roman" w:eastAsia="Times New Roman" w:hAnsi="Times New Roman"/>
                <w:sz w:val="16"/>
                <w:szCs w:val="16"/>
                <w:color w:val="auto"/>
              </w:rPr>
              <w:t>BB+</w:t>
            </w: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MiBanco Banco de La Microempresa S.A.</w:t>
            </w:r>
          </w:p>
        </w:tc>
        <w:tc>
          <w:tcPr>
            <w:tcW w:w="5540" w:type="dxa"/>
            <w:vAlign w:val="bottom"/>
            <w:shd w:val="clear" w:color="auto" w:fill="EEEEEE"/>
          </w:tcPr>
          <w:p>
            <w:pPr>
              <w:spacing w:after="0"/>
              <w:rPr>
                <w:sz w:val="24"/>
                <w:szCs w:val="24"/>
                <w:color w:val="auto"/>
              </w:rPr>
            </w:pP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Issuer Credit Rating</w:t>
            </w:r>
          </w:p>
        </w:tc>
        <w:tc>
          <w:tcPr>
            <w:tcW w:w="5540" w:type="dxa"/>
            <w:vAlign w:val="bottom"/>
            <w:shd w:val="clear" w:color="auto" w:fill="EEEEEE"/>
          </w:tcPr>
          <w:p>
            <w:pPr>
              <w:ind w:left="40"/>
              <w:spacing w:after="0"/>
              <w:rPr>
                <w:sz w:val="20"/>
                <w:szCs w:val="20"/>
                <w:color w:val="auto"/>
              </w:rPr>
            </w:pPr>
            <w:r>
              <w:rPr>
                <w:rFonts w:ascii="Times New Roman" w:cs="Times New Roman" w:eastAsia="Times New Roman" w:hAnsi="Times New Roman"/>
                <w:sz w:val="16"/>
                <w:szCs w:val="16"/>
                <w:color w:val="auto"/>
              </w:rPr>
              <w:t>BBB-/Stable/A-3</w:t>
            </w:r>
          </w:p>
        </w:tc>
      </w:tr>
      <w:tr>
        <w:trPr>
          <w:trHeight w:val="47"/>
        </w:trPr>
        <w:tc>
          <w:tcPr>
            <w:tcW w:w="5660" w:type="dxa"/>
            <w:vAlign w:val="bottom"/>
          </w:tcPr>
          <w:p>
            <w:pPr>
              <w:spacing w:after="0"/>
              <w:rPr>
                <w:sz w:val="4"/>
                <w:szCs w:val="4"/>
                <w:color w:val="auto"/>
              </w:rPr>
            </w:pPr>
          </w:p>
        </w:tc>
        <w:tc>
          <w:tcPr>
            <w:tcW w:w="5540" w:type="dxa"/>
            <w:vAlign w:val="bottom"/>
            <w:shd w:val="clear" w:color="auto" w:fill="EEEEEE"/>
          </w:tcPr>
          <w:p>
            <w:pPr>
              <w:spacing w:after="0"/>
              <w:rPr>
                <w:sz w:val="4"/>
                <w:szCs w:val="4"/>
                <w:color w:val="auto"/>
              </w:rPr>
            </w:pPr>
          </w:p>
        </w:tc>
      </w:tr>
    </w:tbl>
    <w:p>
      <w:pPr>
        <w:spacing w:after="0" w:line="72"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4"/>
          <w:szCs w:val="14"/>
          <w:color w:val="auto"/>
        </w:rPr>
        <w:t>*Unless otherwise noted, all ratings in this report are global scale ratings. S&amp;P Global Ratings’ credit ratings on the global scale are comparable across countries. S&amp;P Global Ratings’ credit ratings on a national scale are relative to obligors or obligations within that specific country. Issue and debt ratings could include debt guaranteed by another entity, and rated debt that an entity guarantees.</w:t>
      </w:r>
    </w:p>
    <w:p>
      <w:pPr>
        <w:spacing w:after="0" w:line="343" w:lineRule="exact"/>
        <w:rPr>
          <w:sz w:val="20"/>
          <w:szCs w:val="20"/>
          <w:color w:val="auto"/>
        </w:rPr>
      </w:pPr>
    </w:p>
    <w:p>
      <w:pPr>
        <w:ind w:left="20"/>
        <w:spacing w:after="0"/>
        <w:tabs>
          <w:tab w:leader="none" w:pos="9940" w:val="left"/>
        </w:tabs>
        <w:rPr>
          <w:sz w:val="20"/>
          <w:szCs w:val="20"/>
          <w:color w:val="auto"/>
        </w:rPr>
      </w:pPr>
      <w:r>
        <w:rPr>
          <w:rFonts w:ascii="Times New Roman" w:cs="Times New Roman" w:eastAsia="Times New Roman" w:hAnsi="Times New Roman"/>
          <w:sz w:val="14"/>
          <w:szCs w:val="14"/>
          <w:color w:val="333333"/>
        </w:rPr>
        <w:t>WWW.STANDARDANDPOORS.COM/RATINGSDIRECT</w:t>
      </w:r>
      <w:r>
        <w:rPr>
          <w:sz w:val="20"/>
          <w:szCs w:val="20"/>
          <w:color w:val="auto"/>
        </w:rPr>
        <w:tab/>
      </w:r>
      <w:r>
        <w:rPr>
          <w:rFonts w:ascii="Times New Roman" w:cs="Times New Roman" w:eastAsia="Times New Roman" w:hAnsi="Times New Roman"/>
          <w:sz w:val="18"/>
          <w:szCs w:val="18"/>
          <w:color w:val="auto"/>
        </w:rPr>
        <w:t>JULY 4, 2024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auto"/>
        </w:rPr>
        <w:t>Copyright © 2024 by Standard &amp; Poor’s Financial Services LLC. All rights reserved.</w:t>
      </w:r>
    </w:p>
    <w:p>
      <w:pPr>
        <w:spacing w:after="0" w:line="257"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4"/>
          <w:szCs w:val="14"/>
          <w:color w:val="auto"/>
        </w:rPr>
        <w:t>No content (including ratings, credit-related analyses and data, valuations, model, software or other application or output therefrom) or any part thereof (Content) may be modified, reverse engineered, reproduced or distributed in any form by any means, or stored in a database or retrieval system, without the prior written permission of Standard &amp; Poor’s Financial Services LLC or its affiliates (collectively, S&amp;P). The Content shall not be used for any unlawful or unauthorized purposes. S&amp;P and any third-party providers, as well as their directors, officers, shareholders, employees or agents (collectively S&amp;P Parties) do not guarantee the accuracy, completeness, timeliness or availability of the Content. S&amp;P Parties are not responsible for any errors or omissions (negligent or otherwise), regardless of the cause, for the results obtained from the use of the Content, or for the security or maintenance of any data input by the user. The Content is provided on an “as is” basis. S&amp;P PARTIES DISCLAIM ANY AND ALL EXPRESS OR IMPLIED WARRANTIES, INCLUDING, BUT NOT LIMITED TO, ANY WARRANTIES OF MERCHANTABILITY OR FITNESS FOR A PARTICULAR PURPOSE OR USE, FREEDOM FROM BUGS, SOFTWARE ERRORS OR DEFECTS, THAT THE CONTENT’S FUNCTIONING WILL BE UNINTERRUPTED OR THAT THE CONTENT WILL OPERATE WITH ANY SOFTWARE OR HARDWARE CONFIGURATION. In no event shall S&amp;P Parties be liable to any party for any direct, indirect, incidental, exemplary, compensatory, punitive, special or consequential damages, costs, expenses, legal fees, or losses (including, without limitation, lost income or lost profits and opportunity costs or losses caused by negligence) in connection with any use of the Content even if advised of the possibility of such damages.</w:t>
      </w:r>
    </w:p>
    <w:p>
      <w:pPr>
        <w:spacing w:after="0" w:line="165"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4"/>
          <w:szCs w:val="14"/>
          <w:color w:val="auto"/>
        </w:rPr>
        <w:t>Credit-related and other analyses, including ratings, and statements in the Content are statements of opinion as of the date they are expressed and not statements of fact. S&amp;P’s opinions, analyses and rating acknowledgment decisions (described below) are not recommendations to purchase, hold, or sell any securities or to make any investment decisions, and do not address the suitability of any security. S&amp;P assumes no obligation to update the Content following publication in any form or format. The Content should not be relied on and is not a substitute for the skill, judgment and experience of the user, its management, employees, advisors and/or clients when making investment and other business decisions. S&amp;P does not act as a fiduciary or an investment advisor except where registered as such. While S&amp;P has obtained information from sources it believes to be reliable, S&amp;P does not perform an audit and undertakes no duty of due diligence or independent verification of any information it receives. Rating-related publications may be published for a variety of reasons that are not necessarily dependent on action by rating committees, including, but not limited to, the publication of a periodic update on a credit rating and related analyses.</w:t>
      </w:r>
    </w:p>
    <w:p>
      <w:pPr>
        <w:spacing w:after="0" w:line="167"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To the extent that regulatory authorities allow a rating agency to acknowledge in one jurisdiction a rating issued in another jurisdiction for certain regulatory purposes, S&amp;P reserves the right to assign, withdraw or suspend such acknowledgment at any time and in its sole discretion. S&amp;P Parties disclaim any duty whatsoever arising out of the assignment, withdrawal or suspension of an acknowledgment as well as any liability for any damage alleged to have been suffered on account thereof.</w:t>
      </w:r>
    </w:p>
    <w:p>
      <w:pPr>
        <w:spacing w:after="0" w:line="163"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4"/>
          <w:szCs w:val="14"/>
          <w:color w:val="auto"/>
        </w:rPr>
        <w:t>S&amp;P keeps certain activities of its business units separate from each other in order to preserve the independence and objectivity of their respective activities. As a result, certain business units of S&amp;P may have information that is not available to other S&amp;P business units. S&amp;P has established policies and procedures to maintain the confidentiality of certain non-public information received in connection with each analytical process.</w:t>
      </w:r>
    </w:p>
    <w:p>
      <w:pPr>
        <w:spacing w:after="0" w:line="163" w:lineRule="exact"/>
        <w:rPr>
          <w:sz w:val="20"/>
          <w:szCs w:val="20"/>
          <w:color w:val="auto"/>
        </w:rPr>
      </w:pPr>
    </w:p>
    <w:p>
      <w:pPr>
        <w:jc w:val="both"/>
        <w:ind w:right="240"/>
        <w:spacing w:after="0" w:line="241" w:lineRule="auto"/>
        <w:rPr>
          <w:sz w:val="20"/>
          <w:szCs w:val="20"/>
          <w:color w:val="auto"/>
        </w:rPr>
      </w:pPr>
      <w:r>
        <w:rPr>
          <w:rFonts w:ascii="Times New Roman" w:cs="Times New Roman" w:eastAsia="Times New Roman" w:hAnsi="Times New Roman"/>
          <w:sz w:val="14"/>
          <w:szCs w:val="14"/>
          <w:color w:val="auto"/>
        </w:rPr>
        <w:t>S&amp;P may receive compensation for its ratings and certain analyses, normally from issuers or underwriters of securities or from obligors. S&amp;P reserves the right to disseminate its opinions and analyses. S&amp;P’s public ratings and analyses are made available on its Web sites, www.spglobal.com/ratings (free of charge), and www.ratingsdirect.com (subscription), and may be distributed through other means, including via S&amp;P publications and third-party redistributors. Additional information about our ratings fees is available at www.spglobal.com/usratingsfees.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STANDARD &amp; POOR’S, S&amp;P and RATINGSDIRECT are registered trademarks of Standard &amp; Poor’s Financial Services LLC.</w:t>
      </w:r>
    </w:p>
    <w:p>
      <w:pPr>
        <w:spacing w:after="0" w:line="302" w:lineRule="exact"/>
        <w:rPr>
          <w:sz w:val="20"/>
          <w:szCs w:val="20"/>
          <w:color w:val="auto"/>
        </w:rPr>
      </w:pPr>
    </w:p>
    <w:p>
      <w:pPr>
        <w:ind w:left="20"/>
        <w:spacing w:after="0"/>
        <w:tabs>
          <w:tab w:leader="none" w:pos="9960" w:val="left"/>
        </w:tabs>
        <w:rPr>
          <w:sz w:val="20"/>
          <w:szCs w:val="20"/>
          <w:color w:val="auto"/>
        </w:rPr>
      </w:pPr>
      <w:r>
        <w:rPr>
          <w:rFonts w:ascii="Times New Roman" w:cs="Times New Roman" w:eastAsia="Times New Roman" w:hAnsi="Times New Roman"/>
          <w:sz w:val="14"/>
          <w:szCs w:val="14"/>
          <w:color w:val="333333"/>
        </w:rPr>
        <w:t>WWW.STANDARDANDPOORS.COM/RATINGSDIRECT</w:t>
      </w:r>
      <w:r>
        <w:rPr>
          <w:sz w:val="20"/>
          <w:szCs w:val="20"/>
          <w:color w:val="auto"/>
        </w:rPr>
        <w:tab/>
      </w:r>
      <w:r>
        <w:rPr>
          <w:rFonts w:ascii="Times New Roman" w:cs="Times New Roman" w:eastAsia="Times New Roman" w:hAnsi="Times New Roman"/>
          <w:sz w:val="18"/>
          <w:szCs w:val="18"/>
          <w:color w:val="auto"/>
        </w:rPr>
        <w:t>JULY 4, 2024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2024-07-05T16:30:29Z</dcterms:created>
  <dcterms:modified xsi:type="dcterms:W3CDTF">2024-07-05T16:30:29Z</dcterms:modified>
</cp:coreProperties>
</file>