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468630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Report of Foreign Private Issuer</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Pursuant to Rule 13a-16 or 15d-16 under the</w:t>
      </w:r>
    </w:p>
    <w:p>
      <w:pPr>
        <w:jc w:val="center"/>
        <w:ind w:right="-39"/>
        <w:spacing w:after="0"/>
        <w:rPr>
          <w:sz w:val="20"/>
          <w:szCs w:val="20"/>
          <w:color w:val="auto"/>
        </w:rPr>
      </w:pPr>
      <w:r>
        <w:rPr>
          <w:rFonts w:ascii="Times New Roman" w:cs="Times New Roman" w:eastAsia="Times New Roman" w:hAnsi="Times New Roman"/>
          <w:sz w:val="16"/>
          <w:szCs w:val="16"/>
          <w:color w:val="auto"/>
        </w:rPr>
        <w:t>Securities Exchange Act of 1934</w:t>
      </w:r>
    </w:p>
    <w:p>
      <w:pPr>
        <w:spacing w:after="0" w:line="1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month of November 2025</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001-14014</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CREDICORP LTD.</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Of our subsidiary</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Banco de Credito del Peru:</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Calle Centenario 156</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La Molina 15026</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Lima, Peru</w:t>
      </w: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42" w:lineRule="exact"/>
        <w:rPr>
          <w:sz w:val="24"/>
          <w:szCs w:val="24"/>
          <w:color w:val="auto"/>
        </w:rPr>
      </w:pPr>
    </w:p>
    <w:p>
      <w:pPr>
        <w:jc w:val="center"/>
        <w:ind w:right="-39"/>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10" w:lineRule="exact"/>
        <w:rPr>
          <w:sz w:val="24"/>
          <w:szCs w:val="24"/>
          <w:color w:val="auto"/>
        </w:rPr>
      </w:pPr>
    </w:p>
    <w:p>
      <w:pPr>
        <w:jc w:val="both"/>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information in this Form 6-K (including any </w:t>
      </w:r>
      <w:hyperlink w:anchor="page1">
        <w:r>
          <w:rPr>
            <w:rFonts w:ascii="Times New Roman" w:cs="Times New Roman" w:eastAsia="Times New Roman" w:hAnsi="Times New Roman"/>
            <w:sz w:val="16"/>
            <w:szCs w:val="16"/>
            <w:u w:val="single" w:color="auto"/>
            <w:color w:val="0000EE"/>
          </w:rPr>
          <w:t>exhibit</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234315</wp:posOffset>
            </wp:positionV>
            <wp:extent cx="6707505" cy="30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356235</wp:posOffset>
            </wp:positionV>
            <wp:extent cx="670750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792" w:right="680" w:bottom="1440" w:gutter="0" w:footer="0" w:header="0"/>
        </w:sectPr>
      </w:pPr>
    </w:p>
    <w:bookmarkStart w:id="1" w:name="page2"/>
    <w:bookmarkEnd w:id="1"/>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78"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Date: November 17, 2025</w:t>
      </w:r>
    </w:p>
    <w:p>
      <w:pPr>
        <w:spacing w:after="0" w:line="1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CREDICORP LTD.</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(Registrant)</w:t>
      </w:r>
    </w:p>
    <w:p>
      <w:pPr>
        <w:spacing w:after="0" w:line="158"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3677920</wp:posOffset>
            </wp:positionH>
            <wp:positionV relativeFrom="paragraph">
              <wp:posOffset>5715</wp:posOffset>
            </wp:positionV>
            <wp:extent cx="224853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8535" cy="15240"/>
                    </a:xfrm>
                    <a:prstGeom prst="rect">
                      <a:avLst/>
                    </a:prstGeom>
                    <a:noFill/>
                  </pic:spPr>
                </pic:pic>
              </a:graphicData>
            </a:graphic>
          </wp:anchor>
        </w:drawing>
      </w:r>
    </w:p>
    <w:p>
      <w:pPr>
        <w:ind w:left="5800"/>
        <w:spacing w:after="0"/>
        <w:rPr>
          <w:sz w:val="20"/>
          <w:szCs w:val="20"/>
          <w:color w:val="auto"/>
        </w:rPr>
      </w:pPr>
      <w:r>
        <w:rPr>
          <w:rFonts w:ascii="Times New Roman" w:cs="Times New Roman" w:eastAsia="Times New Roman" w:hAnsi="Times New Roman"/>
          <w:sz w:val="16"/>
          <w:szCs w:val="16"/>
          <w:b w:val="1"/>
          <w:bCs w:val="1"/>
          <w:color w:val="auto"/>
        </w:rPr>
        <w:t>Milagros Cigüeñas</w:t>
      </w:r>
    </w:p>
    <w:p>
      <w:pPr>
        <w:spacing w:after="0" w:line="1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268605</wp:posOffset>
            </wp:positionV>
            <wp:extent cx="670750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220"/>
          </w:cols>
          <w:pgMar w:left="660" w:top="555" w:right="1020" w:bottom="1440" w:gutter="0" w:footer="0" w:header="0"/>
        </w:sectPr>
      </w:pPr>
    </w:p>
    <w:bookmarkStart w:id="2" w:name="page3"/>
    <w:bookmarkEnd w:id="2"/>
    <w:p>
      <w:pPr>
        <w:ind w:left="89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30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3048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127000</wp:posOffset>
            </wp:positionV>
            <wp:extent cx="6707505" cy="6044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6044565"/>
                    </a:xfrm>
                    <a:prstGeom prst="rect">
                      <a:avLst/>
                    </a:prstGeom>
                    <a:noFill/>
                  </pic:spPr>
                </pic:pic>
              </a:graphicData>
            </a:graphic>
          </wp:anchor>
        </w:drawing>
      </w:r>
    </w:p>
    <w:p>
      <w:pPr>
        <w:sectPr>
          <w:pgSz w:w="11900" w:h="16840" w:orient="portrait"/>
          <w:cols w:equalWidth="0" w:num="1">
            <w:col w:w="9800"/>
          </w:cols>
          <w:pgMar w:left="1440" w:top="676" w:right="660" w:bottom="1440" w:gutter="0" w:footer="0" w:header="0"/>
        </w:sectPr>
      </w:pPr>
    </w:p>
    <w:bookmarkStart w:id="3" w:name="page4"/>
    <w:bookmarkEnd w:id="3"/>
    <w:p>
      <w:pPr>
        <w:ind w:left="2560"/>
        <w:spacing w:after="0"/>
        <w:tabs>
          <w:tab w:leader="none" w:pos="284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94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59436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43"/>
          <w:szCs w:val="43"/>
          <w:b w:val="1"/>
          <w:bCs w:val="1"/>
          <w:color w:val="2AD2C8"/>
        </w:rPr>
        <w:t>Table of Contents</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66"/>
        </w:trPr>
        <w:tc>
          <w:tcPr>
            <w:tcW w:w="6940" w:type="dxa"/>
            <w:vAlign w:val="bottom"/>
          </w:tcPr>
          <w:p>
            <w:pPr>
              <w:spacing w:after="0"/>
              <w:rPr>
                <w:sz w:val="20"/>
                <w:szCs w:val="20"/>
                <w:color w:val="auto"/>
              </w:rPr>
            </w:pPr>
            <w:r>
              <w:rPr>
                <w:rFonts w:ascii="Arial" w:cs="Arial" w:eastAsia="Arial" w:hAnsi="Arial"/>
                <w:sz w:val="19"/>
                <w:szCs w:val="19"/>
                <w:b w:val="1"/>
                <w:bCs w:val="1"/>
                <w:color w:val="A6A6A6"/>
              </w:rPr>
              <w:t>Operating and Financial Highlights</w:t>
            </w:r>
          </w:p>
        </w:tc>
        <w:tc>
          <w:tcPr>
            <w:tcW w:w="2760" w:type="dxa"/>
            <w:vAlign w:val="bottom"/>
          </w:tcPr>
          <w:p>
            <w:pPr>
              <w:jc w:val="right"/>
              <w:spacing w:after="0"/>
              <w:rPr>
                <w:sz w:val="20"/>
                <w:szCs w:val="20"/>
                <w:color w:val="auto"/>
              </w:rPr>
            </w:pPr>
            <w:r>
              <w:rPr>
                <w:rFonts w:ascii="Arial" w:cs="Arial" w:eastAsia="Arial" w:hAnsi="Arial"/>
                <w:sz w:val="19"/>
                <w:szCs w:val="19"/>
                <w:color w:val="auto"/>
              </w:rPr>
              <w:t>03</w:t>
            </w:r>
          </w:p>
        </w:tc>
      </w:tr>
      <w:tr>
        <w:trPr>
          <w:trHeight w:val="456"/>
        </w:trPr>
        <w:tc>
          <w:tcPr>
            <w:tcW w:w="6940" w:type="dxa"/>
            <w:vAlign w:val="bottom"/>
          </w:tcPr>
          <w:p>
            <w:pPr>
              <w:spacing w:after="0"/>
              <w:rPr>
                <w:sz w:val="20"/>
                <w:szCs w:val="20"/>
                <w:color w:val="auto"/>
              </w:rPr>
            </w:pPr>
            <w:r>
              <w:rPr>
                <w:rFonts w:ascii="Arial" w:cs="Arial" w:eastAsia="Arial" w:hAnsi="Arial"/>
                <w:sz w:val="19"/>
                <w:szCs w:val="19"/>
                <w:b w:val="1"/>
                <w:bCs w:val="1"/>
                <w:color w:val="A6A6A6"/>
              </w:rPr>
              <w:t>Senior Management Quotes</w:t>
            </w:r>
          </w:p>
        </w:tc>
        <w:tc>
          <w:tcPr>
            <w:tcW w:w="2760" w:type="dxa"/>
            <w:vAlign w:val="bottom"/>
          </w:tcPr>
          <w:p>
            <w:pPr>
              <w:jc w:val="right"/>
              <w:spacing w:after="0"/>
              <w:rPr>
                <w:sz w:val="20"/>
                <w:szCs w:val="20"/>
                <w:color w:val="auto"/>
              </w:rPr>
            </w:pPr>
            <w:r>
              <w:rPr>
                <w:rFonts w:ascii="Arial" w:cs="Arial" w:eastAsia="Arial" w:hAnsi="Arial"/>
                <w:sz w:val="19"/>
                <w:szCs w:val="19"/>
                <w:color w:val="auto"/>
              </w:rPr>
              <w:t>04</w:t>
            </w:r>
          </w:p>
        </w:tc>
      </w:tr>
      <w:tr>
        <w:trPr>
          <w:trHeight w:val="456"/>
        </w:trPr>
        <w:tc>
          <w:tcPr>
            <w:tcW w:w="6940" w:type="dxa"/>
            <w:vAlign w:val="bottom"/>
          </w:tcPr>
          <w:p>
            <w:pPr>
              <w:spacing w:after="0"/>
              <w:rPr>
                <w:sz w:val="20"/>
                <w:szCs w:val="20"/>
                <w:color w:val="auto"/>
              </w:rPr>
            </w:pPr>
            <w:r>
              <w:rPr>
                <w:rFonts w:ascii="Arial" w:cs="Arial" w:eastAsia="Arial" w:hAnsi="Arial"/>
                <w:sz w:val="19"/>
                <w:szCs w:val="19"/>
                <w:b w:val="1"/>
                <w:bCs w:val="1"/>
                <w:color w:val="A6A6A6"/>
              </w:rPr>
              <w:t>Third Quarter 2025 Earnings Conference Call</w:t>
            </w:r>
          </w:p>
        </w:tc>
        <w:tc>
          <w:tcPr>
            <w:tcW w:w="2760" w:type="dxa"/>
            <w:vAlign w:val="bottom"/>
          </w:tcPr>
          <w:p>
            <w:pPr>
              <w:jc w:val="right"/>
              <w:spacing w:after="0"/>
              <w:rPr>
                <w:sz w:val="20"/>
                <w:szCs w:val="20"/>
                <w:color w:val="auto"/>
              </w:rPr>
            </w:pPr>
            <w:r>
              <w:rPr>
                <w:rFonts w:ascii="Arial" w:cs="Arial" w:eastAsia="Arial" w:hAnsi="Arial"/>
                <w:sz w:val="19"/>
                <w:szCs w:val="19"/>
                <w:color w:val="auto"/>
              </w:rPr>
              <w:t>05</w:t>
            </w:r>
          </w:p>
        </w:tc>
      </w:tr>
      <w:tr>
        <w:trPr>
          <w:trHeight w:val="456"/>
        </w:trPr>
        <w:tc>
          <w:tcPr>
            <w:tcW w:w="6940" w:type="dxa"/>
            <w:vAlign w:val="bottom"/>
          </w:tcPr>
          <w:p>
            <w:pPr>
              <w:spacing w:after="0"/>
              <w:rPr>
                <w:sz w:val="20"/>
                <w:szCs w:val="20"/>
                <w:color w:val="auto"/>
              </w:rPr>
            </w:pPr>
            <w:r>
              <w:rPr>
                <w:rFonts w:ascii="Arial" w:cs="Arial" w:eastAsia="Arial" w:hAnsi="Arial"/>
                <w:sz w:val="19"/>
                <w:szCs w:val="19"/>
                <w:b w:val="1"/>
                <w:bCs w:val="1"/>
                <w:color w:val="A6A6A6"/>
              </w:rPr>
              <w:t>Summary of Financial Performance and Outlook</w:t>
            </w:r>
          </w:p>
        </w:tc>
        <w:tc>
          <w:tcPr>
            <w:tcW w:w="2760" w:type="dxa"/>
            <w:vAlign w:val="bottom"/>
          </w:tcPr>
          <w:p>
            <w:pPr>
              <w:jc w:val="right"/>
              <w:spacing w:after="0"/>
              <w:rPr>
                <w:sz w:val="20"/>
                <w:szCs w:val="20"/>
                <w:color w:val="auto"/>
              </w:rPr>
            </w:pPr>
            <w:r>
              <w:rPr>
                <w:rFonts w:ascii="Arial" w:cs="Arial" w:eastAsia="Arial" w:hAnsi="Arial"/>
                <w:sz w:val="19"/>
                <w:szCs w:val="19"/>
                <w:color w:val="auto"/>
              </w:rPr>
              <w:t>06</w:t>
            </w:r>
          </w:p>
        </w:tc>
      </w:tr>
      <w:tr>
        <w:trPr>
          <w:trHeight w:val="456"/>
        </w:trPr>
        <w:tc>
          <w:tcPr>
            <w:tcW w:w="6940" w:type="dxa"/>
            <w:vAlign w:val="bottom"/>
          </w:tcPr>
          <w:p>
            <w:pPr>
              <w:spacing w:after="0"/>
              <w:rPr>
                <w:sz w:val="20"/>
                <w:szCs w:val="20"/>
                <w:color w:val="auto"/>
              </w:rPr>
            </w:pPr>
            <w:r>
              <w:rPr>
                <w:rFonts w:ascii="Arial" w:cs="Arial" w:eastAsia="Arial" w:hAnsi="Arial"/>
                <w:sz w:val="19"/>
                <w:szCs w:val="19"/>
                <w:b w:val="1"/>
                <w:bCs w:val="1"/>
                <w:color w:val="A6A6A6"/>
              </w:rPr>
              <w:t>Financial Overview</w:t>
            </w:r>
          </w:p>
        </w:tc>
        <w:tc>
          <w:tcPr>
            <w:tcW w:w="276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456"/>
        </w:trPr>
        <w:tc>
          <w:tcPr>
            <w:tcW w:w="6940" w:type="dxa"/>
            <w:vAlign w:val="bottom"/>
          </w:tcPr>
          <w:p>
            <w:pPr>
              <w:spacing w:after="0"/>
              <w:rPr>
                <w:sz w:val="20"/>
                <w:szCs w:val="20"/>
                <w:color w:val="auto"/>
              </w:rPr>
            </w:pPr>
            <w:r>
              <w:rPr>
                <w:rFonts w:ascii="Arial" w:cs="Arial" w:eastAsia="Arial" w:hAnsi="Arial"/>
                <w:sz w:val="19"/>
                <w:szCs w:val="19"/>
                <w:b w:val="1"/>
                <w:bCs w:val="1"/>
                <w:color w:val="A6A6A6"/>
              </w:rPr>
              <w:t>Credicorp’s Strategy Update</w:t>
            </w:r>
          </w:p>
        </w:tc>
        <w:tc>
          <w:tcPr>
            <w:tcW w:w="276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456"/>
        </w:trPr>
        <w:tc>
          <w:tcPr>
            <w:tcW w:w="6940" w:type="dxa"/>
            <w:vAlign w:val="bottom"/>
          </w:tcPr>
          <w:p>
            <w:pPr>
              <w:spacing w:after="0"/>
              <w:rPr>
                <w:sz w:val="20"/>
                <w:szCs w:val="20"/>
                <w:color w:val="auto"/>
              </w:rPr>
            </w:pPr>
            <w:r>
              <w:rPr>
                <w:rFonts w:ascii="Arial" w:cs="Arial" w:eastAsia="Arial" w:hAnsi="Arial"/>
                <w:sz w:val="19"/>
                <w:szCs w:val="19"/>
                <w:b w:val="1"/>
                <w:bCs w:val="1"/>
                <w:color w:val="A6A6A6"/>
              </w:rPr>
              <w:t>Analysis of 3Q25 Consolidated Results</w:t>
            </w:r>
          </w:p>
        </w:tc>
        <w:tc>
          <w:tcPr>
            <w:tcW w:w="2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-1897380</wp:posOffset>
            </wp:positionV>
            <wp:extent cx="106680" cy="106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-1607820</wp:posOffset>
            </wp:positionV>
            <wp:extent cx="106680" cy="106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-1318260</wp:posOffset>
            </wp:positionV>
            <wp:extent cx="106680" cy="106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-1028065</wp:posOffset>
            </wp:positionV>
            <wp:extent cx="106680" cy="106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-738505</wp:posOffset>
            </wp:positionV>
            <wp:extent cx="106680" cy="106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-448945</wp:posOffset>
            </wp:positionV>
            <wp:extent cx="106680" cy="106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-159385</wp:posOffset>
            </wp:positionV>
            <wp:extent cx="106680" cy="106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680" cy="106680"/>
                    </a:xfrm>
                    <a:prstGeom prst="rect">
                      <a:avLst/>
                    </a:prstGeom>
                    <a:noFill/>
                  </pic:spPr>
                </pic:pic>
              </a:graphicData>
            </a:graphic>
          </wp:anchor>
        </w:drawing>
      </w:r>
    </w:p>
    <w:p>
      <w:pPr>
        <w:sectPr>
          <w:pgSz w:w="11900" w:h="16840" w:orient="portrait"/>
          <w:cols w:equalWidth="0" w:num="1">
            <w:col w:w="10560"/>
          </w:cols>
          <w:pgMar w:left="660" w:top="883" w:right="680" w:bottom="1440" w:gutter="0" w:footer="0" w:header="0"/>
        </w:sectPr>
      </w:pPr>
    </w:p>
    <w:p>
      <w:pPr>
        <w:spacing w:after="0" w:line="297" w:lineRule="exact"/>
        <w:rPr>
          <w:sz w:val="20"/>
          <w:szCs w:val="20"/>
          <w:color w:val="auto"/>
        </w:rPr>
      </w:pPr>
    </w:p>
    <w:p>
      <w:pPr>
        <w:ind w:left="1020"/>
        <w:spacing w:after="0"/>
        <w:rPr>
          <w:sz w:val="20"/>
          <w:szCs w:val="20"/>
          <w:color w:val="auto"/>
        </w:rPr>
      </w:pPr>
      <w:r>
        <w:rPr>
          <w:rFonts w:ascii="Arial" w:cs="Arial" w:eastAsia="Arial" w:hAnsi="Arial"/>
          <w:sz w:val="37"/>
          <w:szCs w:val="37"/>
          <w:b w:val="1"/>
          <w:bCs w:val="1"/>
          <w:color w:val="E93BAC"/>
        </w:rPr>
        <w:t>01</w:t>
      </w:r>
    </w:p>
    <w:p>
      <w:pPr>
        <w:spacing w:after="0" w:line="106" w:lineRule="exact"/>
        <w:rPr>
          <w:sz w:val="20"/>
          <w:szCs w:val="20"/>
          <w:color w:val="auto"/>
        </w:rPr>
      </w:pPr>
    </w:p>
    <w:p>
      <w:pPr>
        <w:ind w:left="1020"/>
        <w:spacing w:after="0"/>
        <w:rPr>
          <w:sz w:val="20"/>
          <w:szCs w:val="20"/>
          <w:color w:val="auto"/>
        </w:rPr>
      </w:pPr>
      <w:r>
        <w:rPr>
          <w:rFonts w:ascii="Arial" w:cs="Arial" w:eastAsia="Arial" w:hAnsi="Arial"/>
          <w:sz w:val="37"/>
          <w:szCs w:val="37"/>
          <w:b w:val="1"/>
          <w:bCs w:val="1"/>
          <w:color w:val="E93BAC"/>
        </w:rPr>
        <w:t>02</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37"/>
          <w:szCs w:val="37"/>
          <w:b w:val="1"/>
          <w:bCs w:val="1"/>
          <w:color w:val="E93BAC"/>
        </w:rPr>
        <w:t>03</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37"/>
          <w:szCs w:val="37"/>
          <w:b w:val="1"/>
          <w:bCs w:val="1"/>
          <w:color w:val="E93BAC"/>
        </w:rPr>
        <w:t>04</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37"/>
          <w:szCs w:val="37"/>
          <w:b w:val="1"/>
          <w:bCs w:val="1"/>
          <w:color w:val="E93BAC"/>
        </w:rPr>
        <w:t>05</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37"/>
          <w:szCs w:val="37"/>
          <w:b w:val="1"/>
          <w:bCs w:val="1"/>
          <w:color w:val="E93BAC"/>
        </w:rPr>
        <w:t>06</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37"/>
          <w:szCs w:val="37"/>
          <w:b w:val="1"/>
          <w:bCs w:val="1"/>
          <w:color w:val="E93BAC"/>
        </w:rPr>
        <w:t>07</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37"/>
          <w:szCs w:val="37"/>
          <w:b w:val="1"/>
          <w:bCs w:val="1"/>
          <w:color w:val="E93BAC"/>
        </w:rPr>
        <w:t>08</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37"/>
          <w:szCs w:val="37"/>
          <w:b w:val="1"/>
          <w:bCs w:val="1"/>
          <w:color w:val="E93BAC"/>
        </w:rPr>
        <w:t>09</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37"/>
          <w:szCs w:val="37"/>
          <w:b w:val="1"/>
          <w:bCs w:val="1"/>
          <w:color w:val="E93BAC"/>
        </w:rPr>
        <w:t>10</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37"/>
          <w:szCs w:val="37"/>
          <w:b w:val="1"/>
          <w:bCs w:val="1"/>
          <w:color w:val="E93BAC"/>
        </w:rPr>
        <w:t>11</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37"/>
          <w:szCs w:val="37"/>
          <w:b w:val="1"/>
          <w:bCs w:val="1"/>
          <w:color w:val="E93BAC"/>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780" w:type="dxa"/>
            <w:vAlign w:val="bottom"/>
          </w:tcPr>
          <w:p>
            <w:pPr>
              <w:spacing w:after="0"/>
              <w:rPr>
                <w:sz w:val="20"/>
                <w:szCs w:val="20"/>
                <w:color w:val="auto"/>
              </w:rPr>
            </w:pPr>
            <w:r>
              <w:rPr>
                <w:rFonts w:ascii="Arial" w:cs="Arial" w:eastAsia="Arial" w:hAnsi="Arial"/>
                <w:sz w:val="19"/>
                <w:szCs w:val="19"/>
                <w:color w:val="E93BAC"/>
              </w:rPr>
              <w:t>Loan Portfolio</w:t>
            </w:r>
          </w:p>
        </w:tc>
        <w:tc>
          <w:tcPr>
            <w:tcW w:w="214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492"/>
        </w:trPr>
        <w:tc>
          <w:tcPr>
            <w:tcW w:w="6780" w:type="dxa"/>
            <w:vAlign w:val="bottom"/>
          </w:tcPr>
          <w:p>
            <w:pPr>
              <w:spacing w:after="0"/>
              <w:rPr>
                <w:sz w:val="20"/>
                <w:szCs w:val="20"/>
                <w:color w:val="auto"/>
              </w:rPr>
            </w:pPr>
            <w:r>
              <w:rPr>
                <w:rFonts w:ascii="Arial" w:cs="Arial" w:eastAsia="Arial" w:hAnsi="Arial"/>
                <w:sz w:val="19"/>
                <w:szCs w:val="19"/>
                <w:color w:val="E93BAC"/>
              </w:rPr>
              <w:t>Deposits</w:t>
            </w:r>
          </w:p>
        </w:tc>
        <w:tc>
          <w:tcPr>
            <w:tcW w:w="214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492"/>
        </w:trPr>
        <w:tc>
          <w:tcPr>
            <w:tcW w:w="6780" w:type="dxa"/>
            <w:vAlign w:val="bottom"/>
          </w:tcPr>
          <w:p>
            <w:pPr>
              <w:spacing w:after="0"/>
              <w:rPr>
                <w:sz w:val="20"/>
                <w:szCs w:val="20"/>
                <w:color w:val="auto"/>
              </w:rPr>
            </w:pPr>
            <w:r>
              <w:rPr>
                <w:rFonts w:ascii="Arial" w:cs="Arial" w:eastAsia="Arial" w:hAnsi="Arial"/>
                <w:sz w:val="19"/>
                <w:szCs w:val="19"/>
                <w:color w:val="E93BAC"/>
              </w:rPr>
              <w:t>Interest Earning Assets and Funding</w:t>
            </w:r>
          </w:p>
        </w:tc>
        <w:tc>
          <w:tcPr>
            <w:tcW w:w="214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492"/>
        </w:trPr>
        <w:tc>
          <w:tcPr>
            <w:tcW w:w="6780" w:type="dxa"/>
            <w:vAlign w:val="bottom"/>
          </w:tcPr>
          <w:p>
            <w:pPr>
              <w:spacing w:after="0"/>
              <w:rPr>
                <w:sz w:val="20"/>
                <w:szCs w:val="20"/>
                <w:color w:val="auto"/>
              </w:rPr>
            </w:pPr>
            <w:r>
              <w:rPr>
                <w:rFonts w:ascii="Arial" w:cs="Arial" w:eastAsia="Arial" w:hAnsi="Arial"/>
                <w:sz w:val="19"/>
                <w:szCs w:val="19"/>
                <w:color w:val="E93BAC"/>
              </w:rPr>
              <w:t>Net Interest Income (NII)</w:t>
            </w:r>
          </w:p>
        </w:tc>
        <w:tc>
          <w:tcPr>
            <w:tcW w:w="214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492"/>
        </w:trPr>
        <w:tc>
          <w:tcPr>
            <w:tcW w:w="6780" w:type="dxa"/>
            <w:vAlign w:val="bottom"/>
          </w:tcPr>
          <w:p>
            <w:pPr>
              <w:spacing w:after="0"/>
              <w:rPr>
                <w:sz w:val="20"/>
                <w:szCs w:val="20"/>
                <w:color w:val="auto"/>
              </w:rPr>
            </w:pPr>
            <w:r>
              <w:rPr>
                <w:rFonts w:ascii="Arial" w:cs="Arial" w:eastAsia="Arial" w:hAnsi="Arial"/>
                <w:sz w:val="19"/>
                <w:szCs w:val="19"/>
                <w:color w:val="E93BAC"/>
              </w:rPr>
              <w:t>Portfolio Quality and Provisions</w:t>
            </w:r>
          </w:p>
        </w:tc>
        <w:tc>
          <w:tcPr>
            <w:tcW w:w="214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492"/>
        </w:trPr>
        <w:tc>
          <w:tcPr>
            <w:tcW w:w="6780" w:type="dxa"/>
            <w:vAlign w:val="bottom"/>
          </w:tcPr>
          <w:p>
            <w:pPr>
              <w:spacing w:after="0"/>
              <w:rPr>
                <w:sz w:val="20"/>
                <w:szCs w:val="20"/>
                <w:color w:val="auto"/>
              </w:rPr>
            </w:pPr>
            <w:r>
              <w:rPr>
                <w:rFonts w:ascii="Arial" w:cs="Arial" w:eastAsia="Arial" w:hAnsi="Arial"/>
                <w:sz w:val="19"/>
                <w:szCs w:val="19"/>
                <w:color w:val="E93BAC"/>
              </w:rPr>
              <w:t>Other Income</w:t>
            </w:r>
          </w:p>
        </w:tc>
        <w:tc>
          <w:tcPr>
            <w:tcW w:w="214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492"/>
        </w:trPr>
        <w:tc>
          <w:tcPr>
            <w:tcW w:w="6780" w:type="dxa"/>
            <w:vAlign w:val="bottom"/>
          </w:tcPr>
          <w:p>
            <w:pPr>
              <w:spacing w:after="0"/>
              <w:rPr>
                <w:sz w:val="20"/>
                <w:szCs w:val="20"/>
                <w:color w:val="auto"/>
              </w:rPr>
            </w:pPr>
            <w:r>
              <w:rPr>
                <w:rFonts w:ascii="Arial" w:cs="Arial" w:eastAsia="Arial" w:hAnsi="Arial"/>
                <w:sz w:val="19"/>
                <w:szCs w:val="19"/>
                <w:color w:val="E93BAC"/>
              </w:rPr>
              <w:t>Insurance Underwriting Results and the Medical Services</w:t>
            </w:r>
          </w:p>
        </w:tc>
        <w:tc>
          <w:tcPr>
            <w:tcW w:w="214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492"/>
        </w:trPr>
        <w:tc>
          <w:tcPr>
            <w:tcW w:w="6780" w:type="dxa"/>
            <w:vAlign w:val="bottom"/>
          </w:tcPr>
          <w:p>
            <w:pPr>
              <w:spacing w:after="0"/>
              <w:rPr>
                <w:sz w:val="20"/>
                <w:szCs w:val="20"/>
                <w:color w:val="auto"/>
              </w:rPr>
            </w:pPr>
            <w:r>
              <w:rPr>
                <w:rFonts w:ascii="Arial" w:cs="Arial" w:eastAsia="Arial" w:hAnsi="Arial"/>
                <w:sz w:val="19"/>
                <w:szCs w:val="19"/>
                <w:color w:val="E93BAC"/>
              </w:rPr>
              <w:t>Operating Expenses</w:t>
            </w:r>
          </w:p>
        </w:tc>
        <w:tc>
          <w:tcPr>
            <w:tcW w:w="214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492"/>
        </w:trPr>
        <w:tc>
          <w:tcPr>
            <w:tcW w:w="6780" w:type="dxa"/>
            <w:vAlign w:val="bottom"/>
          </w:tcPr>
          <w:p>
            <w:pPr>
              <w:spacing w:after="0"/>
              <w:rPr>
                <w:sz w:val="20"/>
                <w:szCs w:val="20"/>
                <w:color w:val="auto"/>
              </w:rPr>
            </w:pPr>
            <w:r>
              <w:rPr>
                <w:rFonts w:ascii="Arial" w:cs="Arial" w:eastAsia="Arial" w:hAnsi="Arial"/>
                <w:sz w:val="19"/>
                <w:szCs w:val="19"/>
                <w:color w:val="E93BAC"/>
              </w:rPr>
              <w:t>Operating Efficiency</w:t>
            </w:r>
          </w:p>
        </w:tc>
        <w:tc>
          <w:tcPr>
            <w:tcW w:w="214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492"/>
        </w:trPr>
        <w:tc>
          <w:tcPr>
            <w:tcW w:w="6780" w:type="dxa"/>
            <w:vAlign w:val="bottom"/>
          </w:tcPr>
          <w:p>
            <w:pPr>
              <w:spacing w:after="0"/>
              <w:rPr>
                <w:sz w:val="20"/>
                <w:szCs w:val="20"/>
                <w:color w:val="auto"/>
              </w:rPr>
            </w:pPr>
            <w:r>
              <w:rPr>
                <w:rFonts w:ascii="Arial" w:cs="Arial" w:eastAsia="Arial" w:hAnsi="Arial"/>
                <w:sz w:val="19"/>
                <w:szCs w:val="19"/>
                <w:color w:val="E93BAC"/>
              </w:rPr>
              <w:t>Regulatory Capital</w:t>
            </w:r>
          </w:p>
        </w:tc>
        <w:tc>
          <w:tcPr>
            <w:tcW w:w="214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492"/>
        </w:trPr>
        <w:tc>
          <w:tcPr>
            <w:tcW w:w="6780" w:type="dxa"/>
            <w:vAlign w:val="bottom"/>
          </w:tcPr>
          <w:p>
            <w:pPr>
              <w:spacing w:after="0"/>
              <w:rPr>
                <w:sz w:val="20"/>
                <w:szCs w:val="20"/>
                <w:color w:val="auto"/>
              </w:rPr>
            </w:pPr>
            <w:r>
              <w:rPr>
                <w:rFonts w:ascii="Arial" w:cs="Arial" w:eastAsia="Arial" w:hAnsi="Arial"/>
                <w:sz w:val="19"/>
                <w:szCs w:val="19"/>
                <w:color w:val="E93BAC"/>
              </w:rPr>
              <w:t>Economic Outlook</w:t>
            </w:r>
          </w:p>
        </w:tc>
        <w:tc>
          <w:tcPr>
            <w:tcW w:w="214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492"/>
        </w:trPr>
        <w:tc>
          <w:tcPr>
            <w:tcW w:w="6780" w:type="dxa"/>
            <w:vAlign w:val="bottom"/>
          </w:tcPr>
          <w:p>
            <w:pPr>
              <w:spacing w:after="0"/>
              <w:rPr>
                <w:sz w:val="20"/>
                <w:szCs w:val="20"/>
                <w:color w:val="auto"/>
              </w:rPr>
            </w:pPr>
            <w:r>
              <w:rPr>
                <w:rFonts w:ascii="Arial" w:cs="Arial" w:eastAsia="Arial" w:hAnsi="Arial"/>
                <w:sz w:val="19"/>
                <w:szCs w:val="19"/>
                <w:color w:val="E93BAC"/>
              </w:rPr>
              <w:t>Appendix</w:t>
            </w:r>
          </w:p>
        </w:tc>
        <w:tc>
          <w:tcPr>
            <w:tcW w:w="2140" w:type="dxa"/>
            <w:vAlign w:val="bottom"/>
          </w:tcPr>
          <w:p>
            <w:pPr>
              <w:jc w:val="right"/>
              <w:spacing w:after="0"/>
              <w:rPr>
                <w:sz w:val="20"/>
                <w:szCs w:val="20"/>
                <w:color w:val="auto"/>
              </w:rPr>
            </w:pPr>
            <w:r>
              <w:rPr>
                <w:rFonts w:ascii="Arial" w:cs="Arial" w:eastAsia="Arial" w:hAnsi="Arial"/>
                <w:sz w:val="19"/>
                <w:szCs w:val="19"/>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821690</wp:posOffset>
            </wp:positionV>
            <wp:extent cx="670750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181610</wp:posOffset>
            </wp:positionV>
            <wp:extent cx="6021705" cy="525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21705" cy="525780"/>
                    </a:xfrm>
                    <a:prstGeom prst="rect">
                      <a:avLst/>
                    </a:prstGeom>
                    <a:noFill/>
                  </pic:spPr>
                </pic:pic>
              </a:graphicData>
            </a:graphic>
          </wp:anchor>
        </w:drawing>
      </w:r>
    </w:p>
    <w:p>
      <w:pPr>
        <w:sectPr>
          <w:pgSz w:w="11900" w:h="16840" w:orient="portrait"/>
          <w:cols w:equalWidth="0" w:num="2">
            <w:col w:w="1440" w:space="180"/>
            <w:col w:w="8940"/>
          </w:cols>
          <w:pgMar w:left="660" w:top="883" w:right="680" w:bottom="1440" w:gutter="0" w:footer="0" w:header="0"/>
          <w:type w:val="continuous"/>
        </w:sectPr>
      </w:pPr>
    </w:p>
    <w:bookmarkStart w:id="4" w:name="page5"/>
    <w:bookmarkEnd w:id="4"/>
    <w:p>
      <w:pPr>
        <w:ind w:left="2560"/>
        <w:spacing w:after="0"/>
        <w:tabs>
          <w:tab w:leader="none" w:pos="286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39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7505" cy="7391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Credicorp Ltd. Reports Financial and Operating Results for 3Q25</w:t>
      </w:r>
    </w:p>
    <w:p>
      <w:pPr>
        <w:spacing w:after="0" w:line="1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Strong performance from Universal Banking and Insurance &amp; Pensions, sustained recovery in Microfinance, and continued expansion of fee-based and</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transactional income highlight the strength of our ecosystem</w:t>
      </w:r>
    </w:p>
    <w:p>
      <w:pPr>
        <w:spacing w:after="0" w:line="78" w:lineRule="exact"/>
        <w:rPr>
          <w:sz w:val="20"/>
          <w:szCs w:val="20"/>
          <w:color w:val="auto"/>
        </w:rPr>
      </w:pPr>
    </w:p>
    <w:p>
      <w:pPr>
        <w:ind w:left="600" w:right="420" w:hanging="329"/>
        <w:spacing w:after="0" w:line="438" w:lineRule="auto"/>
        <w:rPr>
          <w:sz w:val="20"/>
          <w:szCs w:val="20"/>
          <w:color w:val="auto"/>
        </w:rPr>
      </w:pPr>
      <w:r>
        <w:rPr>
          <w:rFonts w:ascii="Arial" w:cs="Arial" w:eastAsia="Arial" w:hAnsi="Arial"/>
          <w:sz w:val="14"/>
          <w:szCs w:val="14"/>
          <w:color w:val="auto"/>
        </w:rPr>
        <w:t>Risk adjusted NIM up 60 bps YoY reaching a record-high 5.53% reflecting increasing NIM and lower Cost of Risk from fortified risk management Innovation portfolio contributed 7.4% of risk-adjusted revenues, advancing decoupling strategy and tracking toward 10% target by 2026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ROE at 19.6%, reflecting solid business performance across core businesses and growing contribution of the innovation portfolio</w:t>
      </w:r>
    </w:p>
    <w:p>
      <w:pPr>
        <w:spacing w:after="0" w:line="138"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color w:val="auto"/>
        </w:rPr>
        <w:t xml:space="preserve">Lima, Peru – November 13, 2025 – Credicorp Ltd. (“Credicorp” or “the Company”) (NYSE: BAP | BVL: BAP) </w:t>
      </w:r>
      <w:r>
        <w:rPr>
          <w:rFonts w:ascii="Arial" w:cs="Arial" w:eastAsia="Arial" w:hAnsi="Arial"/>
          <w:sz w:val="16"/>
          <w:szCs w:val="16"/>
          <w:color w:val="auto"/>
        </w:rPr>
        <w:t>, the leading financial services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Peru with a presence in Chile, Colombia, Bolivia, and Panama today reported its unaudited results for the three-and nine-months ended September 30, 2025. Financial results are expressed in Soles and are presented in accordance with IFRS.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3Q25 OPERATING AND FINANCIAL HIGHLIGHTS</w:t>
      </w:r>
    </w:p>
    <w:p>
      <w:pPr>
        <w:spacing w:after="0" w:line="140" w:lineRule="exact"/>
        <w:rPr>
          <w:sz w:val="20"/>
          <w:szCs w:val="20"/>
          <w:color w:val="auto"/>
        </w:rPr>
      </w:pPr>
    </w:p>
    <w:p>
      <w:pPr>
        <w:ind w:left="280" w:right="180" w:hanging="274"/>
        <w:spacing w:after="0" w:line="265" w:lineRule="auto"/>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Net income </w:t>
      </w:r>
      <w:r>
        <w:rPr>
          <w:rFonts w:ascii="Arial" w:cs="Arial" w:eastAsia="Arial" w:hAnsi="Arial"/>
          <w:sz w:val="16"/>
          <w:szCs w:val="16"/>
          <w:color w:val="auto"/>
        </w:rPr>
        <w:t>attributable to Credicorp increased 14.1% YoY and declined 4.6% QoQ to S/1,738.7 million, with ROE at 19.6% driven by contributions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from all lines of business.</w:t>
      </w:r>
    </w:p>
    <w:p>
      <w:pPr>
        <w:spacing w:after="0" w:line="49" w:lineRule="exact"/>
        <w:rPr>
          <w:rFonts w:ascii="Arial" w:cs="Arial" w:eastAsia="Arial" w:hAnsi="Arial"/>
          <w:sz w:val="16"/>
          <w:szCs w:val="16"/>
          <w:color w:val="auto"/>
        </w:rPr>
      </w:pPr>
    </w:p>
    <w:p>
      <w:pPr>
        <w:ind w:left="280" w:right="400" w:hanging="274"/>
        <w:spacing w:after="0" w:line="265" w:lineRule="auto"/>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Credicorp’s total assets </w:t>
      </w:r>
      <w:r>
        <w:rPr>
          <w:rFonts w:ascii="Arial" w:cs="Arial" w:eastAsia="Arial" w:hAnsi="Arial"/>
          <w:sz w:val="16"/>
          <w:szCs w:val="16"/>
          <w:color w:val="auto"/>
        </w:rPr>
        <w:t>declined 2.1% YoY due to a non-cash FX revaluation of Bolivia’s balance sheet. Loan and deposit figures exclude this</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adjustment.</w:t>
      </w:r>
    </w:p>
    <w:p>
      <w:pPr>
        <w:spacing w:after="0" w:line="49" w:lineRule="exact"/>
        <w:rPr>
          <w:rFonts w:ascii="Arial" w:cs="Arial" w:eastAsia="Arial" w:hAnsi="Arial"/>
          <w:sz w:val="16"/>
          <w:szCs w:val="16"/>
          <w:color w:val="auto"/>
        </w:rPr>
      </w:pPr>
    </w:p>
    <w:p>
      <w:pPr>
        <w:ind w:left="280" w:right="180" w:hanging="274"/>
        <w:spacing w:after="0" w:line="250" w:lineRule="auto"/>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Total Loans </w:t>
      </w:r>
      <w:r>
        <w:rPr>
          <w:rFonts w:ascii="Arial" w:cs="Arial" w:eastAsia="Arial" w:hAnsi="Arial"/>
          <w:sz w:val="16"/>
          <w:szCs w:val="16"/>
          <w:color w:val="auto"/>
        </w:rPr>
        <w:t>in quarter-end balances rose 4.4% YoY and 7.0% FX Neutral, reflecting growth at BCP through Retail Banking, by Mortgages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Consumer Loans, and Wholesale Banking. QoQ, Total Loans increased 1.6% and 2.4% FX Neutral, led by the same segments, along with SMEs at BCP and Mibanco.</w:t>
      </w:r>
    </w:p>
    <w:p>
      <w:pPr>
        <w:spacing w:after="0" w:line="61" w:lineRule="exact"/>
        <w:rPr>
          <w:rFonts w:ascii="Arial" w:cs="Arial" w:eastAsia="Arial" w:hAnsi="Arial"/>
          <w:sz w:val="16"/>
          <w:szCs w:val="16"/>
          <w:color w:val="auto"/>
        </w:rPr>
      </w:pPr>
    </w:p>
    <w:p>
      <w:pPr>
        <w:ind w:left="280" w:right="40" w:hanging="274"/>
        <w:spacing w:after="0" w:line="265" w:lineRule="auto"/>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Total Deposits </w:t>
      </w:r>
      <w:r>
        <w:rPr>
          <w:rFonts w:ascii="Arial" w:cs="Arial" w:eastAsia="Arial" w:hAnsi="Arial"/>
          <w:sz w:val="16"/>
          <w:szCs w:val="16"/>
          <w:color w:val="auto"/>
        </w:rPr>
        <w:t>increased 5.9% (+10.8% FX Neutral) YoY and 1.3% (+3.8% FX Neutral) QoQ, mainly driven by growth in both Low-cost deposits and</w:t>
      </w:r>
      <w:r>
        <w:rPr>
          <w:rFonts w:ascii="Arial" w:cs="Arial" w:eastAsia="Arial" w:hAnsi="Arial"/>
          <w:sz w:val="16"/>
          <w:szCs w:val="16"/>
          <w:b w:val="1"/>
          <w:bCs w:val="1"/>
          <w:color w:val="auto"/>
        </w:rPr>
        <w:t xml:space="preserve"> </w:t>
      </w:r>
      <w:r>
        <w:rPr>
          <w:rFonts w:ascii="Arial" w:cs="Arial" w:eastAsia="Arial" w:hAnsi="Arial"/>
          <w:sz w:val="16"/>
          <w:szCs w:val="16"/>
          <w:color w:val="auto"/>
        </w:rPr>
        <w:t>Term deposits. Low-cost deposits accounted for 69.8% of total deposits and 58.1% of the total funding base</w:t>
      </w:r>
      <w:r>
        <w:rPr>
          <w:rFonts w:ascii="Arial" w:cs="Arial" w:eastAsia="Arial" w:hAnsi="Arial"/>
          <w:sz w:val="16"/>
          <w:szCs w:val="16"/>
          <w:color w:val="4471C4"/>
        </w:rPr>
        <w:t>.</w:t>
      </w:r>
    </w:p>
    <w:p>
      <w:pPr>
        <w:spacing w:after="0" w:line="37" w:lineRule="exact"/>
        <w:rPr>
          <w:rFonts w:ascii="Arial" w:cs="Arial" w:eastAsia="Arial" w:hAnsi="Arial"/>
          <w:sz w:val="16"/>
          <w:szCs w:val="16"/>
          <w:color w:val="auto"/>
        </w:rPr>
      </w:pPr>
    </w:p>
    <w:p>
      <w:pPr>
        <w:ind w:left="280" w:right="140" w:hanging="274"/>
        <w:spacing w:after="0" w:line="275" w:lineRule="auto"/>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Net interest income (NII) </w:t>
      </w:r>
      <w:r>
        <w:rPr>
          <w:rFonts w:ascii="Arial" w:cs="Arial" w:eastAsia="Arial" w:hAnsi="Arial"/>
          <w:sz w:val="16"/>
          <w:szCs w:val="16"/>
          <w:color w:val="auto"/>
        </w:rPr>
        <w:t>rose 2.7% YoY, driven by a further strengthened funding mix and higher-yielding loan portfolio; and increased 2.0% QoQ.</w:t>
      </w:r>
      <w:r>
        <w:rPr>
          <w:rFonts w:ascii="Arial" w:cs="Arial" w:eastAsia="Arial" w:hAnsi="Arial"/>
          <w:sz w:val="16"/>
          <w:szCs w:val="16"/>
          <w:b w:val="1"/>
          <w:bCs w:val="1"/>
          <w:color w:val="auto"/>
        </w:rPr>
        <w:t xml:space="preserve"> Net Interest Margin (NIM) </w:t>
      </w:r>
      <w:r>
        <w:rPr>
          <w:rFonts w:ascii="Arial" w:cs="Arial" w:eastAsia="Arial" w:hAnsi="Arial"/>
          <w:sz w:val="16"/>
          <w:szCs w:val="16"/>
          <w:color w:val="auto"/>
        </w:rPr>
        <w:t>reached 6.57%, expanding 14 bps YoY and 15 bps QoQ.</w:t>
      </w:r>
    </w:p>
    <w:p>
      <w:pPr>
        <w:spacing w:after="0" w:line="34" w:lineRule="exact"/>
        <w:rPr>
          <w:rFonts w:ascii="Arial" w:cs="Arial" w:eastAsia="Arial" w:hAnsi="Arial"/>
          <w:sz w:val="16"/>
          <w:szCs w:val="16"/>
          <w:color w:val="auto"/>
        </w:rPr>
      </w:pPr>
    </w:p>
    <w:p>
      <w:pPr>
        <w:ind w:left="280" w:right="100" w:hanging="274"/>
        <w:spacing w:after="0" w:line="265" w:lineRule="auto"/>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NPL Ratio </w:t>
      </w:r>
      <w:r>
        <w:rPr>
          <w:rFonts w:ascii="Arial" w:cs="Arial" w:eastAsia="Arial" w:hAnsi="Arial"/>
          <w:sz w:val="16"/>
          <w:szCs w:val="16"/>
          <w:color w:val="auto"/>
        </w:rPr>
        <w:t>improved across all segments, declining 105 bps YoY to 4.8%, principally reflecting debt repayments at BCP and a drop in overdue loans</w:t>
      </w:r>
      <w:r>
        <w:rPr>
          <w:rFonts w:ascii="Arial" w:cs="Arial" w:eastAsia="Arial" w:hAnsi="Arial"/>
          <w:sz w:val="16"/>
          <w:szCs w:val="16"/>
          <w:b w:val="1"/>
          <w:bCs w:val="1"/>
          <w:color w:val="auto"/>
        </w:rPr>
        <w:t xml:space="preserve"> </w:t>
      </w:r>
      <w:r>
        <w:rPr>
          <w:rFonts w:ascii="Arial" w:cs="Arial" w:eastAsia="Arial" w:hAnsi="Arial"/>
          <w:sz w:val="16"/>
          <w:szCs w:val="16"/>
          <w:color w:val="auto"/>
        </w:rPr>
        <w:t>at BCP and Mibanco. QoQ, the NPL Ratio improved by 15 bps.</w:t>
      </w:r>
    </w:p>
    <w:p>
      <w:pPr>
        <w:spacing w:after="0" w:line="49" w:lineRule="exact"/>
        <w:rPr>
          <w:rFonts w:ascii="Arial" w:cs="Arial" w:eastAsia="Arial" w:hAnsi="Arial"/>
          <w:sz w:val="16"/>
          <w:szCs w:val="16"/>
          <w:color w:val="auto"/>
        </w:rPr>
      </w:pPr>
    </w:p>
    <w:p>
      <w:pPr>
        <w:jc w:val="both"/>
        <w:ind w:left="280" w:right="60" w:hanging="274"/>
        <w:spacing w:after="0" w:line="255" w:lineRule="auto"/>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Provisions </w:t>
      </w:r>
      <w:r>
        <w:rPr>
          <w:rFonts w:ascii="Arial" w:cs="Arial" w:eastAsia="Arial" w:hAnsi="Arial"/>
          <w:sz w:val="16"/>
          <w:szCs w:val="16"/>
          <w:color w:val="auto"/>
        </w:rPr>
        <w:t>declined by 30.5% YoY, driven by BCP and Mibanco, which registered improvements in payment performance due to economic recovery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an increase in lower-risk vintages’ share of the portfolio mix. QoQ, provisions increased 4.8%. </w:t>
      </w:r>
      <w:r>
        <w:rPr>
          <w:rFonts w:ascii="Arial" w:cs="Arial" w:eastAsia="Arial" w:hAnsi="Arial"/>
          <w:sz w:val="16"/>
          <w:szCs w:val="16"/>
          <w:b w:val="1"/>
          <w:bCs w:val="1"/>
          <w:color w:val="auto"/>
        </w:rPr>
        <w:t>Cost of Risk</w:t>
      </w:r>
      <w:r>
        <w:rPr>
          <w:rFonts w:ascii="Arial" w:cs="Arial" w:eastAsia="Arial" w:hAnsi="Arial"/>
          <w:sz w:val="16"/>
          <w:szCs w:val="16"/>
          <w:color w:val="auto"/>
        </w:rPr>
        <w:t xml:space="preserve"> declined 71 bps YoY to 1.7%, while </w:t>
      </w:r>
      <w:r>
        <w:rPr>
          <w:rFonts w:ascii="Arial" w:cs="Arial" w:eastAsia="Arial" w:hAnsi="Arial"/>
          <w:sz w:val="16"/>
          <w:szCs w:val="16"/>
          <w:b w:val="1"/>
          <w:bCs w:val="1"/>
          <w:color w:val="auto"/>
        </w:rPr>
        <w:t xml:space="preserve">Risk-Adjusted NIM </w:t>
      </w:r>
      <w:r>
        <w:rPr>
          <w:rFonts w:ascii="Arial" w:cs="Arial" w:eastAsia="Arial" w:hAnsi="Arial"/>
          <w:sz w:val="16"/>
          <w:szCs w:val="16"/>
          <w:color w:val="auto"/>
        </w:rPr>
        <w:t>reached a record 5.5%.</w:t>
      </w:r>
    </w:p>
    <w:p>
      <w:pPr>
        <w:spacing w:after="0" w:line="49" w:lineRule="exact"/>
        <w:rPr>
          <w:rFonts w:ascii="Arial" w:cs="Arial" w:eastAsia="Arial" w:hAnsi="Arial"/>
          <w:sz w:val="16"/>
          <w:szCs w:val="16"/>
          <w:color w:val="auto"/>
        </w:rPr>
      </w:pPr>
    </w:p>
    <w:p>
      <w:pPr>
        <w:ind w:left="280" w:right="80" w:hanging="274"/>
        <w:spacing w:after="0" w:line="250" w:lineRule="auto"/>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Other Core Income </w:t>
      </w:r>
      <w:r>
        <w:rPr>
          <w:rFonts w:ascii="Arial" w:cs="Arial" w:eastAsia="Arial" w:hAnsi="Arial"/>
          <w:sz w:val="16"/>
          <w:szCs w:val="16"/>
          <w:color w:val="auto"/>
        </w:rPr>
        <w:t>up 11.9% YoY, supported by the strong performance of BCP core business and the dynamism of Yape, reflecting the consistent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execution of our revenue diversification and decoupling from macroeconomic factors strategy. </w:t>
      </w:r>
      <w:r>
        <w:rPr>
          <w:rFonts w:ascii="Arial" w:cs="Arial" w:eastAsia="Arial" w:hAnsi="Arial"/>
          <w:sz w:val="16"/>
          <w:szCs w:val="16"/>
          <w:b w:val="1"/>
          <w:bCs w:val="1"/>
          <w:color w:val="auto"/>
        </w:rPr>
        <w:t>Other Non-Core Income</w:t>
      </w:r>
      <w:r>
        <w:rPr>
          <w:rFonts w:ascii="Arial" w:cs="Arial" w:eastAsia="Arial" w:hAnsi="Arial"/>
          <w:sz w:val="16"/>
          <w:szCs w:val="16"/>
          <w:color w:val="auto"/>
        </w:rPr>
        <w:t xml:space="preserve"> declined 19.0%, reflecting the base effect generated by an extraordinary income recorded last year.</w:t>
      </w:r>
    </w:p>
    <w:p>
      <w:pPr>
        <w:spacing w:after="0" w:line="49" w:lineRule="exact"/>
        <w:rPr>
          <w:rFonts w:ascii="Arial" w:cs="Arial" w:eastAsia="Arial" w:hAnsi="Arial"/>
          <w:sz w:val="16"/>
          <w:szCs w:val="16"/>
          <w:color w:val="auto"/>
        </w:rPr>
      </w:pPr>
    </w:p>
    <w:p>
      <w:pPr>
        <w:ind w:left="280" w:right="280" w:hanging="274"/>
        <w:spacing w:after="0" w:line="265" w:lineRule="auto"/>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Insurance Underwriting Results </w:t>
      </w:r>
      <w:r>
        <w:rPr>
          <w:rFonts w:ascii="Arial" w:cs="Arial" w:eastAsia="Arial" w:hAnsi="Arial"/>
          <w:sz w:val="16"/>
          <w:szCs w:val="16"/>
          <w:color w:val="auto"/>
        </w:rPr>
        <w:t>rose 33.1% YoY, principally due to a stronger Insurance Service Result in the Life business; and was up 10.7%</w:t>
      </w:r>
      <w:r>
        <w:rPr>
          <w:rFonts w:ascii="Arial" w:cs="Arial" w:eastAsia="Arial" w:hAnsi="Arial"/>
          <w:sz w:val="16"/>
          <w:szCs w:val="16"/>
          <w:b w:val="1"/>
          <w:bCs w:val="1"/>
          <w:color w:val="auto"/>
        </w:rPr>
        <w:t xml:space="preserve"> </w:t>
      </w:r>
      <w:r>
        <w:rPr>
          <w:rFonts w:ascii="Arial" w:cs="Arial" w:eastAsia="Arial" w:hAnsi="Arial"/>
          <w:sz w:val="16"/>
          <w:szCs w:val="16"/>
          <w:color w:val="auto"/>
        </w:rPr>
        <w:t>QoQ.</w:t>
      </w:r>
    </w:p>
    <w:p>
      <w:pPr>
        <w:spacing w:after="0" w:line="49" w:lineRule="exact"/>
        <w:rPr>
          <w:rFonts w:ascii="Arial" w:cs="Arial" w:eastAsia="Arial" w:hAnsi="Arial"/>
          <w:sz w:val="16"/>
          <w:szCs w:val="16"/>
          <w:color w:val="auto"/>
        </w:rPr>
      </w:pPr>
    </w:p>
    <w:p>
      <w:pPr>
        <w:ind w:left="280" w:right="280" w:hanging="274"/>
        <w:spacing w:after="0" w:line="265" w:lineRule="auto"/>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Yape </w:t>
      </w:r>
      <w:r>
        <w:rPr>
          <w:rFonts w:ascii="Arial" w:cs="Arial" w:eastAsia="Arial" w:hAnsi="Arial"/>
          <w:sz w:val="16"/>
          <w:szCs w:val="16"/>
          <w:color w:val="auto"/>
        </w:rPr>
        <w:t>reached 15.5 million Monthly Active Users (MAU), with operating leverage continuing to expand and accounting for 6.6% of Credicorp’s total</w:t>
      </w:r>
      <w:r>
        <w:rPr>
          <w:rFonts w:ascii="Arial" w:cs="Arial" w:eastAsia="Arial" w:hAnsi="Arial"/>
          <w:sz w:val="16"/>
          <w:szCs w:val="16"/>
          <w:b w:val="1"/>
          <w:bCs w:val="1"/>
          <w:color w:val="auto"/>
        </w:rPr>
        <w:t xml:space="preserve"> </w:t>
      </w:r>
      <w:r>
        <w:rPr>
          <w:rFonts w:ascii="Arial" w:cs="Arial" w:eastAsia="Arial" w:hAnsi="Arial"/>
          <w:sz w:val="16"/>
          <w:szCs w:val="16"/>
          <w:color w:val="auto"/>
        </w:rPr>
        <w:t>risk-adjusted revenue. Lending reached 20% of Yape revenues, up from 7% in 3Q24.</w:t>
      </w:r>
    </w:p>
    <w:p>
      <w:pPr>
        <w:spacing w:after="0" w:line="49" w:lineRule="exact"/>
        <w:rPr>
          <w:rFonts w:ascii="Arial" w:cs="Arial" w:eastAsia="Arial" w:hAnsi="Arial"/>
          <w:sz w:val="16"/>
          <w:szCs w:val="16"/>
          <w:color w:val="auto"/>
        </w:rPr>
      </w:pPr>
    </w:p>
    <w:p>
      <w:pPr>
        <w:ind w:left="280" w:right="240" w:hanging="274"/>
        <w:spacing w:after="0" w:line="265" w:lineRule="auto"/>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Efficiency ratio </w:t>
      </w:r>
      <w:r>
        <w:rPr>
          <w:rFonts w:ascii="Arial" w:cs="Arial" w:eastAsia="Arial" w:hAnsi="Arial"/>
          <w:sz w:val="16"/>
          <w:szCs w:val="16"/>
          <w:color w:val="auto"/>
        </w:rPr>
        <w:t>at 45.7% for 9M25, on track with full-year guidance.</w:t>
      </w:r>
      <w:r>
        <w:rPr>
          <w:rFonts w:ascii="Arial" w:cs="Arial" w:eastAsia="Arial" w:hAnsi="Arial"/>
          <w:sz w:val="16"/>
          <w:szCs w:val="16"/>
          <w:b w:val="1"/>
          <w:bCs w:val="1"/>
          <w:color w:val="auto"/>
        </w:rPr>
        <w:t xml:space="preserve"> Operating Expenses </w:t>
      </w:r>
      <w:r>
        <w:rPr>
          <w:rFonts w:ascii="Arial" w:cs="Arial" w:eastAsia="Arial" w:hAnsi="Arial"/>
          <w:sz w:val="16"/>
          <w:szCs w:val="16"/>
          <w:color w:val="auto"/>
        </w:rPr>
        <w:t>rose 12.8% YoY in this period, fueled mainly by BCP’s</w:t>
      </w:r>
      <w:r>
        <w:rPr>
          <w:rFonts w:ascii="Arial" w:cs="Arial" w:eastAsia="Arial" w:hAnsi="Arial"/>
          <w:sz w:val="16"/>
          <w:szCs w:val="16"/>
          <w:b w:val="1"/>
          <w:bCs w:val="1"/>
          <w:color w:val="auto"/>
        </w:rPr>
        <w:t xml:space="preserve"> </w:t>
      </w:r>
      <w:r>
        <w:rPr>
          <w:rFonts w:ascii="Arial" w:cs="Arial" w:eastAsia="Arial" w:hAnsi="Arial"/>
          <w:sz w:val="16"/>
          <w:szCs w:val="16"/>
          <w:color w:val="auto"/>
        </w:rPr>
        <w:t>core business and innovation portfolio.</w:t>
      </w:r>
    </w:p>
    <w:p>
      <w:pPr>
        <w:spacing w:after="0" w:line="49" w:lineRule="exact"/>
        <w:rPr>
          <w:rFonts w:ascii="Arial" w:cs="Arial" w:eastAsia="Arial" w:hAnsi="Arial"/>
          <w:sz w:val="16"/>
          <w:szCs w:val="16"/>
          <w:color w:val="auto"/>
        </w:rPr>
      </w:pPr>
    </w:p>
    <w:p>
      <w:pPr>
        <w:ind w:left="280" w:hanging="274"/>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IFRS CET 1 Ratio </w:t>
      </w:r>
      <w:r>
        <w:rPr>
          <w:rFonts w:ascii="Arial" w:cs="Arial" w:eastAsia="Arial" w:hAnsi="Arial"/>
          <w:sz w:val="16"/>
          <w:szCs w:val="16"/>
          <w:color w:val="auto"/>
        </w:rPr>
        <w:t>at 13.17% for BCP and at 17.14% for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753110</wp:posOffset>
            </wp:positionV>
            <wp:extent cx="670750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112395</wp:posOffset>
            </wp:positionV>
            <wp:extent cx="6029325" cy="525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29325" cy="525780"/>
                    </a:xfrm>
                    <a:prstGeom prst="rect">
                      <a:avLst/>
                    </a:prstGeom>
                    <a:noFill/>
                  </pic:spPr>
                </pic:pic>
              </a:graphicData>
            </a:graphic>
          </wp:anchor>
        </w:drawing>
      </w:r>
    </w:p>
    <w:p>
      <w:pPr>
        <w:sectPr>
          <w:pgSz w:w="11900" w:h="16840" w:orient="portrait"/>
          <w:cols w:equalWidth="0" w:num="1">
            <w:col w:w="10620"/>
          </w:cols>
          <w:pgMar w:left="660" w:top="881" w:right="620" w:bottom="1440" w:gutter="0" w:footer="0" w:header="0"/>
        </w:sectPr>
      </w:pPr>
    </w:p>
    <w:bookmarkStart w:id="5" w:name="page6"/>
    <w:bookmarkEnd w:id="5"/>
    <w:p>
      <w:pPr>
        <w:jc w:val="both"/>
        <w:ind w:left="2560"/>
        <w:spacing w:after="0"/>
        <w:tabs>
          <w:tab w:leader="none" w:pos="290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391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7505" cy="7391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5623560</wp:posOffset>
            </wp:positionV>
            <wp:extent cx="670750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13970</wp:posOffset>
            </wp:positionV>
            <wp:extent cx="6021705" cy="5495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21705" cy="5495290"/>
                    </a:xfrm>
                    <a:prstGeom prst="rect">
                      <a:avLst/>
                    </a:prstGeom>
                    <a:noFill/>
                  </pic:spPr>
                </pic:pic>
              </a:graphicData>
            </a:graphic>
          </wp:anchor>
        </w:drawing>
      </w:r>
    </w:p>
    <w:p>
      <w:pPr>
        <w:sectPr>
          <w:pgSz w:w="11900" w:h="16840" w:orient="portrait"/>
          <w:cols w:equalWidth="0" w:num="1">
            <w:col w:w="10520"/>
          </w:cols>
          <w:pgMar w:left="660" w:top="881" w:right="720" w:bottom="1440" w:gutter="0" w:footer="0" w:header="0"/>
        </w:sectPr>
      </w:pPr>
    </w:p>
    <w:bookmarkStart w:id="6" w:name="page7"/>
    <w:bookmarkEnd w:id="6"/>
    <w:p>
      <w:pPr>
        <w:jc w:val="both"/>
        <w:ind w:left="2560"/>
        <w:spacing w:after="0"/>
        <w:tabs>
          <w:tab w:leader="none" w:pos="280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23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7505" cy="72390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Third Quarter 2025 Earnings Conference Call</w:t>
      </w:r>
    </w:p>
    <w:p>
      <w:pPr>
        <w:spacing w:after="0" w:line="22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THIRD 2025 EARNINGS CONFERENCE CALL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121212"/>
        </w:rPr>
        <w:t xml:space="preserve">Date: </w:t>
      </w:r>
      <w:r>
        <w:rPr>
          <w:rFonts w:ascii="Arial" w:cs="Arial" w:eastAsia="Arial" w:hAnsi="Arial"/>
          <w:sz w:val="18"/>
          <w:szCs w:val="18"/>
          <w:color w:val="121212"/>
        </w:rPr>
        <w:t>Friday, November 14</w:t>
      </w:r>
      <w:r>
        <w:rPr>
          <w:rFonts w:ascii="Arial" w:cs="Arial" w:eastAsia="Arial" w:hAnsi="Arial"/>
          <w:sz w:val="28"/>
          <w:szCs w:val="28"/>
          <w:color w:val="121212"/>
          <w:vertAlign w:val="superscript"/>
        </w:rPr>
        <w:t>th</w:t>
      </w:r>
      <w:r>
        <w:rPr>
          <w:rFonts w:ascii="Arial" w:cs="Arial" w:eastAsia="Arial" w:hAnsi="Arial"/>
          <w:sz w:val="18"/>
          <w:szCs w:val="18"/>
          <w:color w:val="121212"/>
        </w:rPr>
        <w:t>, 2025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121212"/>
        </w:rPr>
        <w:t xml:space="preserve">Time: </w:t>
      </w:r>
      <w:r>
        <w:rPr>
          <w:rFonts w:ascii="Arial" w:cs="Arial" w:eastAsia="Arial" w:hAnsi="Arial"/>
          <w:sz w:val="18"/>
          <w:szCs w:val="18"/>
          <w:color w:val="121212"/>
        </w:rPr>
        <w:t>9:30 am E.T. (9:30 am Lima, Perú)</w:t>
      </w:r>
    </w:p>
    <w:p>
      <w:pPr>
        <w:spacing w:after="0" w:line="177" w:lineRule="exact"/>
        <w:rPr>
          <w:sz w:val="20"/>
          <w:szCs w:val="20"/>
          <w:color w:val="auto"/>
        </w:rPr>
      </w:pPr>
    </w:p>
    <w:p>
      <w:pPr>
        <w:jc w:val="both"/>
        <w:ind w:right="200"/>
        <w:spacing w:after="0" w:line="269" w:lineRule="auto"/>
        <w:rPr>
          <w:sz w:val="20"/>
          <w:szCs w:val="20"/>
          <w:color w:val="auto"/>
        </w:rPr>
      </w:pPr>
      <w:r>
        <w:rPr>
          <w:rFonts w:ascii="Arial" w:cs="Arial" w:eastAsia="Arial" w:hAnsi="Arial"/>
          <w:sz w:val="18"/>
          <w:szCs w:val="18"/>
          <w:b w:val="1"/>
          <w:bCs w:val="1"/>
          <w:color w:val="121212"/>
        </w:rPr>
        <w:t xml:space="preserve">Hosts: </w:t>
      </w:r>
      <w:r>
        <w:rPr>
          <w:rFonts w:ascii="Arial" w:cs="Arial" w:eastAsia="Arial" w:hAnsi="Arial"/>
          <w:sz w:val="18"/>
          <w:szCs w:val="18"/>
          <w:color w:val="121212"/>
        </w:rPr>
        <w:t>Gianfranco Ferrari – Chief Executive Officer, - Alejandro Perez Reyes - Chief Financial Officer, Francesca Raffo – Chief</w:t>
      </w:r>
      <w:r>
        <w:rPr>
          <w:rFonts w:ascii="Arial" w:cs="Arial" w:eastAsia="Arial" w:hAnsi="Arial"/>
          <w:sz w:val="18"/>
          <w:szCs w:val="18"/>
          <w:b w:val="1"/>
          <w:bCs w:val="1"/>
          <w:color w:val="121212"/>
        </w:rPr>
        <w:t xml:space="preserve"> </w:t>
      </w:r>
      <w:r>
        <w:rPr>
          <w:rFonts w:ascii="Arial" w:cs="Arial" w:eastAsia="Arial" w:hAnsi="Arial"/>
          <w:sz w:val="18"/>
          <w:szCs w:val="18"/>
          <w:color w:val="121212"/>
        </w:rPr>
        <w:t>Innovation Officer, Cesar Rios - Chief Risk Officer, Piero Travezan - Pacifico CFO, Rocio Benavides - Mibanco CFO and Investor Relations Team.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To pre-register for the listen-only webcast presentation use the following link: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https://dpregister.com/DiamondPassRegistration/register?confirmationNumber=10204236&amp;linkSecurityString=10040c 5080c</w:t>
      </w:r>
    </w:p>
    <w:p>
      <w:pPr>
        <w:spacing w:after="0" w:line="11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121212"/>
        </w:rPr>
        <w:t>Callers who pre-register will be given a conference passcode and unique PIN to gain immediate access to the call and bypass the live operator. Participants may pre-register at any time, including up to and after the call start time.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121212"/>
        </w:rPr>
        <w:t>Those unable to pre-register may dial in by calling: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1212"/>
        </w:rPr>
        <w:t xml:space="preserve">1 844 435 0321 </w:t>
      </w:r>
      <w:r>
        <w:rPr>
          <w:rFonts w:ascii="Arial" w:cs="Arial" w:eastAsia="Arial" w:hAnsi="Arial"/>
          <w:sz w:val="18"/>
          <w:szCs w:val="18"/>
          <w:color w:val="121212"/>
        </w:rPr>
        <w:t>(U.S. toll free)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21212"/>
        </w:rPr>
        <w:t xml:space="preserve">1 412 317 5615 </w:t>
      </w:r>
      <w:r>
        <w:rPr>
          <w:rFonts w:ascii="Arial" w:cs="Arial" w:eastAsia="Arial" w:hAnsi="Arial"/>
          <w:sz w:val="18"/>
          <w:szCs w:val="18"/>
          <w:color w:val="121212"/>
        </w:rPr>
        <w:t>(International)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21212"/>
        </w:rPr>
        <w:t xml:space="preserve">Participant Web Phone: </w:t>
      </w:r>
      <w:r>
        <w:rPr>
          <w:rFonts w:ascii="Arial" w:cs="Arial" w:eastAsia="Arial" w:hAnsi="Arial"/>
          <w:sz w:val="18"/>
          <w:szCs w:val="18"/>
          <w:u w:val="single" w:color="auto"/>
          <w:color w:val="000000"/>
        </w:rPr>
        <w:t>Click here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21212"/>
        </w:rPr>
        <w:t>Conference ID: Credicorp Conference Call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121212"/>
        </w:rPr>
        <w:t>The webcast will be archived for one year on our investor relations website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https://credicorp.gcs-web.com/events-and-presentations/upcoming-events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121212"/>
        </w:rPr>
        <w:t>For a full version of Credicorp´s Second Quarter 2025 Earnings Release, please visit: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https://credicorp.gcs-web.com/company-reports/quarterly-materials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772160</wp:posOffset>
            </wp:positionV>
            <wp:extent cx="670750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109220</wp:posOffset>
            </wp:positionV>
            <wp:extent cx="6021705" cy="548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21705" cy="548640"/>
                    </a:xfrm>
                    <a:prstGeom prst="rect">
                      <a:avLst/>
                    </a:prstGeom>
                    <a:noFill/>
                  </pic:spPr>
                </pic:pic>
              </a:graphicData>
            </a:graphic>
          </wp:anchor>
        </w:drawing>
      </w:r>
    </w:p>
    <w:p>
      <w:pPr>
        <w:sectPr>
          <w:pgSz w:w="11900" w:h="16840" w:orient="portrait"/>
          <w:cols w:equalWidth="0" w:num="1">
            <w:col w:w="10520"/>
          </w:cols>
          <w:pgMar w:left="660" w:top="881" w:right="720" w:bottom="1440" w:gutter="0" w:footer="0" w:header="0"/>
        </w:sectPr>
      </w:pPr>
    </w:p>
    <w:bookmarkStart w:id="7" w:name="page8"/>
    <w:bookmarkEnd w:id="7"/>
    <w:p>
      <w:pPr>
        <w:jc w:val="both"/>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943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59436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Loans and Deposits</w:t>
      </w:r>
    </w:p>
    <w:p>
      <w:pPr>
        <w:spacing w:after="0" w:line="145" w:lineRule="exact"/>
        <w:rPr>
          <w:sz w:val="20"/>
          <w:szCs w:val="20"/>
          <w:color w:val="auto"/>
        </w:rPr>
      </w:pPr>
    </w:p>
    <w:p>
      <w:pPr>
        <w:jc w:val="both"/>
        <w:ind w:right="240"/>
        <w:spacing w:after="0" w:line="203" w:lineRule="auto"/>
        <w:rPr>
          <w:sz w:val="20"/>
          <w:szCs w:val="20"/>
          <w:color w:val="auto"/>
        </w:rPr>
      </w:pPr>
      <w:r>
        <w:rPr>
          <w:rFonts w:ascii="Arial" w:cs="Arial" w:eastAsia="Arial" w:hAnsi="Arial"/>
          <w:sz w:val="16"/>
          <w:szCs w:val="16"/>
          <w:color w:val="auto"/>
        </w:rPr>
        <w:t>Our balance in 3Q25 was impacted by an accounting adjustment (which did not affect cash flow) related to our operations in Bolivia. This adjustment entailed updating the exchange rate used to translate Bolivia’s balance to better reflect market conditions</w:t>
      </w:r>
      <w:r>
        <w:rPr>
          <w:rFonts w:ascii="Arial" w:cs="Arial" w:eastAsia="Arial" w:hAnsi="Arial"/>
          <w:sz w:val="26"/>
          <w:szCs w:val="26"/>
          <w:color w:val="auto"/>
          <w:vertAlign w:val="superscript"/>
        </w:rPr>
        <w:t>1</w:t>
      </w:r>
      <w:r>
        <w:rPr>
          <w:rFonts w:ascii="Arial" w:cs="Arial" w:eastAsia="Arial" w:hAnsi="Arial"/>
          <w:sz w:val="16"/>
          <w:szCs w:val="16"/>
          <w:color w:val="auto"/>
        </w:rPr>
        <w:t>. In this context, the book value of Credicorp’s total assets dropped 2.1% but cash flow was unaffected.</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Loans in End-of-Period (EOP)</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Total loans measured in quarter-end balances rose 2.7% QoQ and 1.5%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YoY, impacted by the aforementioned accounting adjustment at BCP</w:t>
      </w:r>
    </w:p>
    <w:p>
      <w:pPr>
        <w:spacing w:after="0"/>
        <w:rPr>
          <w:sz w:val="20"/>
          <w:szCs w:val="20"/>
          <w:color w:val="auto"/>
        </w:rPr>
      </w:pPr>
      <w:r>
        <w:rPr>
          <w:rFonts w:ascii="Arial" w:cs="Arial" w:eastAsia="Arial" w:hAnsi="Arial"/>
          <w:sz w:val="16"/>
          <w:szCs w:val="16"/>
          <w:color w:val="auto"/>
        </w:rPr>
        <w:t>Bolivia.</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If we exclude this impact:</w:t>
      </w:r>
    </w:p>
    <w:p>
      <w:pPr>
        <w:spacing w:after="0" w:line="140" w:lineRule="exact"/>
        <w:rPr>
          <w:sz w:val="20"/>
          <w:szCs w:val="20"/>
          <w:color w:val="auto"/>
        </w:rPr>
      </w:pPr>
    </w:p>
    <w:p>
      <w:pPr>
        <w:jc w:val="both"/>
        <w:ind w:right="5440"/>
        <w:spacing w:after="0" w:line="276" w:lineRule="auto"/>
        <w:rPr>
          <w:sz w:val="20"/>
          <w:szCs w:val="20"/>
          <w:color w:val="auto"/>
        </w:rPr>
      </w:pPr>
      <w:r>
        <w:rPr>
          <w:rFonts w:ascii="Arial" w:cs="Arial" w:eastAsia="Arial" w:hAnsi="Arial"/>
          <w:sz w:val="14"/>
          <w:szCs w:val="14"/>
          <w:color w:val="auto"/>
        </w:rPr>
        <w:t>QoQ, the portfolio’s balance increased 1.6%. If we also exclude the effect of the depreciation of the USD against the PEN, the FX neutral growth was 2.4%. This evolution was driven mainly by: (i) Retail Banking and led in order of impact by SMEs, which reported an increase in negotiable incomes and working capital loans; Mortgage, which registered growth in demand in a more favorable economic context; and Consumer, which posted an upswing in disbursements through BCP Stand-alone and Yape; (ii) Wholesale Banking, led by Corporate Banking which reported growth in medium and long-term loans, and (iii) Mibanco, which reported a record high for disbursements in the month of September.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-951230</wp:posOffset>
            </wp:positionV>
            <wp:extent cx="2385695" cy="1501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85695" cy="1501775"/>
                    </a:xfrm>
                    <a:prstGeom prst="rect">
                      <a:avLst/>
                    </a:prstGeom>
                    <a:noFill/>
                  </pic:spPr>
                </pic:pic>
              </a:graphicData>
            </a:graphic>
          </wp:anchor>
        </w:drawing>
      </w:r>
    </w:p>
    <w:p>
      <w:pPr>
        <w:spacing w:after="0" w:line="234" w:lineRule="exact"/>
        <w:rPr>
          <w:sz w:val="20"/>
          <w:szCs w:val="20"/>
          <w:color w:val="auto"/>
        </w:rPr>
      </w:pPr>
    </w:p>
    <w:p>
      <w:pPr>
        <w:jc w:val="both"/>
        <w:ind w:right="5440"/>
        <w:spacing w:after="0" w:line="239" w:lineRule="auto"/>
        <w:rPr>
          <w:sz w:val="20"/>
          <w:szCs w:val="20"/>
          <w:color w:val="auto"/>
        </w:rPr>
      </w:pPr>
      <w:r>
        <w:rPr>
          <w:rFonts w:ascii="Arial" w:cs="Arial" w:eastAsia="Arial" w:hAnsi="Arial"/>
          <w:sz w:val="16"/>
          <w:szCs w:val="16"/>
          <w:color w:val="auto"/>
        </w:rPr>
        <w:t>YoY, the portfolio’s balance rose 4.4%. Notwithstanding, growth stood at 7.0% with a Neutral exchange rate, driven mainly by (i) Retail Banking, which registered an increase through the same dynamics seen QoQ, and Consumer, which reported an uptick in disbursements alongside an increase in the risk appetite at BCP; and (ii) Wholesale Banking, particularly Middle Market Banking, which registered growth in demand for short-term financing.</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Deposits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balance for total deposits (measured in quarter-end balances) rose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2.4%  QoQ  and  2.6%  YoY,  impacted  by  the  aforementioned  asset</w:t>
      </w:r>
    </w:p>
    <w:p>
      <w:pPr>
        <w:spacing w:after="0"/>
        <w:rPr>
          <w:sz w:val="20"/>
          <w:szCs w:val="20"/>
          <w:color w:val="auto"/>
        </w:rPr>
      </w:pPr>
      <w:r>
        <w:rPr>
          <w:rFonts w:ascii="Arial" w:cs="Arial" w:eastAsia="Arial" w:hAnsi="Arial"/>
          <w:sz w:val="16"/>
          <w:szCs w:val="16"/>
          <w:color w:val="auto"/>
        </w:rPr>
        <w:t>revaluation at BCP Bolivia.</w:t>
      </w:r>
    </w:p>
    <w:p>
      <w:pPr>
        <w:spacing w:after="0" w:line="114" w:lineRule="exact"/>
        <w:rPr>
          <w:sz w:val="20"/>
          <w:szCs w:val="20"/>
          <w:color w:val="auto"/>
        </w:rPr>
      </w:pPr>
    </w:p>
    <w:p>
      <w:pPr>
        <w:jc w:val="both"/>
        <w:ind w:right="5420"/>
        <w:spacing w:after="0" w:line="238" w:lineRule="auto"/>
        <w:rPr>
          <w:sz w:val="20"/>
          <w:szCs w:val="20"/>
          <w:color w:val="auto"/>
        </w:rPr>
      </w:pPr>
      <w:r>
        <w:rPr>
          <w:rFonts w:ascii="Arial" w:cs="Arial" w:eastAsia="Arial" w:hAnsi="Arial"/>
          <w:sz w:val="16"/>
          <w:szCs w:val="16"/>
          <w:color w:val="auto"/>
        </w:rPr>
        <w:t>If we exclude this impact, growth was driven by the following impacts: QoQ our deposit base increased 1.3%. Furthermore, applying a neutral exchange rate, growth would have been 3.8%. This evolution reflected an uptick in balances for Demand Deposits, Savings Deposits and Time Deposits. YoY, the deposit base increased 5.9% (+10.8% Neutral Exchange rate). This evolution was driven by (i) Low- cost deposits, which rose 11.1% and represented 69.8% of total deposits at quarter-end, and (ii) 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-842645</wp:posOffset>
            </wp:positionV>
            <wp:extent cx="2446655" cy="1463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46655" cy="1463675"/>
                    </a:xfrm>
                    <a:prstGeom prst="rect">
                      <a:avLst/>
                    </a:prstGeom>
                    <a:noFill/>
                  </pic:spPr>
                </pic:pic>
              </a:graphicData>
            </a:graphic>
          </wp:anchor>
        </w:drawing>
      </w:r>
    </w:p>
    <w:p>
      <w:pPr>
        <w:spacing w:after="0" w:line="93" w:lineRule="exact"/>
        <w:rPr>
          <w:sz w:val="20"/>
          <w:szCs w:val="20"/>
          <w:color w:val="auto"/>
        </w:rPr>
      </w:pPr>
    </w:p>
    <w:p>
      <w:pPr>
        <w:jc w:val="both"/>
        <w:ind w:right="5460"/>
        <w:spacing w:after="0" w:line="244" w:lineRule="auto"/>
        <w:rPr>
          <w:sz w:val="20"/>
          <w:szCs w:val="20"/>
          <w:color w:val="auto"/>
        </w:rPr>
      </w:pPr>
      <w:r>
        <w:rPr>
          <w:rFonts w:ascii="Arial" w:cs="Arial" w:eastAsia="Arial" w:hAnsi="Arial"/>
          <w:sz w:val="16"/>
          <w:szCs w:val="16"/>
          <w:color w:val="auto"/>
        </w:rPr>
        <w:t>At BCP, the 30-day Liquidity Coverage Ratio (LCR) stood at 163.6% under regulatory standards and 129.7% according to stricter internal standards. The 30-day LCR in USD situated at 168.0% under regulatory standards and at 130.7% under stricter internal norms.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332105</wp:posOffset>
            </wp:positionV>
            <wp:extent cx="134175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right="160" w:firstLine="6"/>
        <w:spacing w:after="0" w:line="204" w:lineRule="auto"/>
        <w:tabs>
          <w:tab w:leader="none" w:pos="84" w:val="left"/>
        </w:tabs>
        <w:numPr>
          <w:ilvl w:val="0"/>
          <w:numId w:val="2"/>
        </w:numPr>
        <w:rPr>
          <w:rFonts w:ascii="Arial" w:cs="Arial" w:eastAsia="Arial" w:hAnsi="Arial"/>
          <w:sz w:val="17"/>
          <w:szCs w:val="17"/>
          <w:color w:val="auto"/>
          <w:vertAlign w:val="superscript"/>
        </w:rPr>
      </w:pPr>
      <w:r>
        <w:rPr>
          <w:rFonts w:ascii="Arial" w:cs="Arial" w:eastAsia="Arial" w:hAnsi="Arial"/>
          <w:sz w:val="11"/>
          <w:szCs w:val="11"/>
          <w:color w:val="auto"/>
        </w:rPr>
        <w:t>The official exchange rate used to translate BCP Bolivia's balance sheet for 2Q24 was 6.85 bolivianos per dollar. However, for 2Q25 and 3Q25, the parallel market exchange rate was used, which was 15.9 and 11.90 bolivianos per dollar,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648970</wp:posOffset>
            </wp:positionV>
            <wp:extent cx="670750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-5715</wp:posOffset>
            </wp:positionV>
            <wp:extent cx="6021705" cy="541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21705" cy="541020"/>
                    </a:xfrm>
                    <a:prstGeom prst="rect">
                      <a:avLst/>
                    </a:prstGeom>
                    <a:noFill/>
                  </pic:spPr>
                </pic:pic>
              </a:graphicData>
            </a:graphic>
          </wp:anchor>
        </w:drawing>
      </w:r>
    </w:p>
    <w:p>
      <w:pPr>
        <w:sectPr>
          <w:pgSz w:w="11900" w:h="16840" w:orient="portrait"/>
          <w:cols w:equalWidth="0" w:num="1">
            <w:col w:w="10520"/>
          </w:cols>
          <w:pgMar w:left="660" w:top="883" w:right="720" w:bottom="1440" w:gutter="0" w:footer="0" w:header="0"/>
        </w:sectPr>
      </w:pPr>
    </w:p>
    <w:bookmarkStart w:id="8" w:name="page9"/>
    <w:bookmarkEnd w:id="8"/>
    <w:p>
      <w:pPr>
        <w:jc w:val="both"/>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94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7505" cy="59436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Net Interest Income (NII) and Margin (NIM)</w:t>
      </w:r>
    </w:p>
    <w:p>
      <w:pPr>
        <w:spacing w:after="0" w:line="155" w:lineRule="exact"/>
        <w:rPr>
          <w:sz w:val="20"/>
          <w:szCs w:val="20"/>
          <w:color w:val="auto"/>
        </w:rPr>
      </w:pPr>
    </w:p>
    <w:p>
      <w:pPr>
        <w:jc w:val="both"/>
        <w:ind w:right="5440"/>
        <w:spacing w:after="0" w:line="250" w:lineRule="auto"/>
        <w:rPr>
          <w:sz w:val="20"/>
          <w:szCs w:val="20"/>
          <w:color w:val="auto"/>
        </w:rPr>
      </w:pPr>
      <w:r>
        <w:rPr>
          <w:rFonts w:ascii="Arial" w:cs="Arial" w:eastAsia="Arial" w:hAnsi="Arial"/>
          <w:sz w:val="18"/>
          <w:szCs w:val="18"/>
          <w:color w:val="auto"/>
        </w:rPr>
        <w:t xml:space="preserve">NII rose </w:t>
      </w:r>
      <w:r>
        <w:rPr>
          <w:rFonts w:ascii="Arial" w:cs="Arial" w:eastAsia="Arial" w:hAnsi="Arial"/>
          <w:sz w:val="15"/>
          <w:szCs w:val="15"/>
          <w:color w:val="auto"/>
        </w:rPr>
        <w:t>2.0% QoQ, fueled primarily by growth in Interest and Similar</w:t>
      </w:r>
      <w:r>
        <w:rPr>
          <w:rFonts w:ascii="Arial" w:cs="Arial" w:eastAsia="Arial" w:hAnsi="Arial"/>
          <w:sz w:val="18"/>
          <w:szCs w:val="18"/>
          <w:color w:val="auto"/>
        </w:rPr>
        <w:t xml:space="preserve"> </w:t>
      </w:r>
      <w:r>
        <w:rPr>
          <w:rFonts w:ascii="Arial" w:cs="Arial" w:eastAsia="Arial" w:hAnsi="Arial"/>
          <w:sz w:val="15"/>
          <w:szCs w:val="15"/>
          <w:color w:val="auto"/>
        </w:rPr>
        <w:t>Income. This evolution was driven by an increase in loans, which led the IEA mix to shift toward higher- yielding assets. Lower Interest and similar expenses also contributed to the increase in NII, although to a lesser extent, mainly through lower interest on bonds and notes issued after BCP registered debt maturities. In this context, NIM stood at 6.57% at quarter-end, compared to 6.42% in 1Q25 and 6.43% in 2Q24.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-568960</wp:posOffset>
            </wp:positionV>
            <wp:extent cx="2492375" cy="1349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2375" cy="1349375"/>
                    </a:xfrm>
                    <a:prstGeom prst="rect">
                      <a:avLst/>
                    </a:prstGeom>
                    <a:noFill/>
                  </pic:spPr>
                </pic:pic>
              </a:graphicData>
            </a:graphic>
          </wp:anchor>
        </w:drawing>
      </w:r>
    </w:p>
    <w:p>
      <w:pPr>
        <w:spacing w:after="0" w:line="45" w:lineRule="exact"/>
        <w:rPr>
          <w:sz w:val="20"/>
          <w:szCs w:val="20"/>
          <w:color w:val="auto"/>
        </w:rPr>
      </w:pPr>
    </w:p>
    <w:p>
      <w:pPr>
        <w:jc w:val="both"/>
        <w:ind w:right="5440"/>
        <w:spacing w:after="0" w:line="239" w:lineRule="auto"/>
        <w:rPr>
          <w:sz w:val="20"/>
          <w:szCs w:val="20"/>
          <w:color w:val="auto"/>
        </w:rPr>
      </w:pPr>
      <w:r>
        <w:rPr>
          <w:rFonts w:ascii="Arial" w:cs="Arial" w:eastAsia="Arial" w:hAnsi="Arial"/>
          <w:sz w:val="16"/>
          <w:szCs w:val="16"/>
          <w:color w:val="auto"/>
        </w:rPr>
        <w:t>YoY, NII increased 2.7%, propelled mainly by a drop in Interest and Similar Expenses. This decline was primarily attributable to a context of lower rates and to an increase in low-cost deposits’ share of the funding base. Meanwhile, Interest and Similar Income registered a drop mainly due to the renewal of deposits and other assets at lower rates, which partially offset the reduction in Interest and Similar Expenses. In this scenario, NIM rose 14 bps YoY.</w:t>
      </w: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Portfolio Quality and the Cost of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Indicators for portfolio quality and the Cost of Risk have improved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significantly in the last year and continue to strengthen, thanks to more</w:t>
      </w:r>
    </w:p>
    <w:p>
      <w:pPr>
        <w:spacing w:after="0" w:line="234" w:lineRule="auto"/>
        <w:rPr>
          <w:sz w:val="20"/>
          <w:szCs w:val="20"/>
          <w:color w:val="auto"/>
        </w:rPr>
      </w:pPr>
      <w:r>
        <w:rPr>
          <w:rFonts w:ascii="Arial" w:cs="Arial" w:eastAsia="Arial" w:hAnsi="Arial"/>
          <w:sz w:val="16"/>
          <w:szCs w:val="16"/>
          <w:color w:val="auto"/>
        </w:rPr>
        <w:t>robust  risk  management, improvements in payment behavior and 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favorable macroeconomic environment.</w:t>
      </w:r>
    </w:p>
    <w:p>
      <w:pPr>
        <w:spacing w:after="0" w:line="100" w:lineRule="exact"/>
        <w:rPr>
          <w:sz w:val="20"/>
          <w:szCs w:val="20"/>
          <w:color w:val="auto"/>
        </w:rPr>
      </w:pPr>
    </w:p>
    <w:p>
      <w:pPr>
        <w:jc w:val="both"/>
        <w:ind w:right="5440"/>
        <w:spacing w:after="0" w:line="238" w:lineRule="auto"/>
        <w:rPr>
          <w:sz w:val="20"/>
          <w:szCs w:val="20"/>
          <w:color w:val="auto"/>
        </w:rPr>
      </w:pPr>
      <w:r>
        <w:rPr>
          <w:rFonts w:ascii="Arial" w:cs="Arial" w:eastAsia="Arial" w:hAnsi="Arial"/>
          <w:sz w:val="16"/>
          <w:szCs w:val="16"/>
          <w:color w:val="auto"/>
        </w:rPr>
        <w:t xml:space="preserve">QoQ, the NPL balance dropped slightly by 0.3%, driven mainly by </w:t>
      </w:r>
      <w:r>
        <w:rPr>
          <w:rFonts w:ascii="Arial" w:cs="Arial" w:eastAsia="Arial" w:hAnsi="Arial"/>
          <w:sz w:val="16"/>
          <w:szCs w:val="16"/>
          <w:b w:val="1"/>
          <w:bCs w:val="1"/>
          <w:color w:val="auto"/>
        </w:rPr>
        <w:t>BCP</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Stand -alone </w:t>
      </w:r>
      <w:r>
        <w:rPr>
          <w:rFonts w:ascii="Arial" w:cs="Arial" w:eastAsia="Arial" w:hAnsi="Arial"/>
          <w:sz w:val="16"/>
          <w:szCs w:val="16"/>
          <w:color w:val="auto"/>
        </w:rPr>
        <w:t>a n d</w:t>
      </w:r>
      <w:r>
        <w:rPr>
          <w:rFonts w:ascii="Arial" w:cs="Arial" w:eastAsia="Arial" w:hAnsi="Arial"/>
          <w:sz w:val="16"/>
          <w:szCs w:val="16"/>
          <w:b w:val="1"/>
          <w:bCs w:val="1"/>
          <w:color w:val="auto"/>
        </w:rPr>
        <w:t xml:space="preserve"> Mibanco</w:t>
      </w:r>
      <w:r>
        <w:rPr>
          <w:rFonts w:ascii="Arial" w:cs="Arial" w:eastAsia="Arial" w:hAnsi="Arial"/>
          <w:sz w:val="16"/>
          <w:szCs w:val="16"/>
          <w:color w:val="auto"/>
        </w:rPr>
        <w:t>. A t</w:t>
      </w:r>
      <w:r>
        <w:rPr>
          <w:rFonts w:ascii="Arial" w:cs="Arial" w:eastAsia="Arial" w:hAnsi="Arial"/>
          <w:sz w:val="16"/>
          <w:szCs w:val="16"/>
          <w:b w:val="1"/>
          <w:bCs w:val="1"/>
          <w:color w:val="auto"/>
        </w:rPr>
        <w:t xml:space="preserve"> BCP Stand-alone</w:t>
      </w:r>
      <w:r>
        <w:rPr>
          <w:rFonts w:ascii="Arial" w:cs="Arial" w:eastAsia="Arial" w:hAnsi="Arial"/>
          <w:sz w:val="16"/>
          <w:szCs w:val="16"/>
          <w:color w:val="auto"/>
        </w:rPr>
        <w:t>, the decline was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fueled mainly by </w:t>
      </w:r>
      <w:r>
        <w:rPr>
          <w:rFonts w:ascii="Arial" w:cs="Arial" w:eastAsia="Arial" w:hAnsi="Arial"/>
          <w:sz w:val="16"/>
          <w:szCs w:val="16"/>
          <w:b w:val="1"/>
          <w:bCs w:val="1"/>
          <w:color w:val="auto"/>
        </w:rPr>
        <w:t>Retail Banking,</w:t>
      </w:r>
      <w:r>
        <w:rPr>
          <w:rFonts w:ascii="Arial" w:cs="Arial" w:eastAsia="Arial" w:hAnsi="Arial"/>
          <w:sz w:val="16"/>
          <w:szCs w:val="16"/>
          <w:color w:val="auto"/>
        </w:rPr>
        <w:t xml:space="preserve"> which was positively impacted by (i) an improvement in origination and collections management in Consumer and Credit Cards, and (ii) debt payments by clients with loans under judicial recovery in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This dynamic was partially offset by </w:t>
      </w:r>
      <w:r>
        <w:rPr>
          <w:rFonts w:ascii="Arial" w:cs="Arial" w:eastAsia="Arial" w:hAnsi="Arial"/>
          <w:sz w:val="16"/>
          <w:szCs w:val="16"/>
          <w:b w:val="1"/>
          <w:bCs w:val="1"/>
          <w:color w:val="auto"/>
        </w:rPr>
        <w:t>Wholesale Banking</w:t>
      </w:r>
      <w:r>
        <w:rPr>
          <w:rFonts w:ascii="Arial" w:cs="Arial" w:eastAsia="Arial" w:hAnsi="Arial"/>
          <w:sz w:val="16"/>
          <w:szCs w:val="16"/>
          <w:color w:val="auto"/>
        </w:rPr>
        <w:t>, where the NPL balance was up due to refinancing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one client. At </w:t>
      </w:r>
      <w:r>
        <w:rPr>
          <w:rFonts w:ascii="Arial" w:cs="Arial" w:eastAsia="Arial" w:hAnsi="Arial"/>
          <w:sz w:val="16"/>
          <w:szCs w:val="16"/>
          <w:b w:val="1"/>
          <w:bCs w:val="1"/>
          <w:color w:val="auto"/>
        </w:rPr>
        <w:t>Mibanco</w:t>
      </w:r>
      <w:r>
        <w:rPr>
          <w:rFonts w:ascii="Arial" w:cs="Arial" w:eastAsia="Arial" w:hAnsi="Arial"/>
          <w:sz w:val="16"/>
          <w:szCs w:val="16"/>
          <w:color w:val="auto"/>
        </w:rPr>
        <w:t>, the decline was driven by a decrease in overdue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-812800</wp:posOffset>
            </wp:positionV>
            <wp:extent cx="2545715" cy="1562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5715" cy="1562735"/>
                    </a:xfrm>
                    <a:prstGeom prst="rect">
                      <a:avLst/>
                    </a:prstGeom>
                    <a:noFill/>
                  </pic:spPr>
                </pic:pic>
              </a:graphicData>
            </a:graphic>
          </wp:anchor>
        </w:drawing>
      </w:r>
    </w:p>
    <w:p>
      <w:pPr>
        <w:spacing w:after="0" w:line="78" w:lineRule="exact"/>
        <w:rPr>
          <w:sz w:val="20"/>
          <w:szCs w:val="20"/>
          <w:color w:val="auto"/>
        </w:rPr>
      </w:pPr>
    </w:p>
    <w:p>
      <w:pPr>
        <w:jc w:val="both"/>
        <w:ind w:right="5440"/>
        <w:spacing w:after="0" w:line="238" w:lineRule="auto"/>
        <w:rPr>
          <w:sz w:val="20"/>
          <w:szCs w:val="20"/>
          <w:color w:val="auto"/>
        </w:rPr>
      </w:pPr>
      <w:r>
        <w:rPr>
          <w:rFonts w:ascii="Arial" w:cs="Arial" w:eastAsia="Arial" w:hAnsi="Arial"/>
          <w:sz w:val="16"/>
          <w:szCs w:val="16"/>
          <w:color w:val="auto"/>
        </w:rPr>
        <w:t xml:space="preserve">YoY, the NPL balance dropped 16.6%, fueled by all segments at </w:t>
      </w:r>
      <w:r>
        <w:rPr>
          <w:rFonts w:ascii="Arial" w:cs="Arial" w:eastAsia="Arial" w:hAnsi="Arial"/>
          <w:sz w:val="16"/>
          <w:szCs w:val="16"/>
          <w:b w:val="1"/>
          <w:bCs w:val="1"/>
          <w:color w:val="auto"/>
        </w:rPr>
        <w:t>BCP</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Stand -alone </w:t>
      </w:r>
      <w:r>
        <w:rPr>
          <w:rFonts w:ascii="Arial" w:cs="Arial" w:eastAsia="Arial" w:hAnsi="Arial"/>
          <w:sz w:val="16"/>
          <w:szCs w:val="16"/>
          <w:color w:val="auto"/>
        </w:rPr>
        <w:t>a n d</w:t>
      </w:r>
      <w:r>
        <w:rPr>
          <w:rFonts w:ascii="Arial" w:cs="Arial" w:eastAsia="Arial" w:hAnsi="Arial"/>
          <w:sz w:val="16"/>
          <w:szCs w:val="16"/>
          <w:b w:val="1"/>
          <w:bCs w:val="1"/>
          <w:color w:val="auto"/>
        </w:rPr>
        <w:t xml:space="preserve"> Mibanco</w:t>
      </w:r>
      <w:r>
        <w:rPr>
          <w:rFonts w:ascii="Arial" w:cs="Arial" w:eastAsia="Arial" w:hAnsi="Arial"/>
          <w:sz w:val="16"/>
          <w:szCs w:val="16"/>
          <w:color w:val="auto"/>
        </w:rPr>
        <w:t>. A t</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the decline was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mainly attributable to </w:t>
      </w:r>
      <w:r>
        <w:rPr>
          <w:rFonts w:ascii="Arial" w:cs="Arial" w:eastAsia="Arial" w:hAnsi="Arial"/>
          <w:sz w:val="16"/>
          <w:szCs w:val="16"/>
          <w:b w:val="1"/>
          <w:bCs w:val="1"/>
          <w:color w:val="auto"/>
        </w:rPr>
        <w:t>Retail Banking,</w:t>
      </w:r>
      <w:r>
        <w:rPr>
          <w:rFonts w:ascii="Arial" w:cs="Arial" w:eastAsia="Arial" w:hAnsi="Arial"/>
          <w:sz w:val="16"/>
          <w:szCs w:val="16"/>
          <w:color w:val="auto"/>
        </w:rPr>
        <w:t xml:space="preserve"> led by: (i) </w:t>
      </w:r>
      <w:r>
        <w:rPr>
          <w:rFonts w:ascii="Arial" w:cs="Arial" w:eastAsia="Arial" w:hAnsi="Arial"/>
          <w:sz w:val="16"/>
          <w:szCs w:val="16"/>
          <w:b w:val="1"/>
          <w:bCs w:val="1"/>
          <w:color w:val="auto"/>
        </w:rPr>
        <w:t>Consumer</w:t>
      </w:r>
      <w:r>
        <w:rPr>
          <w:rFonts w:ascii="Arial" w:cs="Arial" w:eastAsia="Arial" w:hAnsi="Arial"/>
          <w:sz w:val="16"/>
          <w:szCs w:val="16"/>
          <w:color w:val="auto"/>
        </w:rPr>
        <w:t xml:space="preserve"> and </w:t>
      </w:r>
      <w:r>
        <w:rPr>
          <w:rFonts w:ascii="Arial" w:cs="Arial" w:eastAsia="Arial" w:hAnsi="Arial"/>
          <w:sz w:val="16"/>
          <w:szCs w:val="16"/>
          <w:b w:val="1"/>
          <w:bCs w:val="1"/>
          <w:color w:val="auto"/>
        </w:rPr>
        <w:t>Credit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Cards, </w:t>
      </w:r>
      <w:r>
        <w:rPr>
          <w:rFonts w:ascii="Arial" w:cs="Arial" w:eastAsia="Arial" w:hAnsi="Arial"/>
          <w:sz w:val="16"/>
          <w:szCs w:val="16"/>
          <w:color w:val="auto"/>
        </w:rPr>
        <w:t>on the back of growth in debt payments due to higher liquidity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across the system, and (ii) </w:t>
      </w:r>
      <w:r>
        <w:rPr>
          <w:rFonts w:ascii="Arial" w:cs="Arial" w:eastAsia="Arial" w:hAnsi="Arial"/>
          <w:sz w:val="16"/>
          <w:szCs w:val="16"/>
          <w:b w:val="1"/>
          <w:bCs w:val="1"/>
          <w:color w:val="auto"/>
        </w:rPr>
        <w:t>SME -Pyme,</w:t>
      </w:r>
      <w:r>
        <w:rPr>
          <w:rFonts w:ascii="Arial" w:cs="Arial" w:eastAsia="Arial" w:hAnsi="Arial"/>
          <w:sz w:val="16"/>
          <w:szCs w:val="16"/>
          <w:color w:val="auto"/>
        </w:rPr>
        <w:t xml:space="preserve"> due to a drop in overdue loans. </w:t>
      </w:r>
      <w:r>
        <w:rPr>
          <w:rFonts w:ascii="Arial" w:cs="Arial" w:eastAsia="Arial" w:hAnsi="Arial"/>
          <w:sz w:val="16"/>
          <w:szCs w:val="16"/>
          <w:b w:val="1"/>
          <w:bCs w:val="1"/>
          <w:color w:val="auto"/>
        </w:rPr>
        <w:t xml:space="preserve">Wholesale Banking </w:t>
      </w:r>
      <w:r>
        <w:rPr>
          <w:rFonts w:ascii="Arial" w:cs="Arial" w:eastAsia="Arial" w:hAnsi="Arial"/>
          <w:sz w:val="16"/>
          <w:szCs w:val="16"/>
          <w:color w:val="auto"/>
        </w:rPr>
        <w:t>also drove the reduction in the NPL balance, albeit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a lesser degree, fueled mainly by total debt repayments by two corporate clients. At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the decline was attributable to the same dynamics seen QoQ.</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 this context, the NPL ratio dropped 15 bps QoQ and 105 bps YoY to</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stand at 4.8% at quarter-end.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758190</wp:posOffset>
            </wp:positionV>
            <wp:extent cx="670750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102235</wp:posOffset>
            </wp:positionV>
            <wp:extent cx="6021705" cy="541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21705" cy="541020"/>
                    </a:xfrm>
                    <a:prstGeom prst="rect">
                      <a:avLst/>
                    </a:prstGeom>
                    <a:noFill/>
                  </pic:spPr>
                </pic:pic>
              </a:graphicData>
            </a:graphic>
          </wp:anchor>
        </w:drawing>
      </w:r>
    </w:p>
    <w:p>
      <w:pPr>
        <w:sectPr>
          <w:pgSz w:w="11900" w:h="16840" w:orient="portrait"/>
          <w:cols w:equalWidth="0" w:num="1">
            <w:col w:w="10520"/>
          </w:cols>
          <w:pgMar w:left="660" w:top="883" w:right="720" w:bottom="1440" w:gutter="0" w:footer="0" w:header="0"/>
        </w:sectPr>
      </w:pPr>
    </w:p>
    <w:bookmarkStart w:id="9" w:name="page10"/>
    <w:bookmarkEnd w:id="9"/>
    <w:p>
      <w:pPr>
        <w:ind w:left="2560"/>
        <w:spacing w:after="0"/>
        <w:tabs>
          <w:tab w:leader="none" w:pos="28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943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07505" cy="59436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440"/>
        <w:spacing w:after="0" w:line="238" w:lineRule="auto"/>
        <w:rPr>
          <w:sz w:val="20"/>
          <w:szCs w:val="20"/>
          <w:color w:val="auto"/>
        </w:rPr>
      </w:pPr>
      <w:r>
        <w:rPr>
          <w:rFonts w:ascii="Arial" w:cs="Arial" w:eastAsia="Arial" w:hAnsi="Arial"/>
          <w:sz w:val="16"/>
          <w:szCs w:val="16"/>
          <w:color w:val="auto"/>
        </w:rPr>
        <w:t xml:space="preserve">Provisions rose 4.8% QoQ, driven by </w:t>
      </w:r>
      <w:r>
        <w:rPr>
          <w:rFonts w:ascii="Arial" w:cs="Arial" w:eastAsia="Arial" w:hAnsi="Arial"/>
          <w:sz w:val="16"/>
          <w:szCs w:val="16"/>
          <w:b w:val="1"/>
          <w:bCs w:val="1"/>
          <w:color w:val="auto"/>
        </w:rPr>
        <w:t>BCP Stand-alone a</w:t>
      </w:r>
      <w:r>
        <w:rPr>
          <w:rFonts w:ascii="Arial" w:cs="Arial" w:eastAsia="Arial" w:hAnsi="Arial"/>
          <w:sz w:val="16"/>
          <w:szCs w:val="16"/>
          <w:color w:val="auto"/>
        </w:rPr>
        <w:t xml:space="preserve">nd partially offset by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At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the increase in provisions reflected both the recurring dynamics of Retail Banking and specific impacts in </w:t>
      </w:r>
      <w:r>
        <w:rPr>
          <w:rFonts w:ascii="Arial" w:cs="Arial" w:eastAsia="Arial" w:hAnsi="Arial"/>
          <w:sz w:val="16"/>
          <w:szCs w:val="16"/>
          <w:b w:val="1"/>
          <w:bCs w:val="1"/>
          <w:color w:val="auto"/>
        </w:rPr>
        <w:t>Wholesale Banking</w:t>
      </w:r>
      <w:r>
        <w:rPr>
          <w:rFonts w:ascii="Arial" w:cs="Arial" w:eastAsia="Arial" w:hAnsi="Arial"/>
          <w:sz w:val="16"/>
          <w:szCs w:val="16"/>
          <w:color w:val="auto"/>
        </w:rPr>
        <w:t xml:space="preserve">. In </w:t>
      </w:r>
      <w:r>
        <w:rPr>
          <w:rFonts w:ascii="Arial" w:cs="Arial" w:eastAsia="Arial" w:hAnsi="Arial"/>
          <w:sz w:val="16"/>
          <w:szCs w:val="16"/>
          <w:b w:val="1"/>
          <w:bCs w:val="1"/>
          <w:color w:val="auto"/>
        </w:rPr>
        <w:t>Retail Banking</w:t>
      </w:r>
      <w:r>
        <w:rPr>
          <w:rFonts w:ascii="Arial" w:cs="Arial" w:eastAsia="Arial" w:hAnsi="Arial"/>
          <w:sz w:val="16"/>
          <w:szCs w:val="16"/>
          <w:color w:val="auto"/>
        </w:rPr>
        <w:t xml:space="preserve">, provisions for the </w:t>
      </w:r>
      <w:r>
        <w:rPr>
          <w:rFonts w:ascii="Arial" w:cs="Arial" w:eastAsia="Arial" w:hAnsi="Arial"/>
          <w:sz w:val="16"/>
          <w:szCs w:val="16"/>
          <w:b w:val="1"/>
          <w:bCs w:val="1"/>
          <w:color w:val="auto"/>
        </w:rPr>
        <w:t xml:space="preserve">Individuals </w:t>
      </w:r>
      <w:r>
        <w:rPr>
          <w:rFonts w:ascii="Arial" w:cs="Arial" w:eastAsia="Arial" w:hAnsi="Arial"/>
          <w:sz w:val="16"/>
          <w:szCs w:val="16"/>
          <w:color w:val="auto"/>
        </w:rPr>
        <w:t>segment remained stable, while provisions for</w:t>
      </w:r>
      <w:r>
        <w:rPr>
          <w:rFonts w:ascii="Arial" w:cs="Arial" w:eastAsia="Arial" w:hAnsi="Arial"/>
          <w:sz w:val="16"/>
          <w:szCs w:val="16"/>
          <w:b w:val="1"/>
          <w:bCs w:val="1"/>
          <w:color w:val="auto"/>
        </w:rPr>
        <w:t xml:space="preserve"> SME-Pyme </w:t>
      </w:r>
      <w:r>
        <w:rPr>
          <w:rFonts w:ascii="Arial" w:cs="Arial" w:eastAsia="Arial" w:hAnsi="Arial"/>
          <w:sz w:val="16"/>
          <w:szCs w:val="16"/>
          <w:color w:val="auto"/>
        </w:rPr>
        <w:t xml:space="preserve">increased slightly due to a base effect resulting from higher reversals in the previous quarter. In </w:t>
      </w:r>
      <w:r>
        <w:rPr>
          <w:rFonts w:ascii="Arial" w:cs="Arial" w:eastAsia="Arial" w:hAnsi="Arial"/>
          <w:sz w:val="16"/>
          <w:szCs w:val="16"/>
          <w:b w:val="1"/>
          <w:bCs w:val="1"/>
          <w:color w:val="auto"/>
        </w:rPr>
        <w:t>Wholesale Banking</w:t>
      </w:r>
      <w:r>
        <w:rPr>
          <w:rFonts w:ascii="Arial" w:cs="Arial" w:eastAsia="Arial" w:hAnsi="Arial"/>
          <w:sz w:val="16"/>
          <w:szCs w:val="16"/>
          <w:color w:val="auto"/>
        </w:rPr>
        <w:t xml:space="preserve"> provisions rose after a relevant increase was registered in the credit risk of a corporate client. At </w:t>
      </w:r>
      <w:r>
        <w:rPr>
          <w:rFonts w:ascii="Arial" w:cs="Arial" w:eastAsia="Arial" w:hAnsi="Arial"/>
          <w:sz w:val="16"/>
          <w:szCs w:val="16"/>
          <w:b w:val="1"/>
          <w:bCs w:val="1"/>
          <w:color w:val="auto"/>
        </w:rPr>
        <w:t>Mibanco</w:t>
      </w:r>
      <w:r>
        <w:rPr>
          <w:rFonts w:ascii="Arial" w:cs="Arial" w:eastAsia="Arial" w:hAnsi="Arial"/>
          <w:sz w:val="16"/>
          <w:szCs w:val="16"/>
          <w:color w:val="auto"/>
        </w:rPr>
        <w:t>, the lower provisions were explained by better collection</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w:t>
      </w:r>
    </w:p>
    <w:p>
      <w:pPr>
        <w:spacing w:after="0" w:line="98" w:lineRule="exact"/>
        <w:rPr>
          <w:sz w:val="20"/>
          <w:szCs w:val="20"/>
          <w:color w:val="auto"/>
        </w:rPr>
      </w:pPr>
    </w:p>
    <w:p>
      <w:pPr>
        <w:jc w:val="both"/>
        <w:ind w:right="460"/>
        <w:spacing w:after="0" w:line="244" w:lineRule="auto"/>
        <w:rPr>
          <w:sz w:val="20"/>
          <w:szCs w:val="20"/>
          <w:color w:val="auto"/>
        </w:rPr>
      </w:pPr>
      <w:r>
        <w:rPr>
          <w:rFonts w:ascii="Arial" w:cs="Arial" w:eastAsia="Arial" w:hAnsi="Arial"/>
          <w:sz w:val="16"/>
          <w:szCs w:val="16"/>
          <w:color w:val="auto"/>
        </w:rPr>
        <w:t xml:space="preserve">YoY and YTD, provisions decreased 30.5% and 36.6% respectively, driven by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a n d </w:t>
      </w:r>
      <w:r>
        <w:rPr>
          <w:rFonts w:ascii="Arial" w:cs="Arial" w:eastAsia="Arial" w:hAnsi="Arial"/>
          <w:sz w:val="16"/>
          <w:szCs w:val="16"/>
          <w:b w:val="1"/>
          <w:bCs w:val="1"/>
          <w:color w:val="auto"/>
        </w:rPr>
        <w:t>Mibanco</w:t>
      </w:r>
      <w:r>
        <w:rPr>
          <w:rFonts w:ascii="Arial" w:cs="Arial" w:eastAsia="Arial" w:hAnsi="Arial"/>
          <w:sz w:val="16"/>
          <w:szCs w:val="16"/>
          <w:color w:val="auto"/>
        </w:rPr>
        <w:t>, which registered improvements in payment performance due to economic recovery and an increase in lower-risk vintages’ share of the portfolio mix.</w:t>
      </w:r>
    </w:p>
    <w:p>
      <w:pPr>
        <w:spacing w:after="0" w:line="91"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Other Income</w:t>
      </w:r>
    </w:p>
    <w:p>
      <w:pPr>
        <w:spacing w:after="0" w:line="181" w:lineRule="exact"/>
        <w:rPr>
          <w:sz w:val="20"/>
          <w:szCs w:val="20"/>
          <w:color w:val="auto"/>
        </w:rPr>
      </w:pPr>
    </w:p>
    <w:p>
      <w:pPr>
        <w:jc w:val="both"/>
        <w:ind w:right="460"/>
        <w:spacing w:after="0"/>
        <w:rPr>
          <w:sz w:val="20"/>
          <w:szCs w:val="20"/>
          <w:color w:val="auto"/>
        </w:rPr>
      </w:pPr>
      <w:r>
        <w:rPr>
          <w:rFonts w:ascii="Arial" w:cs="Arial" w:eastAsia="Arial" w:hAnsi="Arial"/>
          <w:sz w:val="16"/>
          <w:szCs w:val="16"/>
          <w:color w:val="auto"/>
        </w:rPr>
        <w:t>Other Core Income reached a record high this quarter, growing 4.0% QoQ, 11.9% YoY, and 11.6% YTD, driven by the strong performance of BCP Stand-alone’s core business and the dynamism of Yape. This result reflects the consistent execution of our revenue diversification and decoupling from macroeconomic factors strategy, strengthening the resilience of our business model.</w:t>
      </w:r>
    </w:p>
    <w:p>
      <w:pPr>
        <w:spacing w:after="0" w:line="96" w:lineRule="exact"/>
        <w:rPr>
          <w:sz w:val="20"/>
          <w:szCs w:val="20"/>
          <w:color w:val="auto"/>
        </w:rPr>
      </w:pPr>
    </w:p>
    <w:p>
      <w:pPr>
        <w:jc w:val="both"/>
        <w:ind w:right="440"/>
        <w:spacing w:after="0" w:line="241" w:lineRule="auto"/>
        <w:rPr>
          <w:sz w:val="20"/>
          <w:szCs w:val="20"/>
          <w:color w:val="auto"/>
        </w:rPr>
      </w:pPr>
      <w:r>
        <w:rPr>
          <w:rFonts w:ascii="Arial" w:cs="Arial" w:eastAsia="Arial" w:hAnsi="Arial"/>
          <w:sz w:val="16"/>
          <w:szCs w:val="16"/>
          <w:color w:val="auto"/>
        </w:rPr>
        <w:t>Other Non-Core Income decreased by 28.7% QoQ and 19.0% YoY, reflecting the base effect generated by extraordinary income recorded in previous quarters. YTD, this income increased by 7.4%, due to income related to the consolidation of Banmedica's operations and the exchange of sovereign bonds at BCP.</w:t>
      </w:r>
    </w:p>
    <w:p>
      <w:pPr>
        <w:spacing w:after="0" w:line="95"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Insurance Underwriting Result</w:t>
      </w:r>
    </w:p>
    <w:p>
      <w:pPr>
        <w:spacing w:after="0" w:line="181" w:lineRule="exact"/>
        <w:rPr>
          <w:sz w:val="20"/>
          <w:szCs w:val="20"/>
          <w:color w:val="auto"/>
        </w:rPr>
      </w:pPr>
    </w:p>
    <w:p>
      <w:pPr>
        <w:jc w:val="both"/>
        <w:ind w:right="460"/>
        <w:spacing w:after="0" w:line="334" w:lineRule="auto"/>
        <w:rPr>
          <w:sz w:val="20"/>
          <w:szCs w:val="20"/>
          <w:color w:val="auto"/>
        </w:rPr>
      </w:pPr>
      <w:r>
        <w:rPr>
          <w:rFonts w:ascii="Arial" w:cs="Arial" w:eastAsia="Arial" w:hAnsi="Arial"/>
          <w:sz w:val="14"/>
          <w:szCs w:val="14"/>
          <w:color w:val="auto"/>
        </w:rPr>
        <w:t>The Insurance Underwriting Result remained solid this quarter, supported by strong operating dynamics in both the P&amp;C and Life businesses.</w:t>
      </w:r>
    </w:p>
    <w:p>
      <w:pPr>
        <w:spacing w:after="0" w:line="80" w:lineRule="exact"/>
        <w:rPr>
          <w:sz w:val="20"/>
          <w:szCs w:val="20"/>
          <w:color w:val="auto"/>
        </w:rPr>
      </w:pPr>
    </w:p>
    <w:p>
      <w:pPr>
        <w:jc w:val="both"/>
        <w:ind w:right="440"/>
        <w:spacing w:after="0" w:line="241" w:lineRule="auto"/>
        <w:rPr>
          <w:sz w:val="20"/>
          <w:szCs w:val="20"/>
          <w:color w:val="auto"/>
        </w:rPr>
      </w:pPr>
      <w:r>
        <w:rPr>
          <w:rFonts w:ascii="Arial" w:cs="Arial" w:eastAsia="Arial" w:hAnsi="Arial"/>
          <w:sz w:val="16"/>
          <w:szCs w:val="16"/>
          <w:color w:val="auto"/>
        </w:rPr>
        <w:t>This result rose 10.7% QoQ and was driven mainly by (i) Life, which reported a decrease in Insurance Service Expenses, (ii) EPS, which showed higher Insurance Service Income supported by strong business performance that resulted in higher premiums, and (iii) P&amp;C, which registered a more favorable Reinsurance Result.</w:t>
      </w:r>
    </w:p>
    <w:p>
      <w:pPr>
        <w:spacing w:after="0" w:line="181" w:lineRule="exact"/>
        <w:rPr>
          <w:sz w:val="20"/>
          <w:szCs w:val="20"/>
          <w:color w:val="auto"/>
        </w:rPr>
      </w:pPr>
    </w:p>
    <w:p>
      <w:pPr>
        <w:jc w:val="both"/>
        <w:ind w:right="440"/>
        <w:spacing w:after="0" w:line="239" w:lineRule="auto"/>
        <w:rPr>
          <w:sz w:val="20"/>
          <w:szCs w:val="20"/>
          <w:color w:val="auto"/>
        </w:rPr>
      </w:pPr>
      <w:r>
        <w:rPr>
          <w:rFonts w:ascii="Arial" w:cs="Arial" w:eastAsia="Arial" w:hAnsi="Arial"/>
          <w:sz w:val="16"/>
          <w:szCs w:val="16"/>
          <w:color w:val="auto"/>
        </w:rPr>
        <w:t>YoY and YTD, the Insurance Underwriting Result rose 33.1% and 20.5%, respectively, driven by (i) Life, where lower Insurance Service Expenses were recorded, especially in D&amp;S due to the non-awarding of the SISCO VIII contract; (ii) P &amp; C, through an improvement in the Reinsurance Result, which was mainly attributable to Commercial Lines, and (iii) EPS, given a change in the perimeter following the consolidation of Banmedica’s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1593850</wp:posOffset>
            </wp:positionV>
            <wp:extent cx="670750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945515</wp:posOffset>
            </wp:positionV>
            <wp:extent cx="6021705" cy="533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21705" cy="533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369570</wp:posOffset>
            </wp:positionV>
            <wp:extent cx="2393315" cy="1448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93315" cy="14484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2564765</wp:posOffset>
            </wp:positionV>
            <wp:extent cx="2286635" cy="1585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8663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00"/>
        <w:spacing w:after="0"/>
        <w:rPr>
          <w:sz w:val="20"/>
          <w:szCs w:val="20"/>
          <w:color w:val="auto"/>
        </w:rPr>
      </w:pPr>
      <w:r>
        <w:rPr>
          <w:rFonts w:ascii="Arial" w:cs="Arial" w:eastAsia="Arial" w:hAnsi="Arial"/>
          <w:sz w:val="13"/>
          <w:szCs w:val="13"/>
          <w:b w:val="1"/>
          <w:bCs w:val="1"/>
          <w:color w:val="auto"/>
        </w:rPr>
        <w:t>Insurance Underwriting Result*</w:t>
      </w:r>
    </w:p>
    <w:p>
      <w:pPr>
        <w:spacing w:after="0" w:line="19" w:lineRule="exact"/>
        <w:rPr>
          <w:sz w:val="20"/>
          <w:szCs w:val="20"/>
          <w:color w:val="auto"/>
        </w:rPr>
      </w:pPr>
    </w:p>
    <w:p>
      <w:pPr>
        <w:jc w:val="center"/>
        <w:ind w:right="700"/>
        <w:spacing w:after="0"/>
        <w:rPr>
          <w:sz w:val="20"/>
          <w:szCs w:val="20"/>
          <w:color w:val="auto"/>
        </w:rPr>
      </w:pPr>
      <w:r>
        <w:rPr>
          <w:rFonts w:ascii="Arial" w:cs="Arial" w:eastAsia="Arial" w:hAnsi="Arial"/>
          <w:sz w:val="13"/>
          <w:szCs w:val="13"/>
          <w:b w:val="1"/>
          <w:bCs w:val="1"/>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110490</wp:posOffset>
            </wp:positionV>
            <wp:extent cx="2256155" cy="157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56155" cy="157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0"/>
          <w:szCs w:val="10"/>
          <w:color w:val="auto"/>
        </w:rPr>
        <w:t>*Totals may differ from the sum of the parts due to eliminations in PGA consolidation.</w:t>
      </w:r>
    </w:p>
    <w:p>
      <w:pPr>
        <w:sectPr>
          <w:pgSz w:w="11900" w:h="16840" w:orient="portrait"/>
          <w:cols w:equalWidth="0" w:num="2">
            <w:col w:w="5520" w:space="720"/>
            <w:col w:w="4280"/>
          </w:cols>
          <w:pgMar w:left="660" w:top="883" w:right="720" w:bottom="1440" w:gutter="0" w:footer="0" w:header="0"/>
        </w:sectPr>
      </w:pPr>
    </w:p>
    <w:bookmarkStart w:id="10" w:name="page11"/>
    <w:bookmarkEnd w:id="10"/>
    <w:p>
      <w:pPr>
        <w:jc w:val="both"/>
        <w:ind w:left="2560"/>
        <w:spacing w:after="0"/>
        <w:tabs>
          <w:tab w:leader="none" w:pos="280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25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7505" cy="52578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4005580</wp:posOffset>
            </wp:positionH>
            <wp:positionV relativeFrom="paragraph">
              <wp:posOffset>-52705</wp:posOffset>
            </wp:positionV>
            <wp:extent cx="2202815" cy="12350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02815" cy="1235075"/>
                    </a:xfrm>
                    <a:prstGeom prst="rect">
                      <a:avLst/>
                    </a:prstGeom>
                    <a:noFill/>
                  </pic:spPr>
                </pic:pic>
              </a:graphicData>
            </a:graphic>
          </wp:anchor>
        </w:drawing>
      </w:r>
    </w:p>
    <w:p>
      <w:pPr>
        <w:spacing w:after="0" w:line="161" w:lineRule="exact"/>
        <w:rPr>
          <w:sz w:val="20"/>
          <w:szCs w:val="20"/>
          <w:color w:val="auto"/>
        </w:rPr>
      </w:pPr>
    </w:p>
    <w:p>
      <w:pPr>
        <w:jc w:val="both"/>
        <w:ind w:right="5440"/>
        <w:spacing w:after="0" w:line="248" w:lineRule="auto"/>
        <w:rPr>
          <w:sz w:val="20"/>
          <w:szCs w:val="20"/>
          <w:color w:val="auto"/>
        </w:rPr>
      </w:pPr>
      <w:r>
        <w:rPr>
          <w:rFonts w:ascii="Arial" w:cs="Arial" w:eastAsia="Arial" w:hAnsi="Arial"/>
          <w:sz w:val="16"/>
          <w:szCs w:val="16"/>
          <w:color w:val="auto"/>
        </w:rPr>
        <w:t>Operating expenses increased 12.8% YTD, fueled mainly by core business and BCP Stand-alone and by the innovation portfolio at Credicorp. Operating income, in turn, rose 8.2% over the same period.</w:t>
      </w:r>
    </w:p>
    <w:p>
      <w:pPr>
        <w:spacing w:after="0" w:line="90" w:lineRule="exact"/>
        <w:rPr>
          <w:sz w:val="20"/>
          <w:szCs w:val="20"/>
          <w:color w:val="auto"/>
        </w:rPr>
      </w:pPr>
    </w:p>
    <w:p>
      <w:pPr>
        <w:jc w:val="both"/>
        <w:ind w:right="5460"/>
        <w:spacing w:after="0" w:line="262" w:lineRule="auto"/>
        <w:rPr>
          <w:sz w:val="20"/>
          <w:szCs w:val="20"/>
          <w:color w:val="auto"/>
        </w:rPr>
      </w:pPr>
      <w:r>
        <w:rPr>
          <w:rFonts w:ascii="Arial" w:cs="Arial" w:eastAsia="Arial" w:hAnsi="Arial"/>
          <w:sz w:val="16"/>
          <w:szCs w:val="16"/>
          <w:color w:val="auto"/>
        </w:rPr>
        <w:t>In this context, the Efficiency Ratio for 9M25 stood at 45.7%, which is in line with our guidance for the year.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Net Earnings Attributable to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38100</wp:posOffset>
            </wp:positionV>
            <wp:extent cx="2416175" cy="1356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16175" cy="1356995"/>
                    </a:xfrm>
                    <a:prstGeom prst="rect">
                      <a:avLst/>
                    </a:prstGeom>
                    <a:noFill/>
                  </pic:spPr>
                </pic:pic>
              </a:graphicData>
            </a:graphic>
          </wp:anchor>
        </w:drawing>
      </w:r>
    </w:p>
    <w:p>
      <w:pPr>
        <w:spacing w:after="0" w:line="161" w:lineRule="exact"/>
        <w:rPr>
          <w:sz w:val="20"/>
          <w:szCs w:val="20"/>
          <w:color w:val="auto"/>
        </w:rPr>
      </w:pPr>
    </w:p>
    <w:p>
      <w:pPr>
        <w:jc w:val="both"/>
        <w:ind w:right="5440"/>
        <w:spacing w:after="0" w:line="244" w:lineRule="auto"/>
        <w:rPr>
          <w:sz w:val="20"/>
          <w:szCs w:val="20"/>
          <w:color w:val="auto"/>
        </w:rPr>
      </w:pPr>
      <w:r>
        <w:rPr>
          <w:rFonts w:ascii="Arial" w:cs="Arial" w:eastAsia="Arial" w:hAnsi="Arial"/>
          <w:sz w:val="16"/>
          <w:szCs w:val="16"/>
          <w:color w:val="auto"/>
        </w:rPr>
        <w:t>In 3Q25, Credicorp reported net attributable income of S/1,738.7 million (-4.6% QoQ and +14.1% YoY), driven by solid results across all lines of business. Net shareholders’ equity stood at S/36,560 million (+6.1% QoQ and +9.3% YoY). Consequently, ROE situated at 19.6%.</w:t>
      </w:r>
    </w:p>
    <w:p>
      <w:pPr>
        <w:spacing w:after="0" w:line="104" w:lineRule="exact"/>
        <w:rPr>
          <w:sz w:val="20"/>
          <w:szCs w:val="20"/>
          <w:color w:val="auto"/>
        </w:rPr>
      </w:pPr>
    </w:p>
    <w:p>
      <w:pPr>
        <w:jc w:val="both"/>
        <w:ind w:right="5460"/>
        <w:spacing w:after="0" w:line="248" w:lineRule="auto"/>
        <w:rPr>
          <w:sz w:val="20"/>
          <w:szCs w:val="20"/>
          <w:color w:val="auto"/>
        </w:rPr>
      </w:pPr>
      <w:r>
        <w:rPr>
          <w:rFonts w:ascii="Arial" w:cs="Arial" w:eastAsia="Arial" w:hAnsi="Arial"/>
          <w:sz w:val="16"/>
          <w:szCs w:val="16"/>
          <w:color w:val="auto"/>
        </w:rPr>
        <w:t>YTD, net attributable income rose 22.0%. In turn, ROE for 9M25 stood at 20.1%. If we exclude the effect of the extraordinary gain generated by the transaction with Empresas Banmédica, ROE stood at 19.3%.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2AD2C8"/>
        </w:rPr>
        <w:t>Contributions and ROE by subsidiary in 3Q25</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AD2C8"/>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64135</wp:posOffset>
            </wp:positionV>
            <wp:extent cx="5076190" cy="2576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76190" cy="257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hanging="154"/>
        <w:spacing w:after="0"/>
        <w:tabs>
          <w:tab w:leader="none" w:pos="16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 BCP Stand-alone, the figure is lower than the net profit since the contribution eliminates investment gains in other subsidiaries of Credicorp (Mibanco).</w:t>
      </w:r>
    </w:p>
    <w:p>
      <w:pPr>
        <w:spacing w:after="0" w:line="15" w:lineRule="exact"/>
        <w:rPr>
          <w:rFonts w:ascii="Arial" w:cs="Arial" w:eastAsia="Arial" w:hAnsi="Arial"/>
          <w:sz w:val="11"/>
          <w:szCs w:val="11"/>
          <w:color w:val="auto"/>
        </w:rPr>
      </w:pPr>
    </w:p>
    <w:p>
      <w:pPr>
        <w:ind w:left="160" w:hanging="154"/>
        <w:spacing w:after="0"/>
        <w:tabs>
          <w:tab w:leader="none" w:pos="16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 Mibanco, the figure is less than the net profit because Credicorp owns (directly and indirectly) 99.921% of Mibanco.</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contribution for Grupo Pacifico presented here is greater than the profit of Pacifico Seguros since 100% of Crediseguros is being included (including 48% under Grupo Crédito).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774700</wp:posOffset>
            </wp:positionV>
            <wp:extent cx="670750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104140</wp:posOffset>
            </wp:positionV>
            <wp:extent cx="6036945" cy="556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6945" cy="556260"/>
                    </a:xfrm>
                    <a:prstGeom prst="rect">
                      <a:avLst/>
                    </a:prstGeom>
                    <a:noFill/>
                  </pic:spPr>
                </pic:pic>
              </a:graphicData>
            </a:graphic>
          </wp:anchor>
        </w:drawing>
      </w:r>
    </w:p>
    <w:p>
      <w:pPr>
        <w:sectPr>
          <w:pgSz w:w="11900" w:h="16840" w:orient="portrait"/>
          <w:cols w:equalWidth="0" w:num="1">
            <w:col w:w="10520"/>
          </w:cols>
          <w:pgMar w:left="660" w:top="869" w:right="720" w:bottom="1440" w:gutter="0" w:footer="0" w:header="0"/>
        </w:sectPr>
      </w:pPr>
    </w:p>
    <w:bookmarkStart w:id="11" w:name="page12"/>
    <w:bookmarkEnd w:id="11"/>
    <w:p>
      <w:pPr>
        <w:ind w:left="2500"/>
        <w:spacing w:after="0"/>
        <w:tabs>
          <w:tab w:leader="none" w:pos="2740" w:val="left"/>
          <w:tab w:leader="none" w:pos="81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71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7505" cy="57150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248285</wp:posOffset>
            </wp:positionV>
            <wp:extent cx="6707505" cy="419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07505" cy="41910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640"/>
        <w:spacing w:after="0"/>
        <w:tabs>
          <w:tab w:leader="none" w:pos="7360" w:val="left"/>
        </w:tabs>
        <w:rPr>
          <w:sz w:val="20"/>
          <w:szCs w:val="20"/>
          <w:color w:val="auto"/>
        </w:rPr>
      </w:pPr>
      <w:r>
        <w:rPr>
          <w:rFonts w:ascii="Arial" w:cs="Arial" w:eastAsia="Arial" w:hAnsi="Arial"/>
          <w:sz w:val="19"/>
          <w:szCs w:val="19"/>
          <w:b w:val="1"/>
          <w:bCs w:val="1"/>
          <w:color w:val="FFFFFF"/>
        </w:rPr>
        <w:t>Universal Banking</w:t>
      </w:r>
      <w:r>
        <w:rPr>
          <w:sz w:val="20"/>
          <w:szCs w:val="20"/>
          <w:color w:val="auto"/>
        </w:rPr>
        <w:tab/>
      </w:r>
      <w:r>
        <w:rPr>
          <w:rFonts w:ascii="Arial" w:cs="Arial" w:eastAsia="Arial" w:hAnsi="Arial"/>
          <w:sz w:val="19"/>
          <w:szCs w:val="19"/>
          <w:b w:val="1"/>
          <w:bCs w:val="1"/>
          <w:color w:val="FFFFFF"/>
        </w:rPr>
        <w:t>Microfinance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319405</wp:posOffset>
            </wp:positionV>
            <wp:extent cx="6707505" cy="14865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07505" cy="1486535"/>
                    </a:xfrm>
                    <a:prstGeom prst="rect">
                      <a:avLst/>
                    </a:prstGeom>
                    <a:noFill/>
                  </pic:spPr>
                </pic:pic>
              </a:graphicData>
            </a:graphic>
          </wp:anchor>
        </w:drawing>
      </w:r>
    </w:p>
    <w:p>
      <w:pPr>
        <w:sectPr>
          <w:pgSz w:w="11900" w:h="16840" w:orient="portrait"/>
          <w:cols w:equalWidth="0" w:num="1">
            <w:col w:w="10460"/>
          </w:cols>
          <w:pgMar w:left="720" w:top="917" w:right="7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BCP reported solid profitability this quarter, backed by increasing margins; diversified sources of income; and a cost of risk level below that seen in 2024. NIM stood at 6.1%, driven mainly by a shift in the mix towards a higher preponderance of retail loans and by solid transactional funding. Core income remained robust, backed by a growing and diversified income base in both Yape and the core business. The CoR stood at 1.3%, due to a greater share of lower-risk loans in the portfolio, supported by a more favorable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194945</wp:posOffset>
            </wp:positionV>
            <wp:extent cx="3216275" cy="419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16275" cy="4191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380"/>
        <w:spacing w:after="0"/>
        <w:rPr>
          <w:sz w:val="20"/>
          <w:szCs w:val="20"/>
          <w:color w:val="auto"/>
        </w:rPr>
      </w:pPr>
      <w:r>
        <w:rPr>
          <w:rFonts w:ascii="Arial" w:cs="Arial" w:eastAsia="Arial" w:hAnsi="Arial"/>
          <w:sz w:val="19"/>
          <w:szCs w:val="19"/>
          <w:b w:val="1"/>
          <w:bCs w:val="1"/>
          <w:color w:val="FFFFFF"/>
        </w:rPr>
        <w:t>Insurance and Pensions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Profitability at Mibanco continued to recover, fueled primarily by a rebound in disbursements; fortified risk management; and efficient interest rate strategies. NIM remained strong, bolstered by active loan pricing and a reduction in the funding cost.</w:t>
      </w:r>
    </w:p>
    <w:p>
      <w:pPr>
        <w:spacing w:after="0" w:line="87"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Mibanco Colombia’s results continued to improve on the back of restructuring efforts over the past year and an improvement in the economic environment for the microfinance sector. Growth remained stable, and risk levels controlled.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192405</wp:posOffset>
            </wp:positionV>
            <wp:extent cx="3216275" cy="563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16275" cy="5638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FFFFFF"/>
        </w:rPr>
        <w:t>Investment Management and</w:t>
      </w:r>
    </w:p>
    <w:p>
      <w:pPr>
        <w:spacing w:after="0" w:line="30"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FFFFFF"/>
        </w:rPr>
        <w:t>Advisory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306705</wp:posOffset>
            </wp:positionV>
            <wp:extent cx="3216275" cy="746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16275" cy="746760"/>
                    </a:xfrm>
                    <a:prstGeom prst="rect">
                      <a:avLst/>
                    </a:prstGeom>
                    <a:noFill/>
                  </pic:spPr>
                </pic:pic>
              </a:graphicData>
            </a:graphic>
          </wp:anchor>
        </w:drawing>
      </w:r>
    </w:p>
    <w:p>
      <w:pPr>
        <w:spacing w:after="0" w:line="420" w:lineRule="exact"/>
        <w:rPr>
          <w:sz w:val="20"/>
          <w:szCs w:val="20"/>
          <w:color w:val="auto"/>
        </w:rPr>
      </w:pPr>
    </w:p>
    <w:p>
      <w:pPr>
        <w:sectPr>
          <w:pgSz w:w="11900" w:h="16840" w:orient="portrait"/>
          <w:cols w:equalWidth="0" w:num="2">
            <w:col w:w="4960" w:space="540"/>
            <w:col w:w="4960"/>
          </w:cols>
          <w:pgMar w:left="720" w:top="917" w:right="720" w:bottom="1440" w:gutter="0" w:footer="0" w:header="0"/>
          <w:type w:val="continuous"/>
        </w:sectPr>
      </w:pPr>
    </w:p>
    <w:p>
      <w:pPr>
        <w:spacing w:after="0" w:line="35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Grupo Pacífico's Net Income reflects a solid performance of the underlying business, particularly in the Life and P&amp;C businesses, which continue to show robust underwriting results. The consolidation o Empresas Banmedica’s operations has further strengthened results for Medical Services. These positive dynamics were partially offset by a credit downgrade of two assets in the investment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209550</wp:posOffset>
            </wp:positionV>
            <wp:extent cx="6707505" cy="800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7505" cy="80010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-902335</wp:posOffset>
            </wp:positionV>
            <wp:extent cx="3216275" cy="929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16275" cy="929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Operating profitability in the Investment Management and Advisory remained at sound levels. The core business reported solid results, where good performance helped offset an increase in operating expenses. The Asset Management and Wealth Management business reported a significant uptick in AUMs.</w:t>
      </w:r>
    </w:p>
    <w:p>
      <w:pPr>
        <w:spacing w:after="0" w:line="728" w:lineRule="exact"/>
        <w:rPr>
          <w:sz w:val="20"/>
          <w:szCs w:val="20"/>
          <w:color w:val="auto"/>
        </w:rPr>
      </w:pPr>
    </w:p>
    <w:p>
      <w:pPr>
        <w:sectPr>
          <w:pgSz w:w="11900" w:h="16840" w:orient="portrait"/>
          <w:cols w:equalWidth="0" w:num="2">
            <w:col w:w="4960" w:space="540"/>
            <w:col w:w="4960"/>
          </w:cols>
          <w:pgMar w:left="720" w:top="917" w:right="720" w:bottom="1440" w:gutter="0" w:footer="0" w:header="0"/>
          <w:type w:val="continuous"/>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FFFFFF"/>
        </w:rPr>
        <w:t>Outlook</w:t>
      </w:r>
    </w:p>
    <w:p>
      <w:pPr>
        <w:spacing w:after="0" w:line="200" w:lineRule="exact"/>
        <w:rPr>
          <w:sz w:val="20"/>
          <w:szCs w:val="20"/>
          <w:color w:val="auto"/>
        </w:rPr>
      </w:pPr>
    </w:p>
    <w:p>
      <w:pPr>
        <w:spacing w:after="0" w:line="219" w:lineRule="exact"/>
        <w:rPr>
          <w:sz w:val="20"/>
          <w:szCs w:val="20"/>
          <w:color w:val="auto"/>
        </w:rPr>
      </w:pPr>
    </w:p>
    <w:p>
      <w:pPr>
        <w:jc w:val="center"/>
        <w:ind w:left="540" w:right="420"/>
        <w:spacing w:after="0" w:line="268" w:lineRule="auto"/>
        <w:rPr>
          <w:sz w:val="20"/>
          <w:szCs w:val="20"/>
          <w:color w:val="auto"/>
        </w:rPr>
      </w:pPr>
      <w:r>
        <w:rPr>
          <w:rFonts w:ascii="Arial" w:cs="Arial" w:eastAsia="Arial" w:hAnsi="Arial"/>
          <w:sz w:val="17"/>
          <w:szCs w:val="17"/>
          <w:color w:val="auto"/>
        </w:rPr>
        <w:t>We reaffirm our previously published guidance for ROE 2025 of around 19.0%. This expectation is based on (i) accelerated loan growth, led by the retail segment, (ii) the increase of our NIM, and (iii) a cost of risk again below previous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774700</wp:posOffset>
            </wp:positionV>
            <wp:extent cx="670750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104140</wp:posOffset>
            </wp:positionV>
            <wp:extent cx="6014085" cy="556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14085" cy="556260"/>
                    </a:xfrm>
                    <a:prstGeom prst="rect">
                      <a:avLst/>
                    </a:prstGeom>
                    <a:noFill/>
                  </pic:spPr>
                </pic:pic>
              </a:graphicData>
            </a:graphic>
          </wp:anchor>
        </w:drawing>
      </w:r>
    </w:p>
    <w:p>
      <w:pPr>
        <w:sectPr>
          <w:pgSz w:w="11900" w:h="16840" w:orient="portrait"/>
          <w:cols w:equalWidth="0" w:num="1">
            <w:col w:w="10460"/>
          </w:cols>
          <w:pgMar w:left="720" w:top="917" w:right="720" w:bottom="1440" w:gutter="0" w:footer="0" w:header="0"/>
          <w:type w:val="continuous"/>
        </w:sectPr>
      </w:pPr>
    </w:p>
    <w:bookmarkStart w:id="12" w:name="page13"/>
    <w:bookmarkEnd w:id="12"/>
    <w:p>
      <w:pPr>
        <w:ind w:left="256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315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07505" cy="73152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Financial Overview</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298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Credicorp Ltd.</w:t>
            </w:r>
          </w:p>
        </w:tc>
        <w:tc>
          <w:tcPr>
            <w:tcW w:w="920" w:type="dxa"/>
            <w:vAlign w:val="bottom"/>
            <w:tcBorders>
              <w:top w:val="single" w:sz="8" w:color="auto"/>
            </w:tcBorders>
            <w:shd w:val="clear" w:color="auto" w:fill="33CCCC"/>
          </w:tcPr>
          <w:p>
            <w:pPr>
              <w:spacing w:after="0"/>
              <w:rPr>
                <w:sz w:val="12"/>
                <w:szCs w:val="12"/>
                <w:color w:val="auto"/>
              </w:rPr>
            </w:pPr>
          </w:p>
        </w:tc>
        <w:tc>
          <w:tcPr>
            <w:tcW w:w="960" w:type="dxa"/>
            <w:vAlign w:val="bottom"/>
            <w:tcBorders>
              <w:top w:val="single" w:sz="8" w:color="auto"/>
            </w:tcBorders>
            <w:shd w:val="clear" w:color="auto" w:fill="33CCCC"/>
          </w:tcPr>
          <w:p>
            <w:pPr>
              <w:ind w:left="300"/>
              <w:spacing w:after="0"/>
              <w:rPr>
                <w:sz w:val="20"/>
                <w:szCs w:val="20"/>
                <w:color w:val="auto"/>
              </w:rPr>
            </w:pPr>
            <w:r>
              <w:rPr>
                <w:rFonts w:ascii="Arial" w:cs="Arial" w:eastAsia="Arial" w:hAnsi="Arial"/>
                <w:sz w:val="11"/>
                <w:szCs w:val="11"/>
                <w:b w:val="1"/>
                <w:bCs w:val="1"/>
                <w:color w:val="FFFFFF"/>
                <w:shd w:val="clear" w:color="auto" w:fill="33CCCC"/>
              </w:rPr>
              <w:t>Quarter</w:t>
            </w:r>
          </w:p>
        </w:tc>
        <w:tc>
          <w:tcPr>
            <w:tcW w:w="960" w:type="dxa"/>
            <w:vAlign w:val="bottom"/>
            <w:tcBorders>
              <w:top w:val="single" w:sz="8" w:color="auto"/>
              <w:right w:val="single" w:sz="8" w:color="auto"/>
            </w:tcBorders>
            <w:shd w:val="clear" w:color="auto" w:fill="33CCCC"/>
          </w:tcPr>
          <w:p>
            <w:pPr>
              <w:spacing w:after="0"/>
              <w:rPr>
                <w:sz w:val="12"/>
                <w:szCs w:val="12"/>
                <w:color w:val="auto"/>
              </w:rPr>
            </w:pPr>
          </w:p>
        </w:tc>
        <w:tc>
          <w:tcPr>
            <w:tcW w:w="680" w:type="dxa"/>
            <w:vAlign w:val="bottom"/>
            <w:tcBorders>
              <w:top w:val="single" w:sz="8" w:color="auto"/>
            </w:tcBorders>
            <w:shd w:val="clear" w:color="auto" w:fill="33CCCC"/>
          </w:tcPr>
          <w:p>
            <w:pPr>
              <w:spacing w:after="0"/>
              <w:rPr>
                <w:sz w:val="12"/>
                <w:szCs w:val="12"/>
                <w:color w:val="auto"/>
              </w:rPr>
            </w:pPr>
          </w:p>
        </w:tc>
        <w:tc>
          <w:tcPr>
            <w:tcW w:w="1220" w:type="dxa"/>
            <w:vAlign w:val="bottom"/>
            <w:tcBorders>
              <w:top w:val="single" w:sz="8" w:color="auto"/>
              <w:right w:val="single" w:sz="8" w:color="auto"/>
            </w:tcBorders>
            <w:shd w:val="clear" w:color="auto" w:fill="33CCCC"/>
          </w:tcPr>
          <w:p>
            <w:pPr>
              <w:spacing w:after="0"/>
              <w:rPr>
                <w:sz w:val="20"/>
                <w:szCs w:val="20"/>
                <w:color w:val="auto"/>
              </w:rPr>
            </w:pPr>
            <w:r>
              <w:rPr>
                <w:rFonts w:ascii="Arial" w:cs="Arial" w:eastAsia="Arial" w:hAnsi="Arial"/>
                <w:sz w:val="11"/>
                <w:szCs w:val="11"/>
                <w:b w:val="1"/>
                <w:bCs w:val="1"/>
                <w:color w:val="FFFFFF"/>
              </w:rPr>
              <w:t>% change</w:t>
            </w:r>
          </w:p>
        </w:tc>
        <w:tc>
          <w:tcPr>
            <w:tcW w:w="780" w:type="dxa"/>
            <w:vAlign w:val="bottom"/>
            <w:tcBorders>
              <w:top w:val="single" w:sz="8" w:color="auto"/>
            </w:tcBorders>
            <w:shd w:val="clear" w:color="auto" w:fill="33CCCC"/>
          </w:tcPr>
          <w:p>
            <w:pPr>
              <w:spacing w:after="0"/>
              <w:rPr>
                <w:sz w:val="12"/>
                <w:szCs w:val="12"/>
                <w:color w:val="auto"/>
              </w:rPr>
            </w:pPr>
          </w:p>
        </w:tc>
        <w:tc>
          <w:tcPr>
            <w:tcW w:w="1120" w:type="dxa"/>
            <w:vAlign w:val="bottom"/>
            <w:tcBorders>
              <w:top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Up to</w:t>
            </w:r>
          </w:p>
        </w:tc>
        <w:tc>
          <w:tcPr>
            <w:tcW w:w="9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 change</w:t>
            </w:r>
          </w:p>
        </w:tc>
      </w:tr>
      <w:tr>
        <w:trPr>
          <w:trHeight w:val="132"/>
        </w:trPr>
        <w:tc>
          <w:tcPr>
            <w:tcW w:w="298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S/ 000</w:t>
            </w: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3Q24</w:t>
            </w:r>
          </w:p>
        </w:tc>
        <w:tc>
          <w:tcPr>
            <w:tcW w:w="9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2Q25</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3Q25</w:t>
            </w:r>
          </w:p>
        </w:tc>
        <w:tc>
          <w:tcPr>
            <w:tcW w:w="680" w:type="dxa"/>
            <w:vAlign w:val="bottom"/>
            <w:tcBorders>
              <w:bottom w:val="single" w:sz="8" w:color="auto"/>
            </w:tcBorders>
            <w:shd w:val="clear" w:color="auto" w:fill="33CCCC"/>
          </w:tcPr>
          <w:p>
            <w:pPr>
              <w:jc w:val="center"/>
              <w:ind w:left="186"/>
              <w:spacing w:after="0"/>
              <w:rPr>
                <w:sz w:val="20"/>
                <w:szCs w:val="20"/>
                <w:color w:val="auto"/>
              </w:rPr>
            </w:pPr>
            <w:r>
              <w:rPr>
                <w:rFonts w:ascii="Arial" w:cs="Arial" w:eastAsia="Arial" w:hAnsi="Arial"/>
                <w:sz w:val="11"/>
                <w:szCs w:val="11"/>
                <w:b w:val="1"/>
                <w:bCs w:val="1"/>
                <w:color w:val="FFFFFF"/>
              </w:rPr>
              <w:t>QoQ</w:t>
            </w:r>
          </w:p>
        </w:tc>
        <w:tc>
          <w:tcPr>
            <w:tcW w:w="1220" w:type="dxa"/>
            <w:vAlign w:val="bottom"/>
            <w:tcBorders>
              <w:bottom w:val="single" w:sz="8" w:color="auto"/>
              <w:right w:val="single" w:sz="8" w:color="auto"/>
            </w:tcBorders>
            <w:shd w:val="clear" w:color="auto" w:fill="33CCCC"/>
          </w:tcPr>
          <w:p>
            <w:pPr>
              <w:jc w:val="center"/>
              <w:ind w:left="186"/>
              <w:spacing w:after="0"/>
              <w:rPr>
                <w:sz w:val="20"/>
                <w:szCs w:val="20"/>
                <w:color w:val="auto"/>
              </w:rPr>
            </w:pPr>
            <w:r>
              <w:rPr>
                <w:rFonts w:ascii="Arial" w:cs="Arial" w:eastAsia="Arial" w:hAnsi="Arial"/>
                <w:sz w:val="11"/>
                <w:szCs w:val="11"/>
                <w:b w:val="1"/>
                <w:bCs w:val="1"/>
                <w:color w:val="FFFFFF"/>
              </w:rPr>
              <w:t>YoY</w:t>
            </w:r>
          </w:p>
        </w:tc>
        <w:tc>
          <w:tcPr>
            <w:tcW w:w="78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11"/>
                <w:szCs w:val="11"/>
                <w:b w:val="1"/>
                <w:bCs w:val="1"/>
                <w:color w:val="FFFFFF"/>
              </w:rPr>
              <w:t>Sep 24</w:t>
            </w:r>
          </w:p>
        </w:tc>
        <w:tc>
          <w:tcPr>
            <w:tcW w:w="1120" w:type="dxa"/>
            <w:vAlign w:val="bottom"/>
            <w:tcBorders>
              <w:bottom w:val="single" w:sz="8" w:color="auto"/>
              <w:right w:val="single" w:sz="8" w:color="auto"/>
            </w:tcBorders>
            <w:shd w:val="clear" w:color="auto" w:fill="33CCCC"/>
          </w:tcPr>
          <w:p>
            <w:pPr>
              <w:ind w:left="440"/>
              <w:spacing w:after="0"/>
              <w:rPr>
                <w:sz w:val="20"/>
                <w:szCs w:val="20"/>
                <w:color w:val="auto"/>
              </w:rPr>
            </w:pPr>
            <w:r>
              <w:rPr>
                <w:rFonts w:ascii="Arial" w:cs="Arial" w:eastAsia="Arial" w:hAnsi="Arial"/>
                <w:sz w:val="11"/>
                <w:szCs w:val="11"/>
                <w:b w:val="1"/>
                <w:bCs w:val="1"/>
                <w:color w:val="FFFFFF"/>
              </w:rPr>
              <w:t>Sep 25</w:t>
            </w:r>
          </w:p>
        </w:tc>
        <w:tc>
          <w:tcPr>
            <w:tcW w:w="960" w:type="dxa"/>
            <w:vAlign w:val="bottom"/>
            <w:tcBorders>
              <w:bottom w:val="single" w:sz="8" w:color="auto"/>
              <w:right w:val="single" w:sz="8" w:color="auto"/>
            </w:tcBorders>
            <w:shd w:val="clear" w:color="auto" w:fill="33CCCC"/>
          </w:tcPr>
          <w:p>
            <w:pPr>
              <w:jc w:val="center"/>
              <w:ind w:right="6"/>
              <w:spacing w:after="0"/>
              <w:rPr>
                <w:sz w:val="20"/>
                <w:szCs w:val="20"/>
                <w:color w:val="auto"/>
              </w:rPr>
            </w:pPr>
            <w:r>
              <w:rPr>
                <w:rFonts w:ascii="Arial" w:cs="Arial" w:eastAsia="Arial" w:hAnsi="Arial"/>
                <w:sz w:val="11"/>
                <w:szCs w:val="11"/>
                <w:b w:val="1"/>
                <w:bCs w:val="1"/>
                <w:color w:val="FFFFFF"/>
                <w:w w:val="97"/>
              </w:rPr>
              <w:t>Sep 25 / Sep 24</w:t>
            </w:r>
          </w:p>
        </w:tc>
      </w:tr>
      <w:tr>
        <w:trPr>
          <w:trHeight w:val="124"/>
        </w:trPr>
        <w:tc>
          <w:tcPr>
            <w:tcW w:w="29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Net interest, similar income and expenses</w:t>
            </w:r>
          </w:p>
        </w:tc>
        <w:tc>
          <w:tcPr>
            <w:tcW w:w="920" w:type="dxa"/>
            <w:vAlign w:val="bottom"/>
          </w:tcPr>
          <w:p>
            <w:pPr>
              <w:jc w:val="center"/>
              <w:spacing w:after="0" w:line="124" w:lineRule="exact"/>
              <w:rPr>
                <w:sz w:val="20"/>
                <w:szCs w:val="20"/>
                <w:color w:val="auto"/>
              </w:rPr>
            </w:pPr>
            <w:r>
              <w:rPr>
                <w:rFonts w:ascii="Arial" w:cs="Arial" w:eastAsia="Arial" w:hAnsi="Arial"/>
                <w:sz w:val="11"/>
                <w:szCs w:val="11"/>
                <w:color w:val="auto"/>
                <w:w w:val="97"/>
              </w:rPr>
              <w:t>3,590,750</w:t>
            </w:r>
          </w:p>
        </w:tc>
        <w:tc>
          <w:tcPr>
            <w:tcW w:w="960" w:type="dxa"/>
            <w:vAlign w:val="bottom"/>
          </w:tcPr>
          <w:p>
            <w:pPr>
              <w:jc w:val="center"/>
              <w:spacing w:after="0" w:line="124" w:lineRule="exact"/>
              <w:rPr>
                <w:sz w:val="20"/>
                <w:szCs w:val="20"/>
                <w:color w:val="auto"/>
              </w:rPr>
            </w:pPr>
            <w:r>
              <w:rPr>
                <w:rFonts w:ascii="Arial" w:cs="Arial" w:eastAsia="Arial" w:hAnsi="Arial"/>
                <w:sz w:val="11"/>
                <w:szCs w:val="11"/>
                <w:color w:val="auto"/>
                <w:w w:val="97"/>
              </w:rPr>
              <w:t>3,615,371</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3,687,829</w:t>
            </w:r>
          </w:p>
        </w:tc>
        <w:tc>
          <w:tcPr>
            <w:tcW w:w="680" w:type="dxa"/>
            <w:vAlign w:val="bottom"/>
          </w:tcPr>
          <w:p>
            <w:pPr>
              <w:jc w:val="center"/>
              <w:ind w:left="186"/>
              <w:spacing w:after="0" w:line="124" w:lineRule="exact"/>
              <w:rPr>
                <w:sz w:val="20"/>
                <w:szCs w:val="20"/>
                <w:color w:val="auto"/>
              </w:rPr>
            </w:pPr>
            <w:r>
              <w:rPr>
                <w:rFonts w:ascii="Arial" w:cs="Arial" w:eastAsia="Arial" w:hAnsi="Arial"/>
                <w:sz w:val="11"/>
                <w:szCs w:val="11"/>
                <w:color w:val="auto"/>
                <w:w w:val="95"/>
              </w:rPr>
              <w:t>2.0%</w:t>
            </w:r>
          </w:p>
        </w:tc>
        <w:tc>
          <w:tcPr>
            <w:tcW w:w="122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w w:val="95"/>
              </w:rPr>
              <w:t>2.7%</w:t>
            </w:r>
          </w:p>
        </w:tc>
        <w:tc>
          <w:tcPr>
            <w:tcW w:w="780" w:type="dxa"/>
            <w:vAlign w:val="bottom"/>
          </w:tcPr>
          <w:p>
            <w:pPr>
              <w:jc w:val="center"/>
              <w:ind w:left="106"/>
              <w:spacing w:after="0" w:line="124" w:lineRule="exact"/>
              <w:rPr>
                <w:sz w:val="20"/>
                <w:szCs w:val="20"/>
                <w:color w:val="auto"/>
              </w:rPr>
            </w:pPr>
            <w:r>
              <w:rPr>
                <w:rFonts w:ascii="Arial" w:cs="Arial" w:eastAsia="Arial" w:hAnsi="Arial"/>
                <w:sz w:val="11"/>
                <w:szCs w:val="11"/>
                <w:color w:val="auto"/>
                <w:w w:val="98"/>
              </w:rPr>
              <w:t>10,485,337</w:t>
            </w:r>
          </w:p>
        </w:tc>
        <w:tc>
          <w:tcPr>
            <w:tcW w:w="1120" w:type="dxa"/>
            <w:vAlign w:val="bottom"/>
            <w:tcBorders>
              <w:right w:val="single" w:sz="8" w:color="auto"/>
            </w:tcBorders>
          </w:tcPr>
          <w:p>
            <w:pPr>
              <w:jc w:val="center"/>
              <w:ind w:left="86"/>
              <w:spacing w:after="0" w:line="124" w:lineRule="exact"/>
              <w:rPr>
                <w:sz w:val="20"/>
                <w:szCs w:val="20"/>
                <w:color w:val="auto"/>
              </w:rPr>
            </w:pPr>
            <w:r>
              <w:rPr>
                <w:rFonts w:ascii="Arial" w:cs="Arial" w:eastAsia="Arial" w:hAnsi="Arial"/>
                <w:sz w:val="11"/>
                <w:szCs w:val="11"/>
                <w:color w:val="auto"/>
                <w:w w:val="98"/>
              </w:rPr>
              <w:t>10,875,212</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3.7%</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w w:val="99"/>
              </w:rPr>
              <w:t>Provision for credit losses on loan portfolio, net of recoveries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(868,081)</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(575,159)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(602,918)</w:t>
            </w:r>
          </w:p>
        </w:tc>
        <w:tc>
          <w:tcPr>
            <w:tcW w:w="680" w:type="dxa"/>
            <w:vAlign w:val="bottom"/>
          </w:tcPr>
          <w:p>
            <w:pPr>
              <w:jc w:val="center"/>
              <w:ind w:left="186"/>
              <w:spacing w:after="0"/>
              <w:rPr>
                <w:sz w:val="20"/>
                <w:szCs w:val="20"/>
                <w:color w:val="auto"/>
              </w:rPr>
            </w:pPr>
            <w:r>
              <w:rPr>
                <w:rFonts w:ascii="Arial" w:cs="Arial" w:eastAsia="Arial" w:hAnsi="Arial"/>
                <w:sz w:val="11"/>
                <w:szCs w:val="11"/>
                <w:color w:val="auto"/>
                <w:w w:val="95"/>
              </w:rPr>
              <w:t>4.8%</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-30.5%</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9"/>
              </w:rPr>
              <w:t>(2,776,151)</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9"/>
              </w:rPr>
              <w:t>(1,759,970)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-36.6%</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interest, similar income and expenses, after</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2,722,669</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7"/>
              </w:rPr>
              <w:t>3,040,212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3,084,911</w:t>
            </w:r>
          </w:p>
        </w:tc>
        <w:tc>
          <w:tcPr>
            <w:tcW w:w="68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1.5%</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6"/>
              </w:rPr>
              <w:t>13.3%</w:t>
            </w:r>
          </w:p>
        </w:tc>
        <w:tc>
          <w:tcPr>
            <w:tcW w:w="780" w:type="dxa"/>
            <w:vAlign w:val="bottom"/>
          </w:tcPr>
          <w:p>
            <w:pPr>
              <w:jc w:val="center"/>
              <w:ind w:left="86"/>
              <w:spacing w:after="0"/>
              <w:rPr>
                <w:sz w:val="20"/>
                <w:szCs w:val="20"/>
                <w:color w:val="auto"/>
              </w:rPr>
            </w:pPr>
            <w:r>
              <w:rPr>
                <w:rFonts w:ascii="Arial" w:cs="Arial" w:eastAsia="Arial" w:hAnsi="Arial"/>
                <w:sz w:val="11"/>
                <w:szCs w:val="11"/>
                <w:b w:val="1"/>
                <w:bCs w:val="1"/>
                <w:color w:val="auto"/>
                <w:w w:val="97"/>
              </w:rPr>
              <w:t>7,709,186</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b w:val="1"/>
                <w:bCs w:val="1"/>
                <w:color w:val="auto"/>
                <w:w w:val="97"/>
              </w:rPr>
              <w:t>9,115,242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18.2%</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provision for credit losses on loan portfolio</w:t>
            </w: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Other income</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1,545,344</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1,677,373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1,654,191</w:t>
            </w:r>
          </w:p>
        </w:tc>
        <w:tc>
          <w:tcPr>
            <w:tcW w:w="680" w:type="dxa"/>
            <w:vAlign w:val="bottom"/>
          </w:tcPr>
          <w:p>
            <w:pPr>
              <w:jc w:val="center"/>
              <w:ind w:left="186"/>
              <w:spacing w:after="0"/>
              <w:rPr>
                <w:sz w:val="20"/>
                <w:szCs w:val="20"/>
                <w:color w:val="auto"/>
              </w:rPr>
            </w:pPr>
            <w:r>
              <w:rPr>
                <w:rFonts w:ascii="Arial" w:cs="Arial" w:eastAsia="Arial" w:hAnsi="Arial"/>
                <w:sz w:val="11"/>
                <w:szCs w:val="11"/>
                <w:color w:val="auto"/>
                <w:w w:val="97"/>
              </w:rPr>
              <w:t>-1.4%</w:t>
            </w:r>
          </w:p>
        </w:tc>
        <w:tc>
          <w:tcPr>
            <w:tcW w:w="122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7.0%</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7"/>
              </w:rPr>
              <w:t>4,529,233</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7"/>
              </w:rPr>
              <w:t>5,021,780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10.9%</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Insurance underwriting result</w:t>
            </w:r>
          </w:p>
        </w:tc>
        <w:tc>
          <w:tcPr>
            <w:tcW w:w="920" w:type="dxa"/>
            <w:vAlign w:val="bottom"/>
          </w:tcPr>
          <w:p>
            <w:pPr>
              <w:jc w:val="center"/>
              <w:spacing w:after="0"/>
              <w:rPr>
                <w:sz w:val="20"/>
                <w:szCs w:val="20"/>
                <w:color w:val="auto"/>
              </w:rPr>
            </w:pPr>
            <w:r>
              <w:rPr>
                <w:rFonts w:ascii="Arial" w:cs="Arial" w:eastAsia="Arial" w:hAnsi="Arial"/>
                <w:sz w:val="11"/>
                <w:szCs w:val="11"/>
                <w:color w:val="auto"/>
              </w:rPr>
              <w:t>291,776</w:t>
            </w:r>
          </w:p>
        </w:tc>
        <w:tc>
          <w:tcPr>
            <w:tcW w:w="960" w:type="dxa"/>
            <w:vAlign w:val="bottom"/>
          </w:tcPr>
          <w:p>
            <w:pPr>
              <w:jc w:val="center"/>
              <w:spacing w:after="0"/>
              <w:rPr>
                <w:sz w:val="20"/>
                <w:szCs w:val="20"/>
                <w:color w:val="auto"/>
              </w:rPr>
            </w:pPr>
            <w:r>
              <w:rPr>
                <w:rFonts w:ascii="Arial" w:cs="Arial" w:eastAsia="Arial" w:hAnsi="Arial"/>
                <w:sz w:val="11"/>
                <w:szCs w:val="11"/>
                <w:color w:val="auto"/>
              </w:rPr>
              <w:t>350,873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388,350</w:t>
            </w:r>
          </w:p>
        </w:tc>
        <w:tc>
          <w:tcPr>
            <w:tcW w:w="680" w:type="dxa"/>
            <w:vAlign w:val="bottom"/>
          </w:tcPr>
          <w:p>
            <w:pPr>
              <w:jc w:val="center"/>
              <w:ind w:left="186"/>
              <w:spacing w:after="0"/>
              <w:rPr>
                <w:sz w:val="20"/>
                <w:szCs w:val="20"/>
                <w:color w:val="auto"/>
              </w:rPr>
            </w:pPr>
            <w:r>
              <w:rPr>
                <w:rFonts w:ascii="Arial" w:cs="Arial" w:eastAsia="Arial" w:hAnsi="Arial"/>
                <w:sz w:val="11"/>
                <w:szCs w:val="11"/>
                <w:color w:val="auto"/>
              </w:rPr>
              <w:t>10.7%</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6"/>
              </w:rPr>
              <w:t>33.1%</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rPr>
              <w:t>886,338</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7"/>
              </w:rPr>
              <w:t>1,068,357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20.5%</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Medical services result</w:t>
            </w:r>
          </w:p>
        </w:tc>
        <w:tc>
          <w:tcPr>
            <w:tcW w:w="9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tcPr>
          <w:p>
            <w:pPr>
              <w:jc w:val="center"/>
              <w:spacing w:after="0"/>
              <w:rPr>
                <w:sz w:val="20"/>
                <w:szCs w:val="20"/>
                <w:color w:val="auto"/>
              </w:rPr>
            </w:pPr>
            <w:r>
              <w:rPr>
                <w:rFonts w:ascii="Arial" w:cs="Arial" w:eastAsia="Arial" w:hAnsi="Arial"/>
                <w:sz w:val="11"/>
                <w:szCs w:val="11"/>
                <w:color w:val="auto"/>
              </w:rPr>
              <w:t>123,319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123,953</w:t>
            </w:r>
          </w:p>
        </w:tc>
        <w:tc>
          <w:tcPr>
            <w:tcW w:w="680" w:type="dxa"/>
            <w:vAlign w:val="bottom"/>
          </w:tcPr>
          <w:p>
            <w:pPr>
              <w:jc w:val="center"/>
              <w:ind w:left="186"/>
              <w:spacing w:after="0"/>
              <w:rPr>
                <w:sz w:val="20"/>
                <w:szCs w:val="20"/>
                <w:color w:val="auto"/>
              </w:rPr>
            </w:pPr>
            <w:r>
              <w:rPr>
                <w:rFonts w:ascii="Arial" w:cs="Arial" w:eastAsia="Arial" w:hAnsi="Arial"/>
                <w:sz w:val="11"/>
                <w:szCs w:val="11"/>
                <w:color w:val="auto"/>
                <w:w w:val="95"/>
              </w:rPr>
              <w:t>0.5%</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n.a.</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rPr>
              <w:t>289,961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n.a.</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Total expenses</w:t>
            </w:r>
          </w:p>
        </w:tc>
        <w:tc>
          <w:tcPr>
            <w:tcW w:w="920" w:type="dxa"/>
            <w:vAlign w:val="bottom"/>
          </w:tcPr>
          <w:p>
            <w:pPr>
              <w:jc w:val="center"/>
              <w:spacing w:after="0"/>
              <w:rPr>
                <w:sz w:val="20"/>
                <w:szCs w:val="20"/>
                <w:color w:val="auto"/>
              </w:rPr>
            </w:pPr>
            <w:r>
              <w:rPr>
                <w:rFonts w:ascii="Arial" w:cs="Arial" w:eastAsia="Arial" w:hAnsi="Arial"/>
                <w:sz w:val="11"/>
                <w:szCs w:val="11"/>
                <w:color w:val="auto"/>
                <w:w w:val="99"/>
              </w:rPr>
              <w:t>(2,448,229)</w:t>
            </w:r>
          </w:p>
        </w:tc>
        <w:tc>
          <w:tcPr>
            <w:tcW w:w="960" w:type="dxa"/>
            <w:vAlign w:val="bottom"/>
          </w:tcPr>
          <w:p>
            <w:pPr>
              <w:jc w:val="center"/>
              <w:spacing w:after="0"/>
              <w:rPr>
                <w:sz w:val="20"/>
                <w:szCs w:val="20"/>
                <w:color w:val="auto"/>
              </w:rPr>
            </w:pPr>
            <w:r>
              <w:rPr>
                <w:rFonts w:ascii="Arial" w:cs="Arial" w:eastAsia="Arial" w:hAnsi="Arial"/>
                <w:sz w:val="11"/>
                <w:szCs w:val="11"/>
                <w:color w:val="auto"/>
                <w:w w:val="99"/>
              </w:rPr>
              <w:t>(2,630,310)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(2,744,642)</w:t>
            </w:r>
          </w:p>
        </w:tc>
        <w:tc>
          <w:tcPr>
            <w:tcW w:w="680" w:type="dxa"/>
            <w:vAlign w:val="bottom"/>
          </w:tcPr>
          <w:p>
            <w:pPr>
              <w:jc w:val="center"/>
              <w:ind w:left="186"/>
              <w:spacing w:after="0"/>
              <w:rPr>
                <w:sz w:val="20"/>
                <w:szCs w:val="20"/>
                <w:color w:val="auto"/>
              </w:rPr>
            </w:pPr>
            <w:r>
              <w:rPr>
                <w:rFonts w:ascii="Arial" w:cs="Arial" w:eastAsia="Arial" w:hAnsi="Arial"/>
                <w:sz w:val="11"/>
                <w:szCs w:val="11"/>
                <w:color w:val="auto"/>
                <w:w w:val="95"/>
              </w:rPr>
              <w:t>4.3%</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6"/>
              </w:rPr>
              <w:t>12.1%</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9"/>
              </w:rPr>
              <w:t>(7,055,916)</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9"/>
              </w:rPr>
              <w:t>(7,907,826)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12.1%</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Profit before income tax</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2,111,560</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7"/>
              </w:rPr>
              <w:t>2,561,467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2,506,763</w:t>
            </w:r>
          </w:p>
        </w:tc>
        <w:tc>
          <w:tcPr>
            <w:tcW w:w="68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-2.1%</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6"/>
              </w:rPr>
              <w:t>18.7%</w:t>
            </w:r>
          </w:p>
        </w:tc>
        <w:tc>
          <w:tcPr>
            <w:tcW w:w="780" w:type="dxa"/>
            <w:vAlign w:val="bottom"/>
          </w:tcPr>
          <w:p>
            <w:pPr>
              <w:jc w:val="center"/>
              <w:ind w:left="86"/>
              <w:spacing w:after="0"/>
              <w:rPr>
                <w:sz w:val="20"/>
                <w:szCs w:val="20"/>
                <w:color w:val="auto"/>
              </w:rPr>
            </w:pPr>
            <w:r>
              <w:rPr>
                <w:rFonts w:ascii="Arial" w:cs="Arial" w:eastAsia="Arial" w:hAnsi="Arial"/>
                <w:sz w:val="11"/>
                <w:szCs w:val="11"/>
                <w:b w:val="1"/>
                <w:bCs w:val="1"/>
                <w:color w:val="auto"/>
                <w:w w:val="97"/>
              </w:rPr>
              <w:t>6,068,841</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b w:val="1"/>
                <w:bCs w:val="1"/>
                <w:color w:val="auto"/>
                <w:w w:val="97"/>
              </w:rPr>
              <w:t>7,587,514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25.0%</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Income tax</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(555,117)</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(696,969)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(728,308)</w:t>
            </w:r>
          </w:p>
        </w:tc>
        <w:tc>
          <w:tcPr>
            <w:tcW w:w="680" w:type="dxa"/>
            <w:vAlign w:val="bottom"/>
          </w:tcPr>
          <w:p>
            <w:pPr>
              <w:jc w:val="center"/>
              <w:ind w:left="186"/>
              <w:spacing w:after="0"/>
              <w:rPr>
                <w:sz w:val="20"/>
                <w:szCs w:val="20"/>
                <w:color w:val="auto"/>
              </w:rPr>
            </w:pPr>
            <w:r>
              <w:rPr>
                <w:rFonts w:ascii="Arial" w:cs="Arial" w:eastAsia="Arial" w:hAnsi="Arial"/>
                <w:sz w:val="11"/>
                <w:szCs w:val="11"/>
                <w:color w:val="auto"/>
                <w:w w:val="95"/>
              </w:rPr>
              <w:t>4.5%</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6"/>
              </w:rPr>
              <w:t>31.2%</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9"/>
              </w:rPr>
              <w:t>(1,602,927)</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9"/>
              </w:rPr>
              <w:t>(2,129,746)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32.9%</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profit</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1,556,443</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7"/>
              </w:rPr>
              <w:t>1,864,498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1,778,455</w:t>
            </w:r>
          </w:p>
        </w:tc>
        <w:tc>
          <w:tcPr>
            <w:tcW w:w="68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-4.6%</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6"/>
              </w:rPr>
              <w:t>14.3%</w:t>
            </w:r>
          </w:p>
        </w:tc>
        <w:tc>
          <w:tcPr>
            <w:tcW w:w="780" w:type="dxa"/>
            <w:vAlign w:val="bottom"/>
          </w:tcPr>
          <w:p>
            <w:pPr>
              <w:jc w:val="center"/>
              <w:ind w:left="86"/>
              <w:spacing w:after="0"/>
              <w:rPr>
                <w:sz w:val="20"/>
                <w:szCs w:val="20"/>
                <w:color w:val="auto"/>
              </w:rPr>
            </w:pPr>
            <w:r>
              <w:rPr>
                <w:rFonts w:ascii="Arial" w:cs="Arial" w:eastAsia="Arial" w:hAnsi="Arial"/>
                <w:sz w:val="11"/>
                <w:szCs w:val="11"/>
                <w:b w:val="1"/>
                <w:bCs w:val="1"/>
                <w:color w:val="auto"/>
                <w:w w:val="97"/>
              </w:rPr>
              <w:t>4,465,914</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b w:val="1"/>
                <w:bCs w:val="1"/>
                <w:color w:val="auto"/>
                <w:w w:val="97"/>
              </w:rPr>
              <w:t>5,457,768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22.2%</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Non-controlling interest</w:t>
            </w:r>
          </w:p>
        </w:tc>
        <w:tc>
          <w:tcPr>
            <w:tcW w:w="920" w:type="dxa"/>
            <w:vAlign w:val="bottom"/>
          </w:tcPr>
          <w:p>
            <w:pPr>
              <w:jc w:val="center"/>
              <w:spacing w:after="0"/>
              <w:rPr>
                <w:sz w:val="20"/>
                <w:szCs w:val="20"/>
                <w:color w:val="auto"/>
              </w:rPr>
            </w:pPr>
            <w:r>
              <w:rPr>
                <w:rFonts w:ascii="Arial" w:cs="Arial" w:eastAsia="Arial" w:hAnsi="Arial"/>
                <w:sz w:val="11"/>
                <w:szCs w:val="11"/>
                <w:color w:val="auto"/>
                <w:w w:val="94"/>
              </w:rPr>
              <w:t>32,655</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42,483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39,800</w:t>
            </w:r>
          </w:p>
        </w:tc>
        <w:tc>
          <w:tcPr>
            <w:tcW w:w="680" w:type="dxa"/>
            <w:vAlign w:val="bottom"/>
          </w:tcPr>
          <w:p>
            <w:pPr>
              <w:jc w:val="center"/>
              <w:ind w:left="186"/>
              <w:spacing w:after="0"/>
              <w:rPr>
                <w:sz w:val="20"/>
                <w:szCs w:val="20"/>
                <w:color w:val="auto"/>
              </w:rPr>
            </w:pPr>
            <w:r>
              <w:rPr>
                <w:rFonts w:ascii="Arial" w:cs="Arial" w:eastAsia="Arial" w:hAnsi="Arial"/>
                <w:sz w:val="11"/>
                <w:szCs w:val="11"/>
                <w:color w:val="auto"/>
                <w:w w:val="97"/>
              </w:rPr>
              <w:t>-6.3%</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6"/>
              </w:rPr>
              <w:t>21.9%</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4"/>
              </w:rPr>
              <w:t>91,373</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rPr>
              <w:t>119,401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30.7%</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profit attributable to Credicorp</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1,523,788</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7"/>
              </w:rPr>
              <w:t>1,822,015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1,738,655</w:t>
            </w:r>
          </w:p>
        </w:tc>
        <w:tc>
          <w:tcPr>
            <w:tcW w:w="68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-4.6%</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6"/>
              </w:rPr>
              <w:t>14.1%</w:t>
            </w:r>
          </w:p>
        </w:tc>
        <w:tc>
          <w:tcPr>
            <w:tcW w:w="780" w:type="dxa"/>
            <w:vAlign w:val="bottom"/>
          </w:tcPr>
          <w:p>
            <w:pPr>
              <w:jc w:val="center"/>
              <w:ind w:left="86"/>
              <w:spacing w:after="0"/>
              <w:rPr>
                <w:sz w:val="20"/>
                <w:szCs w:val="20"/>
                <w:color w:val="auto"/>
              </w:rPr>
            </w:pPr>
            <w:r>
              <w:rPr>
                <w:rFonts w:ascii="Arial" w:cs="Arial" w:eastAsia="Arial" w:hAnsi="Arial"/>
                <w:sz w:val="11"/>
                <w:szCs w:val="11"/>
                <w:b w:val="1"/>
                <w:bCs w:val="1"/>
                <w:color w:val="auto"/>
                <w:w w:val="97"/>
              </w:rPr>
              <w:t>4,374,541</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b w:val="1"/>
                <w:bCs w:val="1"/>
                <w:color w:val="auto"/>
                <w:w w:val="97"/>
              </w:rPr>
              <w:t>5,338,367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22.0%</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Dividends paid to third parties</w:t>
            </w:r>
          </w:p>
        </w:tc>
        <w:tc>
          <w:tcPr>
            <w:tcW w:w="920" w:type="dxa"/>
            <w:vAlign w:val="bottom"/>
          </w:tcPr>
          <w:p>
            <w:pPr>
              <w:jc w:val="center"/>
              <w:spacing w:after="0"/>
              <w:rPr>
                <w:sz w:val="20"/>
                <w:szCs w:val="20"/>
                <w:color w:val="auto"/>
              </w:rPr>
            </w:pPr>
            <w:r>
              <w:rPr>
                <w:rFonts w:ascii="Arial" w:cs="Arial" w:eastAsia="Arial" w:hAnsi="Arial"/>
                <w:sz w:val="11"/>
                <w:szCs w:val="11"/>
                <w:color w:val="auto"/>
              </w:rPr>
              <w:t>875,992</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3,181,440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680" w:type="dxa"/>
            <w:vAlign w:val="bottom"/>
          </w:tcPr>
          <w:p>
            <w:pPr>
              <w:jc w:val="center"/>
              <w:ind w:left="186"/>
              <w:spacing w:after="0"/>
              <w:rPr>
                <w:sz w:val="20"/>
                <w:szCs w:val="20"/>
                <w:color w:val="auto"/>
              </w:rPr>
            </w:pPr>
            <w:r>
              <w:rPr>
                <w:rFonts w:ascii="Arial" w:cs="Arial" w:eastAsia="Arial" w:hAnsi="Arial"/>
                <w:sz w:val="11"/>
                <w:szCs w:val="11"/>
                <w:color w:val="auto"/>
                <w:w w:val="97"/>
              </w:rPr>
              <w:t>-100.0%</w:t>
            </w:r>
          </w:p>
        </w:tc>
        <w:tc>
          <w:tcPr>
            <w:tcW w:w="122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-100.0%</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7"/>
              </w:rPr>
              <w:t>3,667,644</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7"/>
              </w:rPr>
              <w:t>3,181,440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-13.3%</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Net income / share (S/)</w:t>
            </w:r>
          </w:p>
        </w:tc>
        <w:tc>
          <w:tcPr>
            <w:tcW w:w="920" w:type="dxa"/>
            <w:vAlign w:val="bottom"/>
          </w:tcPr>
          <w:p>
            <w:pPr>
              <w:jc w:val="center"/>
              <w:spacing w:after="0"/>
              <w:rPr>
                <w:sz w:val="20"/>
                <w:szCs w:val="20"/>
                <w:color w:val="auto"/>
              </w:rPr>
            </w:pPr>
            <w:r>
              <w:rPr>
                <w:rFonts w:ascii="Arial" w:cs="Arial" w:eastAsia="Arial" w:hAnsi="Arial"/>
                <w:sz w:val="11"/>
                <w:szCs w:val="11"/>
                <w:color w:val="auto"/>
                <w:w w:val="93"/>
              </w:rPr>
              <w:t>19.1</w:t>
            </w:r>
          </w:p>
        </w:tc>
        <w:tc>
          <w:tcPr>
            <w:tcW w:w="960" w:type="dxa"/>
            <w:vAlign w:val="bottom"/>
          </w:tcPr>
          <w:p>
            <w:pPr>
              <w:jc w:val="center"/>
              <w:spacing w:after="0"/>
              <w:rPr>
                <w:sz w:val="20"/>
                <w:szCs w:val="20"/>
                <w:color w:val="auto"/>
              </w:rPr>
            </w:pPr>
            <w:r>
              <w:rPr>
                <w:rFonts w:ascii="Arial" w:cs="Arial" w:eastAsia="Arial" w:hAnsi="Arial"/>
                <w:sz w:val="11"/>
                <w:szCs w:val="11"/>
                <w:color w:val="auto"/>
                <w:w w:val="93"/>
              </w:rPr>
              <w:t>22.8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21.8</w:t>
            </w:r>
          </w:p>
        </w:tc>
        <w:tc>
          <w:tcPr>
            <w:tcW w:w="680" w:type="dxa"/>
            <w:vAlign w:val="bottom"/>
          </w:tcPr>
          <w:p>
            <w:pPr>
              <w:jc w:val="center"/>
              <w:ind w:left="186"/>
              <w:spacing w:after="0"/>
              <w:rPr>
                <w:sz w:val="20"/>
                <w:szCs w:val="20"/>
                <w:color w:val="auto"/>
              </w:rPr>
            </w:pPr>
            <w:r>
              <w:rPr>
                <w:rFonts w:ascii="Arial" w:cs="Arial" w:eastAsia="Arial" w:hAnsi="Arial"/>
                <w:sz w:val="11"/>
                <w:szCs w:val="11"/>
                <w:color w:val="auto"/>
                <w:w w:val="97"/>
              </w:rPr>
              <w:t>-4.6%</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6"/>
              </w:rPr>
              <w:t>14.1%</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3"/>
              </w:rPr>
              <w:t>54.8</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3"/>
              </w:rPr>
              <w:t>66.9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22.0%</w:t>
            </w:r>
          </w:p>
        </w:tc>
      </w:tr>
      <w:tr>
        <w:trPr>
          <w:trHeight w:val="132"/>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Dividends per Share (S/)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11.00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39.89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color w:val="auto"/>
                <w:w w:val="97"/>
              </w:rPr>
              <w:t>-100.0%</w:t>
            </w:r>
          </w:p>
        </w:tc>
        <w:tc>
          <w:tcPr>
            <w:tcW w:w="1220" w:type="dxa"/>
            <w:vAlign w:val="bottom"/>
            <w:tcBorders>
              <w:bottom w:val="single" w:sz="8" w:color="auto"/>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-100.0%</w:t>
            </w:r>
          </w:p>
        </w:tc>
        <w:tc>
          <w:tcPr>
            <w:tcW w:w="78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color w:val="auto"/>
                <w:w w:val="93"/>
              </w:rPr>
              <w:t>46.0</w:t>
            </w:r>
          </w:p>
        </w:tc>
        <w:tc>
          <w:tcPr>
            <w:tcW w:w="1120" w:type="dxa"/>
            <w:vAlign w:val="bottom"/>
            <w:tcBorders>
              <w:bottom w:val="single" w:sz="8" w:color="auto"/>
              <w:right w:val="single" w:sz="8" w:color="auto"/>
            </w:tcBorders>
          </w:tcPr>
          <w:p>
            <w:pPr>
              <w:jc w:val="center"/>
              <w:ind w:left="66"/>
              <w:spacing w:after="0"/>
              <w:rPr>
                <w:sz w:val="20"/>
                <w:szCs w:val="20"/>
                <w:color w:val="auto"/>
              </w:rPr>
            </w:pPr>
            <w:r>
              <w:rPr>
                <w:rFonts w:ascii="Arial" w:cs="Arial" w:eastAsia="Arial" w:hAnsi="Arial"/>
                <w:sz w:val="11"/>
                <w:szCs w:val="11"/>
                <w:color w:val="auto"/>
                <w:w w:val="93"/>
              </w:rPr>
              <w:t>39.9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-13.3%</w:t>
            </w:r>
          </w:p>
        </w:tc>
      </w:tr>
      <w:tr>
        <w:trPr>
          <w:trHeight w:val="124"/>
        </w:trPr>
        <w:tc>
          <w:tcPr>
            <w:tcW w:w="29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Loans</w:t>
            </w:r>
          </w:p>
        </w:tc>
        <w:tc>
          <w:tcPr>
            <w:tcW w:w="920" w:type="dxa"/>
            <w:vAlign w:val="bottom"/>
          </w:tcPr>
          <w:p>
            <w:pPr>
              <w:jc w:val="center"/>
              <w:spacing w:after="0" w:line="124" w:lineRule="exact"/>
              <w:rPr>
                <w:sz w:val="20"/>
                <w:szCs w:val="20"/>
                <w:color w:val="auto"/>
              </w:rPr>
            </w:pPr>
            <w:r>
              <w:rPr>
                <w:rFonts w:ascii="Arial" w:cs="Arial" w:eastAsia="Arial" w:hAnsi="Arial"/>
                <w:sz w:val="11"/>
                <w:szCs w:val="11"/>
                <w:color w:val="auto"/>
                <w:w w:val="98"/>
              </w:rPr>
              <w:t>142,568,785</w:t>
            </w:r>
          </w:p>
        </w:tc>
        <w:tc>
          <w:tcPr>
            <w:tcW w:w="960" w:type="dxa"/>
            <w:vAlign w:val="bottom"/>
          </w:tcPr>
          <w:p>
            <w:pPr>
              <w:jc w:val="center"/>
              <w:spacing w:after="0" w:line="124" w:lineRule="exact"/>
              <w:rPr>
                <w:sz w:val="20"/>
                <w:szCs w:val="20"/>
                <w:color w:val="auto"/>
              </w:rPr>
            </w:pPr>
            <w:r>
              <w:rPr>
                <w:rFonts w:ascii="Arial" w:cs="Arial" w:eastAsia="Arial" w:hAnsi="Arial"/>
                <w:sz w:val="11"/>
                <w:szCs w:val="11"/>
                <w:color w:val="auto"/>
                <w:w w:val="98"/>
              </w:rPr>
              <w:t>140,961,978</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8"/>
              </w:rPr>
              <w:t>144,752,254</w:t>
            </w:r>
          </w:p>
        </w:tc>
        <w:tc>
          <w:tcPr>
            <w:tcW w:w="680" w:type="dxa"/>
            <w:vAlign w:val="bottom"/>
          </w:tcPr>
          <w:p>
            <w:pPr>
              <w:jc w:val="center"/>
              <w:ind w:left="186"/>
              <w:spacing w:after="0" w:line="124" w:lineRule="exact"/>
              <w:rPr>
                <w:sz w:val="20"/>
                <w:szCs w:val="20"/>
                <w:color w:val="auto"/>
              </w:rPr>
            </w:pPr>
            <w:r>
              <w:rPr>
                <w:rFonts w:ascii="Arial" w:cs="Arial" w:eastAsia="Arial" w:hAnsi="Arial"/>
                <w:sz w:val="11"/>
                <w:szCs w:val="11"/>
                <w:color w:val="auto"/>
                <w:w w:val="95"/>
              </w:rPr>
              <w:t>2.7%</w:t>
            </w:r>
          </w:p>
        </w:tc>
        <w:tc>
          <w:tcPr>
            <w:tcW w:w="122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w w:val="95"/>
              </w:rPr>
              <w:t>1.5%</w:t>
            </w:r>
          </w:p>
        </w:tc>
        <w:tc>
          <w:tcPr>
            <w:tcW w:w="780" w:type="dxa"/>
            <w:vAlign w:val="bottom"/>
          </w:tcPr>
          <w:p>
            <w:pPr>
              <w:jc w:val="center"/>
              <w:ind w:left="86"/>
              <w:spacing w:after="0" w:line="124" w:lineRule="exact"/>
              <w:rPr>
                <w:sz w:val="20"/>
                <w:szCs w:val="20"/>
                <w:color w:val="auto"/>
              </w:rPr>
            </w:pPr>
            <w:r>
              <w:rPr>
                <w:rFonts w:ascii="Arial" w:cs="Arial" w:eastAsia="Arial" w:hAnsi="Arial"/>
                <w:sz w:val="11"/>
                <w:szCs w:val="11"/>
                <w:color w:val="auto"/>
                <w:w w:val="98"/>
              </w:rPr>
              <w:t>142,568,785</w:t>
            </w:r>
          </w:p>
        </w:tc>
        <w:tc>
          <w:tcPr>
            <w:tcW w:w="1120" w:type="dxa"/>
            <w:vAlign w:val="bottom"/>
            <w:tcBorders>
              <w:right w:val="single" w:sz="8" w:color="auto"/>
            </w:tcBorders>
          </w:tcPr>
          <w:p>
            <w:pPr>
              <w:jc w:val="center"/>
              <w:ind w:left="66"/>
              <w:spacing w:after="0" w:line="124" w:lineRule="exact"/>
              <w:rPr>
                <w:sz w:val="20"/>
                <w:szCs w:val="20"/>
                <w:color w:val="auto"/>
              </w:rPr>
            </w:pPr>
            <w:r>
              <w:rPr>
                <w:rFonts w:ascii="Arial" w:cs="Arial" w:eastAsia="Arial" w:hAnsi="Arial"/>
                <w:sz w:val="11"/>
                <w:szCs w:val="11"/>
                <w:color w:val="auto"/>
                <w:w w:val="98"/>
              </w:rPr>
              <w:t>144,752,254</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1.5%</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Deposits and obligations</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154,435,451</w:t>
            </w:r>
          </w:p>
        </w:tc>
        <w:tc>
          <w:tcPr>
            <w:tcW w:w="960" w:type="dxa"/>
            <w:vAlign w:val="bottom"/>
          </w:tcPr>
          <w:p>
            <w:pPr>
              <w:jc w:val="center"/>
              <w:spacing w:after="0"/>
              <w:rPr>
                <w:sz w:val="20"/>
                <w:szCs w:val="20"/>
                <w:color w:val="auto"/>
              </w:rPr>
            </w:pPr>
            <w:r>
              <w:rPr>
                <w:rFonts w:ascii="Arial" w:cs="Arial" w:eastAsia="Arial" w:hAnsi="Arial"/>
                <w:sz w:val="11"/>
                <w:szCs w:val="11"/>
                <w:color w:val="auto"/>
                <w:w w:val="98"/>
              </w:rPr>
              <w:t>154,723,334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158,430,455</w:t>
            </w:r>
          </w:p>
        </w:tc>
        <w:tc>
          <w:tcPr>
            <w:tcW w:w="680" w:type="dxa"/>
            <w:vAlign w:val="bottom"/>
          </w:tcPr>
          <w:p>
            <w:pPr>
              <w:jc w:val="center"/>
              <w:ind w:left="186"/>
              <w:spacing w:after="0"/>
              <w:rPr>
                <w:sz w:val="20"/>
                <w:szCs w:val="20"/>
                <w:color w:val="auto"/>
              </w:rPr>
            </w:pPr>
            <w:r>
              <w:rPr>
                <w:rFonts w:ascii="Arial" w:cs="Arial" w:eastAsia="Arial" w:hAnsi="Arial"/>
                <w:sz w:val="11"/>
                <w:szCs w:val="11"/>
                <w:color w:val="auto"/>
                <w:w w:val="95"/>
              </w:rPr>
              <w:t>2.4%</w:t>
            </w:r>
          </w:p>
        </w:tc>
        <w:tc>
          <w:tcPr>
            <w:tcW w:w="122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2.6%</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8"/>
              </w:rPr>
              <w:t>154,435,451</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8"/>
              </w:rPr>
              <w:t>158,430,455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2.6%</w:t>
            </w:r>
          </w:p>
        </w:tc>
      </w:tr>
      <w:tr>
        <w:trPr>
          <w:trHeight w:val="132"/>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Net equity</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33,462,591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34,459,012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8"/>
              </w:rPr>
              <w:t>36,560,502</w:t>
            </w:r>
          </w:p>
        </w:tc>
        <w:tc>
          <w:tcPr>
            <w:tcW w:w="68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color w:val="auto"/>
                <w:w w:val="95"/>
              </w:rPr>
              <w:t>6.1%</w:t>
            </w:r>
          </w:p>
        </w:tc>
        <w:tc>
          <w:tcPr>
            <w:tcW w:w="1220" w:type="dxa"/>
            <w:vAlign w:val="bottom"/>
            <w:tcBorders>
              <w:bottom w:val="single" w:sz="8" w:color="auto"/>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9.3%</w:t>
            </w:r>
          </w:p>
        </w:tc>
        <w:tc>
          <w:tcPr>
            <w:tcW w:w="780" w:type="dxa"/>
            <w:vAlign w:val="bottom"/>
            <w:tcBorders>
              <w:bottom w:val="single" w:sz="8" w:color="auto"/>
            </w:tcBorders>
          </w:tcPr>
          <w:p>
            <w:pPr>
              <w:jc w:val="center"/>
              <w:ind w:left="106"/>
              <w:spacing w:after="0"/>
              <w:rPr>
                <w:sz w:val="20"/>
                <w:szCs w:val="20"/>
                <w:color w:val="auto"/>
              </w:rPr>
            </w:pPr>
            <w:r>
              <w:rPr>
                <w:rFonts w:ascii="Arial" w:cs="Arial" w:eastAsia="Arial" w:hAnsi="Arial"/>
                <w:sz w:val="11"/>
                <w:szCs w:val="11"/>
                <w:color w:val="auto"/>
                <w:w w:val="98"/>
              </w:rPr>
              <w:t>33,462,591</w:t>
            </w:r>
          </w:p>
        </w:tc>
        <w:tc>
          <w:tcPr>
            <w:tcW w:w="11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8"/>
              </w:rPr>
              <w:t>36,560,502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9.3%</w:t>
            </w:r>
          </w:p>
        </w:tc>
      </w:tr>
      <w:tr>
        <w:trPr>
          <w:trHeight w:val="112"/>
        </w:trPr>
        <w:tc>
          <w:tcPr>
            <w:tcW w:w="2980" w:type="dxa"/>
            <w:vAlign w:val="bottom"/>
            <w:tcBorders>
              <w:left w:val="single" w:sz="8" w:color="auto"/>
              <w:right w:val="single" w:sz="8" w:color="auto"/>
            </w:tcBorders>
          </w:tcPr>
          <w:p>
            <w:pPr>
              <w:ind w:left="20"/>
              <w:spacing w:after="0" w:line="112" w:lineRule="exact"/>
              <w:rPr>
                <w:sz w:val="20"/>
                <w:szCs w:val="20"/>
                <w:color w:val="auto"/>
              </w:rPr>
            </w:pPr>
            <w:r>
              <w:rPr>
                <w:rFonts w:ascii="Arial" w:cs="Arial" w:eastAsia="Arial" w:hAnsi="Arial"/>
                <w:sz w:val="11"/>
                <w:szCs w:val="11"/>
                <w:b w:val="1"/>
                <w:bCs w:val="1"/>
                <w:color w:val="auto"/>
              </w:rPr>
              <w:t>Profitability</w:t>
            </w:r>
          </w:p>
        </w:tc>
        <w:tc>
          <w:tcPr>
            <w:tcW w:w="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r>
      <w:tr>
        <w:trPr>
          <w:trHeight w:val="144"/>
        </w:trPr>
        <w:tc>
          <w:tcPr>
            <w:tcW w:w="298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1"/>
                <w:szCs w:val="11"/>
                <w:color w:val="auto"/>
              </w:rPr>
              <w:t>Net interest margin</w:t>
            </w:r>
            <w:r>
              <w:rPr>
                <w:rFonts w:ascii="Arial" w:cs="Arial" w:eastAsia="Arial" w:hAnsi="Arial"/>
                <w:sz w:val="16"/>
                <w:szCs w:val="16"/>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1"/>
                <w:szCs w:val="11"/>
                <w:color w:val="auto"/>
                <w:w w:val="95"/>
              </w:rPr>
              <w:t>6.4%</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6.4%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6.6%</w:t>
            </w:r>
          </w:p>
        </w:tc>
        <w:tc>
          <w:tcPr>
            <w:tcW w:w="680" w:type="dxa"/>
            <w:vAlign w:val="bottom"/>
          </w:tcPr>
          <w:p>
            <w:pPr>
              <w:jc w:val="center"/>
              <w:ind w:left="206"/>
              <w:spacing w:after="0"/>
              <w:rPr>
                <w:sz w:val="20"/>
                <w:szCs w:val="20"/>
                <w:color w:val="auto"/>
              </w:rPr>
            </w:pPr>
            <w:r>
              <w:rPr>
                <w:rFonts w:ascii="Arial" w:cs="Arial" w:eastAsia="Arial" w:hAnsi="Arial"/>
                <w:sz w:val="11"/>
                <w:szCs w:val="11"/>
                <w:color w:val="auto"/>
              </w:rPr>
              <w:t>15 bps</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6"/>
              </w:rPr>
              <w:t>14 bps</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5"/>
              </w:rPr>
              <w:t>6.3%</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5"/>
              </w:rPr>
              <w:t>6.3%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 bps</w:t>
            </w:r>
          </w:p>
        </w:tc>
      </w:tr>
      <w:tr>
        <w:trPr>
          <w:trHeight w:val="120"/>
        </w:trPr>
        <w:tc>
          <w:tcPr>
            <w:tcW w:w="298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Risk-adjusted Net interest margin</w:t>
            </w:r>
          </w:p>
        </w:tc>
        <w:tc>
          <w:tcPr>
            <w:tcW w:w="920" w:type="dxa"/>
            <w:vAlign w:val="bottom"/>
          </w:tcPr>
          <w:p>
            <w:pPr>
              <w:jc w:val="center"/>
              <w:spacing w:after="0" w:line="120" w:lineRule="exact"/>
              <w:rPr>
                <w:sz w:val="20"/>
                <w:szCs w:val="20"/>
                <w:color w:val="auto"/>
              </w:rPr>
            </w:pPr>
            <w:r>
              <w:rPr>
                <w:rFonts w:ascii="Arial" w:cs="Arial" w:eastAsia="Arial" w:hAnsi="Arial"/>
                <w:sz w:val="11"/>
                <w:szCs w:val="11"/>
                <w:color w:val="auto"/>
                <w:w w:val="95"/>
              </w:rPr>
              <w:t>4.9%</w:t>
            </w:r>
          </w:p>
        </w:tc>
        <w:tc>
          <w:tcPr>
            <w:tcW w:w="960" w:type="dxa"/>
            <w:vAlign w:val="bottom"/>
          </w:tcPr>
          <w:p>
            <w:pPr>
              <w:jc w:val="center"/>
              <w:spacing w:after="0" w:line="120" w:lineRule="exact"/>
              <w:rPr>
                <w:sz w:val="20"/>
                <w:szCs w:val="20"/>
                <w:color w:val="auto"/>
              </w:rPr>
            </w:pPr>
            <w:r>
              <w:rPr>
                <w:rFonts w:ascii="Arial" w:cs="Arial" w:eastAsia="Arial" w:hAnsi="Arial"/>
                <w:sz w:val="11"/>
                <w:szCs w:val="11"/>
                <w:color w:val="auto"/>
                <w:w w:val="95"/>
              </w:rPr>
              <w:t>5.4%</w:t>
            </w:r>
          </w:p>
        </w:tc>
        <w:tc>
          <w:tcPr>
            <w:tcW w:w="9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5"/>
              </w:rPr>
              <w:t>5.5%</w:t>
            </w:r>
          </w:p>
        </w:tc>
        <w:tc>
          <w:tcPr>
            <w:tcW w:w="680" w:type="dxa"/>
            <w:vAlign w:val="bottom"/>
          </w:tcPr>
          <w:p>
            <w:pPr>
              <w:jc w:val="center"/>
              <w:ind w:left="206"/>
              <w:spacing w:after="0" w:line="120" w:lineRule="exact"/>
              <w:rPr>
                <w:sz w:val="20"/>
                <w:szCs w:val="20"/>
                <w:color w:val="auto"/>
              </w:rPr>
            </w:pPr>
            <w:r>
              <w:rPr>
                <w:rFonts w:ascii="Arial" w:cs="Arial" w:eastAsia="Arial" w:hAnsi="Arial"/>
                <w:sz w:val="11"/>
                <w:szCs w:val="11"/>
                <w:color w:val="auto"/>
                <w:w w:val="96"/>
              </w:rPr>
              <w:t>9 bps</w:t>
            </w:r>
          </w:p>
        </w:tc>
        <w:tc>
          <w:tcPr>
            <w:tcW w:w="1220" w:type="dxa"/>
            <w:vAlign w:val="bottom"/>
            <w:tcBorders>
              <w:right w:val="single" w:sz="8" w:color="auto"/>
            </w:tcBorders>
          </w:tcPr>
          <w:p>
            <w:pPr>
              <w:jc w:val="center"/>
              <w:ind w:left="206"/>
              <w:spacing w:after="0" w:line="120" w:lineRule="exact"/>
              <w:rPr>
                <w:sz w:val="20"/>
                <w:szCs w:val="20"/>
                <w:color w:val="auto"/>
              </w:rPr>
            </w:pPr>
            <w:r>
              <w:rPr>
                <w:rFonts w:ascii="Arial" w:cs="Arial" w:eastAsia="Arial" w:hAnsi="Arial"/>
                <w:sz w:val="11"/>
                <w:szCs w:val="11"/>
                <w:color w:val="auto"/>
                <w:w w:val="96"/>
              </w:rPr>
              <w:t>60 bps</w:t>
            </w:r>
          </w:p>
        </w:tc>
        <w:tc>
          <w:tcPr>
            <w:tcW w:w="780" w:type="dxa"/>
            <w:vAlign w:val="bottom"/>
          </w:tcPr>
          <w:p>
            <w:pPr>
              <w:jc w:val="center"/>
              <w:ind w:left="86"/>
              <w:spacing w:after="0" w:line="120" w:lineRule="exact"/>
              <w:rPr>
                <w:sz w:val="20"/>
                <w:szCs w:val="20"/>
                <w:color w:val="auto"/>
              </w:rPr>
            </w:pPr>
            <w:r>
              <w:rPr>
                <w:rFonts w:ascii="Arial" w:cs="Arial" w:eastAsia="Arial" w:hAnsi="Arial"/>
                <w:sz w:val="11"/>
                <w:szCs w:val="11"/>
                <w:color w:val="auto"/>
                <w:w w:val="95"/>
              </w:rPr>
              <w:t>4.7%</w:t>
            </w:r>
          </w:p>
        </w:tc>
        <w:tc>
          <w:tcPr>
            <w:tcW w:w="1120" w:type="dxa"/>
            <w:vAlign w:val="bottom"/>
            <w:tcBorders>
              <w:right w:val="single" w:sz="8" w:color="auto"/>
            </w:tcBorders>
          </w:tcPr>
          <w:p>
            <w:pPr>
              <w:jc w:val="center"/>
              <w:ind w:left="66"/>
              <w:spacing w:after="0" w:line="120" w:lineRule="exact"/>
              <w:rPr>
                <w:sz w:val="20"/>
                <w:szCs w:val="20"/>
                <w:color w:val="auto"/>
              </w:rPr>
            </w:pPr>
            <w:r>
              <w:rPr>
                <w:rFonts w:ascii="Arial" w:cs="Arial" w:eastAsia="Arial" w:hAnsi="Arial"/>
                <w:sz w:val="11"/>
                <w:szCs w:val="11"/>
                <w:color w:val="auto"/>
                <w:w w:val="95"/>
              </w:rPr>
              <w:t>5.3%</w:t>
            </w:r>
          </w:p>
        </w:tc>
        <w:tc>
          <w:tcPr>
            <w:tcW w:w="9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rPr>
              <w:t>64 bps</w:t>
            </w:r>
          </w:p>
        </w:tc>
      </w:tr>
      <w:tr>
        <w:trPr>
          <w:trHeight w:val="144"/>
        </w:trPr>
        <w:tc>
          <w:tcPr>
            <w:tcW w:w="298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1"/>
                <w:szCs w:val="11"/>
                <w:color w:val="auto"/>
              </w:rPr>
              <w:t>Funding cost</w:t>
            </w:r>
            <w:r>
              <w:rPr>
                <w:rFonts w:ascii="Arial" w:cs="Arial" w:eastAsia="Arial" w:hAnsi="Arial"/>
                <w:sz w:val="16"/>
                <w:szCs w:val="16"/>
                <w:color w:val="auto"/>
                <w:vertAlign w:val="superscript"/>
              </w:rPr>
              <w:t>(2)</w:t>
            </w:r>
          </w:p>
        </w:tc>
        <w:tc>
          <w:tcPr>
            <w:tcW w:w="920" w:type="dxa"/>
            <w:vAlign w:val="bottom"/>
          </w:tcPr>
          <w:p>
            <w:pPr>
              <w:jc w:val="center"/>
              <w:spacing w:after="0"/>
              <w:rPr>
                <w:sz w:val="20"/>
                <w:szCs w:val="20"/>
                <w:color w:val="auto"/>
              </w:rPr>
            </w:pPr>
            <w:r>
              <w:rPr>
                <w:rFonts w:ascii="Arial" w:cs="Arial" w:eastAsia="Arial" w:hAnsi="Arial"/>
                <w:sz w:val="11"/>
                <w:szCs w:val="11"/>
                <w:color w:val="auto"/>
                <w:w w:val="95"/>
              </w:rPr>
              <w:t>2.7%</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2.4%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2.4%</w:t>
            </w:r>
          </w:p>
        </w:tc>
        <w:tc>
          <w:tcPr>
            <w:tcW w:w="680" w:type="dxa"/>
            <w:vAlign w:val="bottom"/>
          </w:tcPr>
          <w:p>
            <w:pPr>
              <w:jc w:val="center"/>
              <w:ind w:left="206"/>
              <w:spacing w:after="0"/>
              <w:rPr>
                <w:sz w:val="20"/>
                <w:szCs w:val="20"/>
                <w:color w:val="auto"/>
              </w:rPr>
            </w:pPr>
            <w:r>
              <w:rPr>
                <w:rFonts w:ascii="Arial" w:cs="Arial" w:eastAsia="Arial" w:hAnsi="Arial"/>
                <w:sz w:val="11"/>
                <w:szCs w:val="11"/>
                <w:color w:val="auto"/>
                <w:w w:val="97"/>
              </w:rPr>
              <w:t>-1 bps</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-25 bps</w:t>
            </w:r>
          </w:p>
        </w:tc>
        <w:tc>
          <w:tcPr>
            <w:tcW w:w="780" w:type="dxa"/>
            <w:vAlign w:val="bottom"/>
          </w:tcPr>
          <w:p>
            <w:pPr>
              <w:jc w:val="center"/>
              <w:ind w:left="66"/>
              <w:spacing w:after="0"/>
              <w:rPr>
                <w:sz w:val="20"/>
                <w:szCs w:val="20"/>
                <w:color w:val="auto"/>
              </w:rPr>
            </w:pPr>
            <w:r>
              <w:rPr>
                <w:rFonts w:ascii="Arial" w:cs="Arial" w:eastAsia="Arial" w:hAnsi="Arial"/>
                <w:sz w:val="11"/>
                <w:szCs w:val="11"/>
                <w:color w:val="auto"/>
                <w:w w:val="96"/>
              </w:rPr>
              <w:t>0.03%</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5"/>
              </w:rPr>
              <w:t>2.4%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-43 bps</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ROAE</w:t>
            </w:r>
          </w:p>
        </w:tc>
        <w:tc>
          <w:tcPr>
            <w:tcW w:w="920" w:type="dxa"/>
            <w:vAlign w:val="bottom"/>
          </w:tcPr>
          <w:p>
            <w:pPr>
              <w:jc w:val="center"/>
              <w:spacing w:after="0"/>
              <w:rPr>
                <w:sz w:val="20"/>
                <w:szCs w:val="20"/>
                <w:color w:val="auto"/>
              </w:rPr>
            </w:pPr>
            <w:r>
              <w:rPr>
                <w:rFonts w:ascii="Arial" w:cs="Arial" w:eastAsia="Arial" w:hAnsi="Arial"/>
                <w:sz w:val="11"/>
                <w:szCs w:val="11"/>
                <w:color w:val="auto"/>
                <w:w w:val="96"/>
              </w:rPr>
              <w:t>18.5%</w:t>
            </w:r>
          </w:p>
        </w:tc>
        <w:tc>
          <w:tcPr>
            <w:tcW w:w="960" w:type="dxa"/>
            <w:vAlign w:val="bottom"/>
          </w:tcPr>
          <w:p>
            <w:pPr>
              <w:jc w:val="center"/>
              <w:spacing w:after="0"/>
              <w:rPr>
                <w:sz w:val="20"/>
                <w:szCs w:val="20"/>
                <w:color w:val="auto"/>
              </w:rPr>
            </w:pPr>
            <w:r>
              <w:rPr>
                <w:rFonts w:ascii="Arial" w:cs="Arial" w:eastAsia="Arial" w:hAnsi="Arial"/>
                <w:sz w:val="11"/>
                <w:szCs w:val="11"/>
                <w:color w:val="auto"/>
              </w:rPr>
              <w:t>20.7%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19.6%</w:t>
            </w:r>
          </w:p>
        </w:tc>
        <w:tc>
          <w:tcPr>
            <w:tcW w:w="680" w:type="dxa"/>
            <w:vAlign w:val="bottom"/>
          </w:tcPr>
          <w:p>
            <w:pPr>
              <w:jc w:val="center"/>
              <w:ind w:left="206"/>
              <w:spacing w:after="0"/>
              <w:rPr>
                <w:sz w:val="20"/>
                <w:szCs w:val="20"/>
                <w:color w:val="auto"/>
              </w:rPr>
            </w:pPr>
            <w:r>
              <w:rPr>
                <w:rFonts w:ascii="Arial" w:cs="Arial" w:eastAsia="Arial" w:hAnsi="Arial"/>
                <w:sz w:val="11"/>
                <w:szCs w:val="11"/>
                <w:color w:val="auto"/>
                <w:w w:val="98"/>
              </w:rPr>
              <w:t>-110 bps</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6"/>
              </w:rPr>
              <w:t>110 bps</w:t>
            </w:r>
          </w:p>
        </w:tc>
        <w:tc>
          <w:tcPr>
            <w:tcW w:w="780" w:type="dxa"/>
            <w:vAlign w:val="bottom"/>
          </w:tcPr>
          <w:p>
            <w:pPr>
              <w:jc w:val="center"/>
              <w:ind w:left="66"/>
              <w:spacing w:after="0"/>
              <w:rPr>
                <w:sz w:val="20"/>
                <w:szCs w:val="20"/>
                <w:color w:val="auto"/>
              </w:rPr>
            </w:pPr>
            <w:r>
              <w:rPr>
                <w:rFonts w:ascii="Arial" w:cs="Arial" w:eastAsia="Arial" w:hAnsi="Arial"/>
                <w:sz w:val="11"/>
                <w:szCs w:val="11"/>
                <w:color w:val="auto"/>
                <w:w w:val="96"/>
              </w:rPr>
              <w:t>17.7%</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rPr>
              <w:t>20.1%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240 bps</w:t>
            </w:r>
          </w:p>
        </w:tc>
      </w:tr>
      <w:tr>
        <w:trPr>
          <w:trHeight w:val="132"/>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ROAA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2.4%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2.9%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2.8%</w:t>
            </w:r>
          </w:p>
        </w:tc>
        <w:tc>
          <w:tcPr>
            <w:tcW w:w="680" w:type="dxa"/>
            <w:vAlign w:val="bottom"/>
            <w:tcBorders>
              <w:bottom w:val="single" w:sz="8" w:color="auto"/>
            </w:tcBorders>
          </w:tcPr>
          <w:p>
            <w:pPr>
              <w:jc w:val="center"/>
              <w:ind w:left="226"/>
              <w:spacing w:after="0"/>
              <w:rPr>
                <w:sz w:val="20"/>
                <w:szCs w:val="20"/>
                <w:color w:val="auto"/>
              </w:rPr>
            </w:pPr>
            <w:r>
              <w:rPr>
                <w:rFonts w:ascii="Arial" w:cs="Arial" w:eastAsia="Arial" w:hAnsi="Arial"/>
                <w:sz w:val="11"/>
                <w:szCs w:val="11"/>
                <w:color w:val="auto"/>
                <w:w w:val="97"/>
              </w:rPr>
              <w:t>-10 bps</w:t>
            </w:r>
          </w:p>
        </w:tc>
        <w:tc>
          <w:tcPr>
            <w:tcW w:w="1220" w:type="dxa"/>
            <w:vAlign w:val="bottom"/>
            <w:tcBorders>
              <w:bottom w:val="single" w:sz="8" w:color="auto"/>
              <w:right w:val="single" w:sz="8" w:color="auto"/>
            </w:tcBorders>
          </w:tcPr>
          <w:p>
            <w:pPr>
              <w:jc w:val="center"/>
              <w:ind w:left="206"/>
              <w:spacing w:after="0"/>
              <w:rPr>
                <w:sz w:val="20"/>
                <w:szCs w:val="20"/>
                <w:color w:val="auto"/>
              </w:rPr>
            </w:pPr>
            <w:r>
              <w:rPr>
                <w:rFonts w:ascii="Arial" w:cs="Arial" w:eastAsia="Arial" w:hAnsi="Arial"/>
                <w:sz w:val="11"/>
                <w:szCs w:val="11"/>
                <w:color w:val="auto"/>
                <w:w w:val="96"/>
              </w:rPr>
              <w:t>40 bps</w:t>
            </w:r>
          </w:p>
        </w:tc>
        <w:tc>
          <w:tcPr>
            <w:tcW w:w="78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color w:val="auto"/>
                <w:w w:val="95"/>
              </w:rPr>
              <w:t>2.4%</w:t>
            </w:r>
          </w:p>
        </w:tc>
        <w:tc>
          <w:tcPr>
            <w:tcW w:w="1120" w:type="dxa"/>
            <w:vAlign w:val="bottom"/>
            <w:tcBorders>
              <w:bottom w:val="single" w:sz="8" w:color="auto"/>
              <w:right w:val="single" w:sz="8" w:color="auto"/>
            </w:tcBorders>
          </w:tcPr>
          <w:p>
            <w:pPr>
              <w:jc w:val="center"/>
              <w:ind w:left="66"/>
              <w:spacing w:after="0"/>
              <w:rPr>
                <w:sz w:val="20"/>
                <w:szCs w:val="20"/>
                <w:color w:val="auto"/>
              </w:rPr>
            </w:pPr>
            <w:r>
              <w:rPr>
                <w:rFonts w:ascii="Arial" w:cs="Arial" w:eastAsia="Arial" w:hAnsi="Arial"/>
                <w:sz w:val="11"/>
                <w:szCs w:val="11"/>
                <w:color w:val="auto"/>
                <w:w w:val="95"/>
              </w:rPr>
              <w:t>2.8%</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40 bps</w:t>
            </w:r>
          </w:p>
        </w:tc>
      </w:tr>
      <w:tr>
        <w:trPr>
          <w:trHeight w:val="112"/>
        </w:trPr>
        <w:tc>
          <w:tcPr>
            <w:tcW w:w="2980" w:type="dxa"/>
            <w:vAlign w:val="bottom"/>
            <w:tcBorders>
              <w:left w:val="single" w:sz="8" w:color="auto"/>
              <w:right w:val="single" w:sz="8" w:color="auto"/>
            </w:tcBorders>
          </w:tcPr>
          <w:p>
            <w:pPr>
              <w:ind w:left="20"/>
              <w:spacing w:after="0" w:line="112" w:lineRule="exact"/>
              <w:rPr>
                <w:sz w:val="20"/>
                <w:szCs w:val="20"/>
                <w:color w:val="auto"/>
              </w:rPr>
            </w:pPr>
            <w:r>
              <w:rPr>
                <w:rFonts w:ascii="Arial" w:cs="Arial" w:eastAsia="Arial" w:hAnsi="Arial"/>
                <w:sz w:val="11"/>
                <w:szCs w:val="11"/>
                <w:b w:val="1"/>
                <w:bCs w:val="1"/>
                <w:color w:val="auto"/>
              </w:rPr>
              <w:t>Loan portfolio quality</w:t>
            </w:r>
          </w:p>
        </w:tc>
        <w:tc>
          <w:tcPr>
            <w:tcW w:w="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r>
      <w:tr>
        <w:trPr>
          <w:trHeight w:val="144"/>
        </w:trPr>
        <w:tc>
          <w:tcPr>
            <w:tcW w:w="298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1"/>
                <w:szCs w:val="11"/>
                <w:color w:val="auto"/>
              </w:rPr>
              <w:t>Internal overdue ratio</w:t>
            </w:r>
            <w:r>
              <w:rPr>
                <w:rFonts w:ascii="Arial" w:cs="Arial" w:eastAsia="Arial" w:hAnsi="Arial"/>
                <w:sz w:val="16"/>
                <w:szCs w:val="16"/>
                <w:color w:val="auto"/>
                <w:vertAlign w:val="superscript"/>
              </w:rPr>
              <w:t>(3)</w:t>
            </w:r>
          </w:p>
        </w:tc>
        <w:tc>
          <w:tcPr>
            <w:tcW w:w="920" w:type="dxa"/>
            <w:vAlign w:val="bottom"/>
          </w:tcPr>
          <w:p>
            <w:pPr>
              <w:jc w:val="center"/>
              <w:spacing w:after="0"/>
              <w:rPr>
                <w:sz w:val="20"/>
                <w:szCs w:val="20"/>
                <w:color w:val="auto"/>
              </w:rPr>
            </w:pPr>
            <w:r>
              <w:rPr>
                <w:rFonts w:ascii="Arial" w:cs="Arial" w:eastAsia="Arial" w:hAnsi="Arial"/>
                <w:sz w:val="11"/>
                <w:szCs w:val="11"/>
                <w:color w:val="auto"/>
                <w:w w:val="95"/>
              </w:rPr>
              <w:t>4.2%</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3.6%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3.4%</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7"/>
              </w:rPr>
              <w:t>-16 bps</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-81 bps</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5"/>
              </w:rPr>
              <w:t>4.2%</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5"/>
              </w:rPr>
              <w:t>3.4%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-81 bps</w:t>
            </w:r>
          </w:p>
        </w:tc>
      </w:tr>
      <w:tr>
        <w:trPr>
          <w:trHeight w:val="120"/>
        </w:trPr>
        <w:tc>
          <w:tcPr>
            <w:tcW w:w="298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Internal overdue ratio over 90 days</w:t>
            </w:r>
          </w:p>
        </w:tc>
        <w:tc>
          <w:tcPr>
            <w:tcW w:w="920" w:type="dxa"/>
            <w:vAlign w:val="bottom"/>
          </w:tcPr>
          <w:p>
            <w:pPr>
              <w:jc w:val="center"/>
              <w:spacing w:after="0" w:line="120" w:lineRule="exact"/>
              <w:rPr>
                <w:sz w:val="20"/>
                <w:szCs w:val="20"/>
                <w:color w:val="auto"/>
              </w:rPr>
            </w:pPr>
            <w:r>
              <w:rPr>
                <w:rFonts w:ascii="Arial" w:cs="Arial" w:eastAsia="Arial" w:hAnsi="Arial"/>
                <w:sz w:val="11"/>
                <w:szCs w:val="11"/>
                <w:color w:val="auto"/>
                <w:w w:val="95"/>
              </w:rPr>
              <w:t>3.4%</w:t>
            </w:r>
          </w:p>
        </w:tc>
        <w:tc>
          <w:tcPr>
            <w:tcW w:w="960" w:type="dxa"/>
            <w:vAlign w:val="bottom"/>
          </w:tcPr>
          <w:p>
            <w:pPr>
              <w:jc w:val="center"/>
              <w:spacing w:after="0" w:line="120" w:lineRule="exact"/>
              <w:rPr>
                <w:sz w:val="20"/>
                <w:szCs w:val="20"/>
                <w:color w:val="auto"/>
              </w:rPr>
            </w:pPr>
            <w:r>
              <w:rPr>
                <w:rFonts w:ascii="Arial" w:cs="Arial" w:eastAsia="Arial" w:hAnsi="Arial"/>
                <w:sz w:val="11"/>
                <w:szCs w:val="11"/>
                <w:color w:val="auto"/>
                <w:w w:val="95"/>
              </w:rPr>
              <w:t>3.0%</w:t>
            </w:r>
          </w:p>
        </w:tc>
        <w:tc>
          <w:tcPr>
            <w:tcW w:w="9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5"/>
              </w:rPr>
              <w:t>2.9%</w:t>
            </w:r>
          </w:p>
        </w:tc>
        <w:tc>
          <w:tcPr>
            <w:tcW w:w="680" w:type="dxa"/>
            <w:vAlign w:val="bottom"/>
          </w:tcPr>
          <w:p>
            <w:pPr>
              <w:jc w:val="center"/>
              <w:ind w:left="226"/>
              <w:spacing w:after="0" w:line="120" w:lineRule="exact"/>
              <w:rPr>
                <w:sz w:val="20"/>
                <w:szCs w:val="20"/>
                <w:color w:val="auto"/>
              </w:rPr>
            </w:pPr>
            <w:r>
              <w:rPr>
                <w:rFonts w:ascii="Arial" w:cs="Arial" w:eastAsia="Arial" w:hAnsi="Arial"/>
                <w:sz w:val="11"/>
                <w:szCs w:val="11"/>
                <w:color w:val="auto"/>
                <w:w w:val="97"/>
              </w:rPr>
              <w:t>-10 bps</w:t>
            </w:r>
          </w:p>
        </w:tc>
        <w:tc>
          <w:tcPr>
            <w:tcW w:w="1220" w:type="dxa"/>
            <w:vAlign w:val="bottom"/>
            <w:tcBorders>
              <w:right w:val="single" w:sz="8" w:color="auto"/>
            </w:tcBorders>
          </w:tcPr>
          <w:p>
            <w:pPr>
              <w:jc w:val="center"/>
              <w:ind w:left="206"/>
              <w:spacing w:after="0" w:line="120" w:lineRule="exact"/>
              <w:rPr>
                <w:sz w:val="20"/>
                <w:szCs w:val="20"/>
                <w:color w:val="auto"/>
              </w:rPr>
            </w:pPr>
            <w:r>
              <w:rPr>
                <w:rFonts w:ascii="Arial" w:cs="Arial" w:eastAsia="Arial" w:hAnsi="Arial"/>
                <w:sz w:val="11"/>
                <w:szCs w:val="11"/>
                <w:color w:val="auto"/>
                <w:w w:val="97"/>
              </w:rPr>
              <w:t>-50 bps</w:t>
            </w:r>
          </w:p>
        </w:tc>
        <w:tc>
          <w:tcPr>
            <w:tcW w:w="780" w:type="dxa"/>
            <w:vAlign w:val="bottom"/>
          </w:tcPr>
          <w:p>
            <w:pPr>
              <w:jc w:val="center"/>
              <w:ind w:left="86"/>
              <w:spacing w:after="0" w:line="120" w:lineRule="exact"/>
              <w:rPr>
                <w:sz w:val="20"/>
                <w:szCs w:val="20"/>
                <w:color w:val="auto"/>
              </w:rPr>
            </w:pPr>
            <w:r>
              <w:rPr>
                <w:rFonts w:ascii="Arial" w:cs="Arial" w:eastAsia="Arial" w:hAnsi="Arial"/>
                <w:sz w:val="11"/>
                <w:szCs w:val="11"/>
                <w:color w:val="auto"/>
                <w:w w:val="95"/>
              </w:rPr>
              <w:t>3.4%</w:t>
            </w:r>
          </w:p>
        </w:tc>
        <w:tc>
          <w:tcPr>
            <w:tcW w:w="1120" w:type="dxa"/>
            <w:vAlign w:val="bottom"/>
            <w:tcBorders>
              <w:right w:val="single" w:sz="8" w:color="auto"/>
            </w:tcBorders>
          </w:tcPr>
          <w:p>
            <w:pPr>
              <w:jc w:val="center"/>
              <w:ind w:left="66"/>
              <w:spacing w:after="0" w:line="120" w:lineRule="exact"/>
              <w:rPr>
                <w:sz w:val="20"/>
                <w:szCs w:val="20"/>
                <w:color w:val="auto"/>
              </w:rPr>
            </w:pPr>
            <w:r>
              <w:rPr>
                <w:rFonts w:ascii="Arial" w:cs="Arial" w:eastAsia="Arial" w:hAnsi="Arial"/>
                <w:sz w:val="11"/>
                <w:szCs w:val="11"/>
                <w:color w:val="auto"/>
                <w:w w:val="95"/>
              </w:rPr>
              <w:t>2.9%</w:t>
            </w:r>
          </w:p>
        </w:tc>
        <w:tc>
          <w:tcPr>
            <w:tcW w:w="9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7"/>
              </w:rPr>
              <w:t>-50 bps</w:t>
            </w:r>
          </w:p>
        </w:tc>
      </w:tr>
      <w:tr>
        <w:trPr>
          <w:trHeight w:val="132"/>
        </w:trPr>
        <w:tc>
          <w:tcPr>
            <w:tcW w:w="2980" w:type="dxa"/>
            <w:vAlign w:val="bottom"/>
            <w:tcBorders>
              <w:left w:val="single" w:sz="8" w:color="auto"/>
              <w:right w:val="single" w:sz="8" w:color="auto"/>
            </w:tcBorders>
          </w:tcPr>
          <w:p>
            <w:pPr>
              <w:ind w:left="20"/>
              <w:spacing w:after="0" w:line="132" w:lineRule="exact"/>
              <w:rPr>
                <w:sz w:val="20"/>
                <w:szCs w:val="20"/>
                <w:color w:val="auto"/>
              </w:rPr>
            </w:pPr>
            <w:r>
              <w:rPr>
                <w:rFonts w:ascii="Arial" w:cs="Arial" w:eastAsia="Arial" w:hAnsi="Arial"/>
                <w:sz w:val="10"/>
                <w:szCs w:val="10"/>
                <w:color w:val="auto"/>
              </w:rPr>
              <w:t>NPL ratio</w:t>
            </w:r>
            <w:r>
              <w:rPr>
                <w:rFonts w:ascii="Arial" w:cs="Arial" w:eastAsia="Arial" w:hAnsi="Arial"/>
                <w:sz w:val="15"/>
                <w:szCs w:val="15"/>
                <w:color w:val="auto"/>
                <w:vertAlign w:val="superscript"/>
              </w:rPr>
              <w:t>(4)</w:t>
            </w:r>
          </w:p>
        </w:tc>
        <w:tc>
          <w:tcPr>
            <w:tcW w:w="920" w:type="dxa"/>
            <w:vAlign w:val="bottom"/>
          </w:tcPr>
          <w:p>
            <w:pPr>
              <w:jc w:val="center"/>
              <w:spacing w:after="0"/>
              <w:rPr>
                <w:sz w:val="20"/>
                <w:szCs w:val="20"/>
                <w:color w:val="auto"/>
              </w:rPr>
            </w:pPr>
            <w:r>
              <w:rPr>
                <w:rFonts w:ascii="Arial" w:cs="Arial" w:eastAsia="Arial" w:hAnsi="Arial"/>
                <w:sz w:val="11"/>
                <w:szCs w:val="11"/>
                <w:color w:val="auto"/>
                <w:w w:val="95"/>
              </w:rPr>
              <w:t>5.9%</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5.0%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4.8%</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7"/>
              </w:rPr>
              <w:t>-15 bps</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8"/>
              </w:rPr>
              <w:t>-105 bps</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5"/>
              </w:rPr>
              <w:t>5.9%</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5"/>
              </w:rPr>
              <w:t>4.8%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-105 bps</w:t>
            </w:r>
          </w:p>
        </w:tc>
      </w:tr>
      <w:tr>
        <w:trPr>
          <w:trHeight w:val="144"/>
        </w:trPr>
        <w:tc>
          <w:tcPr>
            <w:tcW w:w="298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1"/>
                <w:szCs w:val="11"/>
                <w:color w:val="auto"/>
              </w:rPr>
              <w:t xml:space="preserve">Cost of risk </w:t>
            </w:r>
            <w:r>
              <w:rPr>
                <w:rFonts w:ascii="Arial" w:cs="Arial" w:eastAsia="Arial" w:hAnsi="Arial"/>
                <w:sz w:val="16"/>
                <w:szCs w:val="16"/>
                <w:color w:val="auto"/>
                <w:vertAlign w:val="superscript"/>
              </w:rPr>
              <w:t>(5)</w:t>
            </w:r>
          </w:p>
        </w:tc>
        <w:tc>
          <w:tcPr>
            <w:tcW w:w="920" w:type="dxa"/>
            <w:vAlign w:val="bottom"/>
          </w:tcPr>
          <w:p>
            <w:pPr>
              <w:jc w:val="center"/>
              <w:spacing w:after="0"/>
              <w:rPr>
                <w:sz w:val="20"/>
                <w:szCs w:val="20"/>
                <w:color w:val="auto"/>
              </w:rPr>
            </w:pPr>
            <w:r>
              <w:rPr>
                <w:rFonts w:ascii="Arial" w:cs="Arial" w:eastAsia="Arial" w:hAnsi="Arial"/>
                <w:sz w:val="11"/>
                <w:szCs w:val="11"/>
                <w:color w:val="auto"/>
                <w:w w:val="95"/>
              </w:rPr>
              <w:t>2.4%</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1.6%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1.7%</w:t>
            </w:r>
          </w:p>
        </w:tc>
        <w:tc>
          <w:tcPr>
            <w:tcW w:w="680" w:type="dxa"/>
            <w:vAlign w:val="bottom"/>
          </w:tcPr>
          <w:p>
            <w:pPr>
              <w:jc w:val="center"/>
              <w:ind w:left="206"/>
              <w:spacing w:after="0"/>
              <w:rPr>
                <w:sz w:val="20"/>
                <w:szCs w:val="20"/>
                <w:color w:val="auto"/>
              </w:rPr>
            </w:pPr>
            <w:r>
              <w:rPr>
                <w:rFonts w:ascii="Arial" w:cs="Arial" w:eastAsia="Arial" w:hAnsi="Arial"/>
                <w:sz w:val="11"/>
                <w:szCs w:val="11"/>
                <w:color w:val="auto"/>
                <w:w w:val="96"/>
              </w:rPr>
              <w:t>6 bps</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-71 bps</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5"/>
              </w:rPr>
              <w:t>2.6%</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5"/>
              </w:rPr>
              <w:t>1.6%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-95 bps</w:t>
            </w:r>
          </w:p>
        </w:tc>
      </w:tr>
      <w:tr>
        <w:trPr>
          <w:trHeight w:val="13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Coverage ratio of IOLs</w:t>
            </w:r>
          </w:p>
        </w:tc>
        <w:tc>
          <w:tcPr>
            <w:tcW w:w="920" w:type="dxa"/>
            <w:vAlign w:val="bottom"/>
          </w:tcPr>
          <w:p>
            <w:pPr>
              <w:jc w:val="center"/>
              <w:spacing w:after="0"/>
              <w:rPr>
                <w:sz w:val="20"/>
                <w:szCs w:val="20"/>
                <w:color w:val="auto"/>
              </w:rPr>
            </w:pPr>
            <w:r>
              <w:rPr>
                <w:rFonts w:ascii="Arial" w:cs="Arial" w:eastAsia="Arial" w:hAnsi="Arial"/>
                <w:sz w:val="11"/>
                <w:szCs w:val="11"/>
                <w:color w:val="auto"/>
                <w:w w:val="96"/>
              </w:rPr>
              <w:t>136.9%</w:t>
            </w:r>
          </w:p>
        </w:tc>
        <w:tc>
          <w:tcPr>
            <w:tcW w:w="960" w:type="dxa"/>
            <w:vAlign w:val="bottom"/>
          </w:tcPr>
          <w:p>
            <w:pPr>
              <w:jc w:val="center"/>
              <w:spacing w:after="0"/>
              <w:rPr>
                <w:sz w:val="20"/>
                <w:szCs w:val="20"/>
                <w:color w:val="auto"/>
              </w:rPr>
            </w:pPr>
            <w:r>
              <w:rPr>
                <w:rFonts w:ascii="Arial" w:cs="Arial" w:eastAsia="Arial" w:hAnsi="Arial"/>
                <w:sz w:val="11"/>
                <w:szCs w:val="11"/>
                <w:color w:val="auto"/>
                <w:w w:val="96"/>
              </w:rPr>
              <w:t>151.8%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154.9%</w:t>
            </w:r>
          </w:p>
        </w:tc>
        <w:tc>
          <w:tcPr>
            <w:tcW w:w="680" w:type="dxa"/>
            <w:vAlign w:val="bottom"/>
          </w:tcPr>
          <w:p>
            <w:pPr>
              <w:jc w:val="center"/>
              <w:ind w:left="206"/>
              <w:spacing w:after="0"/>
              <w:rPr>
                <w:sz w:val="20"/>
                <w:szCs w:val="20"/>
                <w:color w:val="auto"/>
              </w:rPr>
            </w:pPr>
            <w:r>
              <w:rPr>
                <w:rFonts w:ascii="Arial" w:cs="Arial" w:eastAsia="Arial" w:hAnsi="Arial"/>
                <w:sz w:val="11"/>
                <w:szCs w:val="11"/>
                <w:color w:val="auto"/>
                <w:w w:val="96"/>
              </w:rPr>
              <w:t>310 bps</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1800 bps</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6"/>
              </w:rPr>
              <w:t>136.9%</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6"/>
              </w:rPr>
              <w:t>154.9%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1800 bps</w:t>
            </w:r>
          </w:p>
        </w:tc>
      </w:tr>
      <w:tr>
        <w:trPr>
          <w:trHeight w:val="132"/>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Coverage ratio of NPLs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6"/>
              </w:rPr>
              <w:t>98.7%</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6"/>
              </w:rPr>
              <w:t>109.5%</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110.1%</w:t>
            </w:r>
          </w:p>
        </w:tc>
        <w:tc>
          <w:tcPr>
            <w:tcW w:w="68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rPr>
              <w:t>60 bps</w:t>
            </w:r>
          </w:p>
        </w:tc>
        <w:tc>
          <w:tcPr>
            <w:tcW w:w="1220" w:type="dxa"/>
            <w:vAlign w:val="bottom"/>
            <w:tcBorders>
              <w:bottom w:val="single" w:sz="8" w:color="auto"/>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1140 bps</w:t>
            </w:r>
          </w:p>
        </w:tc>
        <w:tc>
          <w:tcPr>
            <w:tcW w:w="780" w:type="dxa"/>
            <w:vAlign w:val="bottom"/>
            <w:tcBorders>
              <w:bottom w:val="single" w:sz="8" w:color="auto"/>
            </w:tcBorders>
          </w:tcPr>
          <w:p>
            <w:pPr>
              <w:jc w:val="center"/>
              <w:ind w:left="66"/>
              <w:spacing w:after="0"/>
              <w:rPr>
                <w:sz w:val="20"/>
                <w:szCs w:val="20"/>
                <w:color w:val="auto"/>
              </w:rPr>
            </w:pPr>
            <w:r>
              <w:rPr>
                <w:rFonts w:ascii="Arial" w:cs="Arial" w:eastAsia="Arial" w:hAnsi="Arial"/>
                <w:sz w:val="11"/>
                <w:szCs w:val="11"/>
                <w:color w:val="auto"/>
                <w:w w:val="96"/>
              </w:rPr>
              <w:t>98.7%</w:t>
            </w:r>
          </w:p>
        </w:tc>
        <w:tc>
          <w:tcPr>
            <w:tcW w:w="1120" w:type="dxa"/>
            <w:vAlign w:val="bottom"/>
            <w:tcBorders>
              <w:bottom w:val="single" w:sz="8" w:color="auto"/>
              <w:right w:val="single" w:sz="8" w:color="auto"/>
            </w:tcBorders>
          </w:tcPr>
          <w:p>
            <w:pPr>
              <w:jc w:val="center"/>
              <w:ind w:left="66"/>
              <w:spacing w:after="0"/>
              <w:rPr>
                <w:sz w:val="20"/>
                <w:szCs w:val="20"/>
                <w:color w:val="auto"/>
              </w:rPr>
            </w:pPr>
            <w:r>
              <w:rPr>
                <w:rFonts w:ascii="Arial" w:cs="Arial" w:eastAsia="Arial" w:hAnsi="Arial"/>
                <w:sz w:val="11"/>
                <w:szCs w:val="11"/>
                <w:color w:val="auto"/>
                <w:w w:val="96"/>
              </w:rPr>
              <w:t>110.1%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1140 bps</w:t>
            </w:r>
          </w:p>
        </w:tc>
      </w:tr>
      <w:tr>
        <w:trPr>
          <w:trHeight w:val="112"/>
        </w:trPr>
        <w:tc>
          <w:tcPr>
            <w:tcW w:w="2980" w:type="dxa"/>
            <w:vAlign w:val="bottom"/>
            <w:tcBorders>
              <w:left w:val="single" w:sz="8" w:color="auto"/>
              <w:right w:val="single" w:sz="8" w:color="auto"/>
            </w:tcBorders>
          </w:tcPr>
          <w:p>
            <w:pPr>
              <w:ind w:left="20"/>
              <w:spacing w:after="0" w:line="112" w:lineRule="exact"/>
              <w:rPr>
                <w:sz w:val="20"/>
                <w:szCs w:val="20"/>
                <w:color w:val="auto"/>
              </w:rPr>
            </w:pPr>
            <w:r>
              <w:rPr>
                <w:rFonts w:ascii="Arial" w:cs="Arial" w:eastAsia="Arial" w:hAnsi="Arial"/>
                <w:sz w:val="11"/>
                <w:szCs w:val="11"/>
                <w:b w:val="1"/>
                <w:bCs w:val="1"/>
                <w:color w:val="auto"/>
              </w:rPr>
              <w:t>Operating efficiency</w:t>
            </w:r>
          </w:p>
        </w:tc>
        <w:tc>
          <w:tcPr>
            <w:tcW w:w="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r>
      <w:tr>
        <w:trPr>
          <w:trHeight w:val="132"/>
        </w:trPr>
        <w:tc>
          <w:tcPr>
            <w:tcW w:w="2980" w:type="dxa"/>
            <w:vAlign w:val="bottom"/>
            <w:tcBorders>
              <w:left w:val="single" w:sz="8" w:color="auto"/>
              <w:right w:val="single" w:sz="8" w:color="auto"/>
            </w:tcBorders>
          </w:tcPr>
          <w:p>
            <w:pPr>
              <w:ind w:left="20"/>
              <w:spacing w:after="0" w:line="132" w:lineRule="exact"/>
              <w:rPr>
                <w:sz w:val="20"/>
                <w:szCs w:val="20"/>
                <w:color w:val="auto"/>
              </w:rPr>
            </w:pPr>
            <w:r>
              <w:rPr>
                <w:rFonts w:ascii="Arial" w:cs="Arial" w:eastAsia="Arial" w:hAnsi="Arial"/>
                <w:sz w:val="10"/>
                <w:szCs w:val="10"/>
                <w:color w:val="auto"/>
              </w:rPr>
              <w:t>Operating income</w:t>
            </w:r>
            <w:r>
              <w:rPr>
                <w:rFonts w:ascii="Arial" w:cs="Arial" w:eastAsia="Arial" w:hAnsi="Arial"/>
                <w:sz w:val="15"/>
                <w:szCs w:val="15"/>
                <w:color w:val="auto"/>
                <w:vertAlign w:val="superscript"/>
              </w:rPr>
              <w:t>(6)</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5,211,162</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5,529,301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5,670,690</w:t>
            </w:r>
          </w:p>
        </w:tc>
        <w:tc>
          <w:tcPr>
            <w:tcW w:w="680" w:type="dxa"/>
            <w:vAlign w:val="bottom"/>
          </w:tcPr>
          <w:p>
            <w:pPr>
              <w:jc w:val="center"/>
              <w:ind w:left="186"/>
              <w:spacing w:after="0"/>
              <w:rPr>
                <w:sz w:val="20"/>
                <w:szCs w:val="20"/>
                <w:color w:val="auto"/>
              </w:rPr>
            </w:pPr>
            <w:r>
              <w:rPr>
                <w:rFonts w:ascii="Arial" w:cs="Arial" w:eastAsia="Arial" w:hAnsi="Arial"/>
                <w:sz w:val="11"/>
                <w:szCs w:val="11"/>
                <w:color w:val="auto"/>
                <w:w w:val="95"/>
              </w:rPr>
              <w:t>2.6%</w:t>
            </w:r>
          </w:p>
        </w:tc>
        <w:tc>
          <w:tcPr>
            <w:tcW w:w="122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8.8%</w:t>
            </w:r>
          </w:p>
        </w:tc>
        <w:tc>
          <w:tcPr>
            <w:tcW w:w="780" w:type="dxa"/>
            <w:vAlign w:val="bottom"/>
          </w:tcPr>
          <w:p>
            <w:pPr>
              <w:jc w:val="center"/>
              <w:ind w:left="106"/>
              <w:spacing w:after="0"/>
              <w:rPr>
                <w:sz w:val="20"/>
                <w:szCs w:val="20"/>
                <w:color w:val="auto"/>
              </w:rPr>
            </w:pPr>
            <w:r>
              <w:rPr>
                <w:rFonts w:ascii="Arial" w:cs="Arial" w:eastAsia="Arial" w:hAnsi="Arial"/>
                <w:sz w:val="11"/>
                <w:szCs w:val="11"/>
                <w:color w:val="auto"/>
                <w:w w:val="98"/>
              </w:rPr>
              <w:t>15,288,024</w:t>
            </w:r>
          </w:p>
        </w:tc>
        <w:tc>
          <w:tcPr>
            <w:tcW w:w="1120" w:type="dxa"/>
            <w:vAlign w:val="bottom"/>
            <w:tcBorders>
              <w:right w:val="single" w:sz="8" w:color="auto"/>
            </w:tcBorders>
          </w:tcPr>
          <w:p>
            <w:pPr>
              <w:jc w:val="center"/>
              <w:ind w:left="86"/>
              <w:spacing w:after="0"/>
              <w:rPr>
                <w:sz w:val="20"/>
                <w:szCs w:val="20"/>
                <w:color w:val="auto"/>
              </w:rPr>
            </w:pPr>
            <w:r>
              <w:rPr>
                <w:rFonts w:ascii="Arial" w:cs="Arial" w:eastAsia="Arial" w:hAnsi="Arial"/>
                <w:sz w:val="11"/>
                <w:szCs w:val="11"/>
                <w:color w:val="auto"/>
                <w:w w:val="98"/>
              </w:rPr>
              <w:t>16,540,190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8.2%</w:t>
            </w:r>
          </w:p>
        </w:tc>
      </w:tr>
      <w:tr>
        <w:trPr>
          <w:trHeight w:val="132"/>
        </w:trPr>
        <w:tc>
          <w:tcPr>
            <w:tcW w:w="2980" w:type="dxa"/>
            <w:vAlign w:val="bottom"/>
            <w:tcBorders>
              <w:left w:val="single" w:sz="8" w:color="auto"/>
              <w:right w:val="single" w:sz="8" w:color="auto"/>
            </w:tcBorders>
          </w:tcPr>
          <w:p>
            <w:pPr>
              <w:ind w:left="20"/>
              <w:spacing w:after="0" w:line="132" w:lineRule="exact"/>
              <w:rPr>
                <w:sz w:val="20"/>
                <w:szCs w:val="20"/>
                <w:color w:val="auto"/>
              </w:rPr>
            </w:pPr>
            <w:r>
              <w:rPr>
                <w:rFonts w:ascii="Arial" w:cs="Arial" w:eastAsia="Arial" w:hAnsi="Arial"/>
                <w:sz w:val="10"/>
                <w:szCs w:val="10"/>
                <w:color w:val="auto"/>
              </w:rPr>
              <w:t>Operating expenses</w:t>
            </w:r>
            <w:r>
              <w:rPr>
                <w:rFonts w:ascii="Arial" w:cs="Arial" w:eastAsia="Arial" w:hAnsi="Arial"/>
                <w:sz w:val="15"/>
                <w:szCs w:val="15"/>
                <w:color w:val="auto"/>
                <w:vertAlign w:val="superscript"/>
              </w:rPr>
              <w:t>(7)</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2,313,324</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2,483,493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2,629,461</w:t>
            </w:r>
          </w:p>
        </w:tc>
        <w:tc>
          <w:tcPr>
            <w:tcW w:w="680" w:type="dxa"/>
            <w:vAlign w:val="bottom"/>
          </w:tcPr>
          <w:p>
            <w:pPr>
              <w:jc w:val="center"/>
              <w:ind w:left="186"/>
              <w:spacing w:after="0"/>
              <w:rPr>
                <w:sz w:val="20"/>
                <w:szCs w:val="20"/>
                <w:color w:val="auto"/>
              </w:rPr>
            </w:pPr>
            <w:r>
              <w:rPr>
                <w:rFonts w:ascii="Arial" w:cs="Arial" w:eastAsia="Arial" w:hAnsi="Arial"/>
                <w:sz w:val="11"/>
                <w:szCs w:val="11"/>
                <w:color w:val="auto"/>
                <w:w w:val="95"/>
              </w:rPr>
              <w:t>5.9%</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6"/>
              </w:rPr>
              <w:t>13.7%</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7"/>
              </w:rPr>
              <w:t>6,696,919</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7"/>
              </w:rPr>
              <w:t>7,555,043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12.8%</w:t>
            </w:r>
          </w:p>
        </w:tc>
      </w:tr>
      <w:tr>
        <w:trPr>
          <w:trHeight w:val="144"/>
        </w:trPr>
        <w:tc>
          <w:tcPr>
            <w:tcW w:w="298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1"/>
                <w:szCs w:val="11"/>
                <w:color w:val="auto"/>
              </w:rPr>
              <w:t>Efficiency ratio</w:t>
            </w:r>
            <w:r>
              <w:rPr>
                <w:rFonts w:ascii="Arial" w:cs="Arial" w:eastAsia="Arial" w:hAnsi="Arial"/>
                <w:sz w:val="16"/>
                <w:szCs w:val="16"/>
                <w:color w:val="auto"/>
                <w:vertAlign w:val="superscript"/>
              </w:rPr>
              <w:t>(8)</w:t>
            </w:r>
          </w:p>
        </w:tc>
        <w:tc>
          <w:tcPr>
            <w:tcW w:w="920" w:type="dxa"/>
            <w:vAlign w:val="bottom"/>
          </w:tcPr>
          <w:p>
            <w:pPr>
              <w:jc w:val="center"/>
              <w:spacing w:after="0"/>
              <w:rPr>
                <w:sz w:val="20"/>
                <w:szCs w:val="20"/>
                <w:color w:val="auto"/>
              </w:rPr>
            </w:pPr>
            <w:r>
              <w:rPr>
                <w:rFonts w:ascii="Arial" w:cs="Arial" w:eastAsia="Arial" w:hAnsi="Arial"/>
                <w:sz w:val="11"/>
                <w:szCs w:val="11"/>
                <w:color w:val="auto"/>
                <w:w w:val="96"/>
              </w:rPr>
              <w:t>44.4%</w:t>
            </w:r>
          </w:p>
        </w:tc>
        <w:tc>
          <w:tcPr>
            <w:tcW w:w="960" w:type="dxa"/>
            <w:vAlign w:val="bottom"/>
          </w:tcPr>
          <w:p>
            <w:pPr>
              <w:jc w:val="center"/>
              <w:spacing w:after="0"/>
              <w:rPr>
                <w:sz w:val="20"/>
                <w:szCs w:val="20"/>
                <w:color w:val="auto"/>
              </w:rPr>
            </w:pPr>
            <w:r>
              <w:rPr>
                <w:rFonts w:ascii="Arial" w:cs="Arial" w:eastAsia="Arial" w:hAnsi="Arial"/>
                <w:sz w:val="11"/>
                <w:szCs w:val="11"/>
                <w:color w:val="auto"/>
              </w:rPr>
              <w:t>44.9%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46.4%</w:t>
            </w:r>
          </w:p>
        </w:tc>
        <w:tc>
          <w:tcPr>
            <w:tcW w:w="680" w:type="dxa"/>
            <w:vAlign w:val="bottom"/>
          </w:tcPr>
          <w:p>
            <w:pPr>
              <w:jc w:val="center"/>
              <w:ind w:left="206"/>
              <w:spacing w:after="0"/>
              <w:rPr>
                <w:sz w:val="20"/>
                <w:szCs w:val="20"/>
                <w:color w:val="auto"/>
              </w:rPr>
            </w:pPr>
            <w:r>
              <w:rPr>
                <w:rFonts w:ascii="Arial" w:cs="Arial" w:eastAsia="Arial" w:hAnsi="Arial"/>
                <w:sz w:val="11"/>
                <w:szCs w:val="11"/>
                <w:color w:val="auto"/>
                <w:w w:val="96"/>
              </w:rPr>
              <w:t>150 bps</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6"/>
              </w:rPr>
              <w:t>200 bps</w:t>
            </w:r>
          </w:p>
        </w:tc>
        <w:tc>
          <w:tcPr>
            <w:tcW w:w="780" w:type="dxa"/>
            <w:vAlign w:val="bottom"/>
          </w:tcPr>
          <w:p>
            <w:pPr>
              <w:jc w:val="center"/>
              <w:ind w:left="66"/>
              <w:spacing w:after="0"/>
              <w:rPr>
                <w:sz w:val="20"/>
                <w:szCs w:val="20"/>
                <w:color w:val="auto"/>
              </w:rPr>
            </w:pPr>
            <w:r>
              <w:rPr>
                <w:rFonts w:ascii="Arial" w:cs="Arial" w:eastAsia="Arial" w:hAnsi="Arial"/>
                <w:sz w:val="11"/>
                <w:szCs w:val="11"/>
                <w:color w:val="auto"/>
                <w:w w:val="96"/>
              </w:rPr>
              <w:t>43.8%</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rPr>
              <w:t>45.7%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190 bps</w:t>
            </w:r>
          </w:p>
        </w:tc>
      </w:tr>
      <w:tr>
        <w:trPr>
          <w:trHeight w:val="132"/>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expenses / Total average assets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3.7%</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3.9%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4.2%</w:t>
            </w:r>
          </w:p>
        </w:tc>
        <w:tc>
          <w:tcPr>
            <w:tcW w:w="68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rPr>
              <w:t>27 bps</w:t>
            </w:r>
          </w:p>
        </w:tc>
        <w:tc>
          <w:tcPr>
            <w:tcW w:w="1220" w:type="dxa"/>
            <w:vAlign w:val="bottom"/>
            <w:tcBorders>
              <w:bottom w:val="single" w:sz="8" w:color="auto"/>
              <w:right w:val="single" w:sz="8" w:color="auto"/>
            </w:tcBorders>
          </w:tcPr>
          <w:p>
            <w:pPr>
              <w:jc w:val="center"/>
              <w:ind w:left="206"/>
              <w:spacing w:after="0"/>
              <w:rPr>
                <w:sz w:val="20"/>
                <w:szCs w:val="20"/>
                <w:color w:val="auto"/>
              </w:rPr>
            </w:pPr>
            <w:r>
              <w:rPr>
                <w:rFonts w:ascii="Arial" w:cs="Arial" w:eastAsia="Arial" w:hAnsi="Arial"/>
                <w:sz w:val="11"/>
                <w:szCs w:val="11"/>
                <w:color w:val="auto"/>
                <w:w w:val="96"/>
              </w:rPr>
              <w:t>48 bps</w:t>
            </w:r>
          </w:p>
        </w:tc>
        <w:tc>
          <w:tcPr>
            <w:tcW w:w="78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color w:val="auto"/>
                <w:w w:val="95"/>
              </w:rPr>
              <w:t>3.7%</w:t>
            </w:r>
          </w:p>
        </w:tc>
        <w:tc>
          <w:tcPr>
            <w:tcW w:w="1120" w:type="dxa"/>
            <w:vAlign w:val="bottom"/>
            <w:tcBorders>
              <w:bottom w:val="single" w:sz="8" w:color="auto"/>
              <w:right w:val="single" w:sz="8" w:color="auto"/>
            </w:tcBorders>
          </w:tcPr>
          <w:p>
            <w:pPr>
              <w:jc w:val="center"/>
              <w:ind w:left="66"/>
              <w:spacing w:after="0"/>
              <w:rPr>
                <w:sz w:val="20"/>
                <w:szCs w:val="20"/>
                <w:color w:val="auto"/>
              </w:rPr>
            </w:pPr>
            <w:r>
              <w:rPr>
                <w:rFonts w:ascii="Arial" w:cs="Arial" w:eastAsia="Arial" w:hAnsi="Arial"/>
                <w:sz w:val="11"/>
                <w:szCs w:val="11"/>
                <w:color w:val="auto"/>
                <w:w w:val="95"/>
              </w:rPr>
              <w:t>3.9%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20 bps</w:t>
            </w:r>
          </w:p>
        </w:tc>
      </w:tr>
      <w:tr>
        <w:trPr>
          <w:trHeight w:val="112"/>
        </w:trPr>
        <w:tc>
          <w:tcPr>
            <w:tcW w:w="2980" w:type="dxa"/>
            <w:vAlign w:val="bottom"/>
            <w:tcBorders>
              <w:left w:val="single" w:sz="8" w:color="auto"/>
              <w:right w:val="single" w:sz="8" w:color="auto"/>
            </w:tcBorders>
          </w:tcPr>
          <w:p>
            <w:pPr>
              <w:ind w:left="20"/>
              <w:spacing w:after="0" w:line="112" w:lineRule="exact"/>
              <w:rPr>
                <w:sz w:val="20"/>
                <w:szCs w:val="20"/>
                <w:color w:val="auto"/>
              </w:rPr>
            </w:pPr>
            <w:r>
              <w:rPr>
                <w:rFonts w:ascii="Arial" w:cs="Arial" w:eastAsia="Arial" w:hAnsi="Arial"/>
                <w:sz w:val="11"/>
                <w:szCs w:val="11"/>
                <w:b w:val="1"/>
                <w:bCs w:val="1"/>
                <w:color w:val="auto"/>
              </w:rPr>
              <w:t>Capital adequacy - BCP Stand-alone</w:t>
            </w:r>
          </w:p>
        </w:tc>
        <w:tc>
          <w:tcPr>
            <w:tcW w:w="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r>
      <w:tr>
        <w:trPr>
          <w:trHeight w:val="132"/>
        </w:trPr>
        <w:tc>
          <w:tcPr>
            <w:tcW w:w="2980" w:type="dxa"/>
            <w:vAlign w:val="bottom"/>
            <w:tcBorders>
              <w:left w:val="single" w:sz="8" w:color="auto"/>
              <w:right w:val="single" w:sz="8" w:color="auto"/>
            </w:tcBorders>
          </w:tcPr>
          <w:p>
            <w:pPr>
              <w:ind w:left="20"/>
              <w:spacing w:after="0" w:line="132" w:lineRule="exact"/>
              <w:rPr>
                <w:sz w:val="20"/>
                <w:szCs w:val="20"/>
                <w:color w:val="auto"/>
              </w:rPr>
            </w:pPr>
            <w:r>
              <w:rPr>
                <w:rFonts w:ascii="Arial" w:cs="Arial" w:eastAsia="Arial" w:hAnsi="Arial"/>
                <w:sz w:val="10"/>
                <w:szCs w:val="10"/>
                <w:color w:val="auto"/>
              </w:rPr>
              <w:t xml:space="preserve">Global Capital Ratio </w:t>
            </w:r>
            <w:r>
              <w:rPr>
                <w:rFonts w:ascii="Arial" w:cs="Arial" w:eastAsia="Arial" w:hAnsi="Arial"/>
                <w:sz w:val="15"/>
                <w:szCs w:val="15"/>
                <w:color w:val="auto"/>
                <w:vertAlign w:val="superscript"/>
              </w:rPr>
              <w:t>(9)</w:t>
            </w:r>
          </w:p>
        </w:tc>
        <w:tc>
          <w:tcPr>
            <w:tcW w:w="920" w:type="dxa"/>
            <w:vAlign w:val="bottom"/>
          </w:tcPr>
          <w:p>
            <w:pPr>
              <w:jc w:val="center"/>
              <w:spacing w:after="0"/>
              <w:rPr>
                <w:sz w:val="20"/>
                <w:szCs w:val="20"/>
                <w:color w:val="auto"/>
              </w:rPr>
            </w:pPr>
            <w:r>
              <w:rPr>
                <w:rFonts w:ascii="Arial" w:cs="Arial" w:eastAsia="Arial" w:hAnsi="Arial"/>
                <w:sz w:val="11"/>
                <w:szCs w:val="11"/>
                <w:color w:val="auto"/>
                <w:w w:val="96"/>
              </w:rPr>
              <w:t>18.96%</w:t>
            </w:r>
          </w:p>
        </w:tc>
        <w:tc>
          <w:tcPr>
            <w:tcW w:w="960" w:type="dxa"/>
            <w:vAlign w:val="bottom"/>
          </w:tcPr>
          <w:p>
            <w:pPr>
              <w:jc w:val="center"/>
              <w:spacing w:after="0"/>
              <w:rPr>
                <w:sz w:val="20"/>
                <w:szCs w:val="20"/>
                <w:color w:val="auto"/>
              </w:rPr>
            </w:pPr>
            <w:r>
              <w:rPr>
                <w:rFonts w:ascii="Arial" w:cs="Arial" w:eastAsia="Arial" w:hAnsi="Arial"/>
                <w:sz w:val="11"/>
                <w:szCs w:val="11"/>
                <w:color w:val="auto"/>
                <w:w w:val="96"/>
              </w:rPr>
              <w:t>17.33%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17.72%</w:t>
            </w:r>
          </w:p>
        </w:tc>
        <w:tc>
          <w:tcPr>
            <w:tcW w:w="680" w:type="dxa"/>
            <w:vAlign w:val="bottom"/>
          </w:tcPr>
          <w:p>
            <w:pPr>
              <w:jc w:val="center"/>
              <w:ind w:left="206"/>
              <w:spacing w:after="0"/>
              <w:rPr>
                <w:sz w:val="20"/>
                <w:szCs w:val="20"/>
                <w:color w:val="auto"/>
              </w:rPr>
            </w:pPr>
            <w:r>
              <w:rPr>
                <w:rFonts w:ascii="Arial" w:cs="Arial" w:eastAsia="Arial" w:hAnsi="Arial"/>
                <w:sz w:val="11"/>
                <w:szCs w:val="11"/>
                <w:color w:val="auto"/>
              </w:rPr>
              <w:t>42 bps</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8"/>
              </w:rPr>
              <w:t>-126 bps</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6"/>
              </w:rPr>
              <w:t>18.96%</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6"/>
              </w:rPr>
              <w:t>17.72%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-124 bps</w:t>
            </w:r>
          </w:p>
        </w:tc>
      </w:tr>
      <w:tr>
        <w:trPr>
          <w:trHeight w:val="132"/>
        </w:trPr>
        <w:tc>
          <w:tcPr>
            <w:tcW w:w="2980" w:type="dxa"/>
            <w:vAlign w:val="bottom"/>
            <w:tcBorders>
              <w:left w:val="single" w:sz="8" w:color="auto"/>
              <w:right w:val="single" w:sz="8" w:color="auto"/>
            </w:tcBorders>
          </w:tcPr>
          <w:p>
            <w:pPr>
              <w:ind w:left="20"/>
              <w:spacing w:after="0" w:line="132" w:lineRule="exact"/>
              <w:rPr>
                <w:sz w:val="20"/>
                <w:szCs w:val="20"/>
                <w:color w:val="auto"/>
              </w:rPr>
            </w:pPr>
            <w:r>
              <w:rPr>
                <w:rFonts w:ascii="Arial" w:cs="Arial" w:eastAsia="Arial" w:hAnsi="Arial"/>
                <w:sz w:val="10"/>
                <w:szCs w:val="10"/>
                <w:color w:val="auto"/>
              </w:rPr>
              <w:t>Ratio Tier 1</w:t>
            </w:r>
            <w:r>
              <w:rPr>
                <w:rFonts w:ascii="Arial" w:cs="Arial" w:eastAsia="Arial" w:hAnsi="Arial"/>
                <w:sz w:val="15"/>
                <w:szCs w:val="15"/>
                <w:color w:val="auto"/>
                <w:vertAlign w:val="superscript"/>
              </w:rPr>
              <w:t>(10)</w:t>
            </w:r>
          </w:p>
        </w:tc>
        <w:tc>
          <w:tcPr>
            <w:tcW w:w="920" w:type="dxa"/>
            <w:vAlign w:val="bottom"/>
          </w:tcPr>
          <w:p>
            <w:pPr>
              <w:jc w:val="center"/>
              <w:spacing w:after="0"/>
              <w:rPr>
                <w:sz w:val="20"/>
                <w:szCs w:val="20"/>
                <w:color w:val="auto"/>
              </w:rPr>
            </w:pPr>
            <w:r>
              <w:rPr>
                <w:rFonts w:ascii="Arial" w:cs="Arial" w:eastAsia="Arial" w:hAnsi="Arial"/>
                <w:sz w:val="11"/>
                <w:szCs w:val="11"/>
                <w:color w:val="auto"/>
                <w:w w:val="96"/>
              </w:rPr>
              <w:t>13.25%</w:t>
            </w:r>
          </w:p>
        </w:tc>
        <w:tc>
          <w:tcPr>
            <w:tcW w:w="960" w:type="dxa"/>
            <w:vAlign w:val="bottom"/>
          </w:tcPr>
          <w:p>
            <w:pPr>
              <w:jc w:val="center"/>
              <w:spacing w:after="0"/>
              <w:rPr>
                <w:sz w:val="20"/>
                <w:szCs w:val="20"/>
                <w:color w:val="auto"/>
              </w:rPr>
            </w:pPr>
            <w:r>
              <w:rPr>
                <w:rFonts w:ascii="Arial" w:cs="Arial" w:eastAsia="Arial" w:hAnsi="Arial"/>
                <w:sz w:val="11"/>
                <w:szCs w:val="11"/>
                <w:color w:val="auto"/>
                <w:w w:val="96"/>
              </w:rPr>
              <w:t>12.24%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12.82%</w:t>
            </w:r>
          </w:p>
        </w:tc>
        <w:tc>
          <w:tcPr>
            <w:tcW w:w="680" w:type="dxa"/>
            <w:vAlign w:val="bottom"/>
          </w:tcPr>
          <w:p>
            <w:pPr>
              <w:jc w:val="center"/>
              <w:ind w:left="206"/>
              <w:spacing w:after="0"/>
              <w:rPr>
                <w:sz w:val="20"/>
                <w:szCs w:val="20"/>
                <w:color w:val="auto"/>
              </w:rPr>
            </w:pPr>
            <w:r>
              <w:rPr>
                <w:rFonts w:ascii="Arial" w:cs="Arial" w:eastAsia="Arial" w:hAnsi="Arial"/>
                <w:sz w:val="11"/>
                <w:szCs w:val="11"/>
                <w:color w:val="auto"/>
              </w:rPr>
              <w:t>62 bps</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-45 bps</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6"/>
              </w:rPr>
              <w:t>13.25%</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6"/>
              </w:rPr>
              <w:t>12.82%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-43 bps</w:t>
            </w:r>
          </w:p>
        </w:tc>
      </w:tr>
      <w:tr>
        <w:trPr>
          <w:trHeight w:val="144"/>
        </w:trPr>
        <w:tc>
          <w:tcPr>
            <w:tcW w:w="298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1"/>
                <w:szCs w:val="11"/>
                <w:color w:val="auto"/>
              </w:rPr>
              <w:t xml:space="preserve">Ratio common equity tier 1 </w:t>
            </w:r>
            <w:r>
              <w:rPr>
                <w:rFonts w:ascii="Arial" w:cs="Arial" w:eastAsia="Arial" w:hAnsi="Arial"/>
                <w:sz w:val="16"/>
                <w:szCs w:val="16"/>
                <w:color w:val="auto"/>
                <w:vertAlign w:val="superscript"/>
              </w:rPr>
              <w:t>(11) (13)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6"/>
              </w:rPr>
              <w:t>13.42%</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6"/>
              </w:rPr>
              <w:t>12.56%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13.17%</w:t>
            </w:r>
          </w:p>
        </w:tc>
        <w:tc>
          <w:tcPr>
            <w:tcW w:w="68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rPr>
              <w:t>57 bps</w:t>
            </w:r>
          </w:p>
        </w:tc>
        <w:tc>
          <w:tcPr>
            <w:tcW w:w="1220" w:type="dxa"/>
            <w:vAlign w:val="bottom"/>
            <w:tcBorders>
              <w:bottom w:val="single" w:sz="8" w:color="auto"/>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-22 bps</w:t>
            </w:r>
          </w:p>
        </w:tc>
        <w:tc>
          <w:tcPr>
            <w:tcW w:w="78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color w:val="auto"/>
                <w:w w:val="96"/>
              </w:rPr>
              <w:t>13.42%</w:t>
            </w:r>
          </w:p>
        </w:tc>
        <w:tc>
          <w:tcPr>
            <w:tcW w:w="1120" w:type="dxa"/>
            <w:vAlign w:val="bottom"/>
            <w:tcBorders>
              <w:bottom w:val="single" w:sz="8" w:color="auto"/>
              <w:right w:val="single" w:sz="8" w:color="auto"/>
            </w:tcBorders>
          </w:tcPr>
          <w:p>
            <w:pPr>
              <w:jc w:val="center"/>
              <w:ind w:left="66"/>
              <w:spacing w:after="0"/>
              <w:rPr>
                <w:sz w:val="20"/>
                <w:szCs w:val="20"/>
                <w:color w:val="auto"/>
              </w:rPr>
            </w:pPr>
            <w:r>
              <w:rPr>
                <w:rFonts w:ascii="Arial" w:cs="Arial" w:eastAsia="Arial" w:hAnsi="Arial"/>
                <w:sz w:val="11"/>
                <w:szCs w:val="11"/>
                <w:color w:val="auto"/>
                <w:w w:val="96"/>
              </w:rPr>
              <w:t>13.17%</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-25 bps</w:t>
            </w:r>
          </w:p>
        </w:tc>
      </w:tr>
      <w:tr>
        <w:trPr>
          <w:trHeight w:val="112"/>
        </w:trPr>
        <w:tc>
          <w:tcPr>
            <w:tcW w:w="2980" w:type="dxa"/>
            <w:vAlign w:val="bottom"/>
            <w:tcBorders>
              <w:left w:val="single" w:sz="8" w:color="auto"/>
              <w:right w:val="single" w:sz="8" w:color="auto"/>
            </w:tcBorders>
          </w:tcPr>
          <w:p>
            <w:pPr>
              <w:ind w:left="20"/>
              <w:spacing w:after="0" w:line="112" w:lineRule="exact"/>
              <w:rPr>
                <w:sz w:val="20"/>
                <w:szCs w:val="20"/>
                <w:color w:val="auto"/>
              </w:rPr>
            </w:pPr>
            <w:r>
              <w:rPr>
                <w:rFonts w:ascii="Arial" w:cs="Arial" w:eastAsia="Arial" w:hAnsi="Arial"/>
                <w:sz w:val="11"/>
                <w:szCs w:val="11"/>
                <w:b w:val="1"/>
                <w:bCs w:val="1"/>
                <w:color w:val="auto"/>
              </w:rPr>
              <w:t>Capital adequacy - Mibanco</w:t>
            </w:r>
          </w:p>
        </w:tc>
        <w:tc>
          <w:tcPr>
            <w:tcW w:w="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r>
      <w:tr>
        <w:trPr>
          <w:trHeight w:val="132"/>
        </w:trPr>
        <w:tc>
          <w:tcPr>
            <w:tcW w:w="2980" w:type="dxa"/>
            <w:vAlign w:val="bottom"/>
            <w:tcBorders>
              <w:left w:val="single" w:sz="8" w:color="auto"/>
              <w:right w:val="single" w:sz="8" w:color="auto"/>
            </w:tcBorders>
          </w:tcPr>
          <w:p>
            <w:pPr>
              <w:ind w:left="20"/>
              <w:spacing w:after="0" w:line="132" w:lineRule="exact"/>
              <w:rPr>
                <w:sz w:val="20"/>
                <w:szCs w:val="20"/>
                <w:color w:val="auto"/>
              </w:rPr>
            </w:pPr>
            <w:r>
              <w:rPr>
                <w:rFonts w:ascii="Arial" w:cs="Arial" w:eastAsia="Arial" w:hAnsi="Arial"/>
                <w:sz w:val="10"/>
                <w:szCs w:val="10"/>
                <w:color w:val="auto"/>
              </w:rPr>
              <w:t xml:space="preserve">Global Capital Ratio </w:t>
            </w:r>
            <w:r>
              <w:rPr>
                <w:rFonts w:ascii="Arial" w:cs="Arial" w:eastAsia="Arial" w:hAnsi="Arial"/>
                <w:sz w:val="15"/>
                <w:szCs w:val="15"/>
                <w:color w:val="auto"/>
                <w:vertAlign w:val="superscript"/>
              </w:rPr>
              <w:t>(9)</w:t>
            </w:r>
          </w:p>
        </w:tc>
        <w:tc>
          <w:tcPr>
            <w:tcW w:w="920" w:type="dxa"/>
            <w:vAlign w:val="bottom"/>
          </w:tcPr>
          <w:p>
            <w:pPr>
              <w:jc w:val="center"/>
              <w:spacing w:after="0"/>
              <w:rPr>
                <w:sz w:val="20"/>
                <w:szCs w:val="20"/>
                <w:color w:val="auto"/>
              </w:rPr>
            </w:pPr>
            <w:r>
              <w:rPr>
                <w:rFonts w:ascii="Arial" w:cs="Arial" w:eastAsia="Arial" w:hAnsi="Arial"/>
                <w:sz w:val="11"/>
                <w:szCs w:val="11"/>
                <w:color w:val="auto"/>
                <w:w w:val="96"/>
              </w:rPr>
              <w:t>20.22%</w:t>
            </w:r>
          </w:p>
        </w:tc>
        <w:tc>
          <w:tcPr>
            <w:tcW w:w="960" w:type="dxa"/>
            <w:vAlign w:val="bottom"/>
          </w:tcPr>
          <w:p>
            <w:pPr>
              <w:jc w:val="center"/>
              <w:spacing w:after="0"/>
              <w:rPr>
                <w:sz w:val="20"/>
                <w:szCs w:val="20"/>
                <w:color w:val="auto"/>
              </w:rPr>
            </w:pPr>
            <w:r>
              <w:rPr>
                <w:rFonts w:ascii="Arial" w:cs="Arial" w:eastAsia="Arial" w:hAnsi="Arial"/>
                <w:sz w:val="11"/>
                <w:szCs w:val="11"/>
                <w:color w:val="auto"/>
                <w:w w:val="96"/>
              </w:rPr>
              <w:t>19.61%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21.13%</w:t>
            </w:r>
          </w:p>
        </w:tc>
        <w:tc>
          <w:tcPr>
            <w:tcW w:w="680" w:type="dxa"/>
            <w:vAlign w:val="bottom"/>
          </w:tcPr>
          <w:p>
            <w:pPr>
              <w:jc w:val="center"/>
              <w:ind w:left="206"/>
              <w:spacing w:after="0"/>
              <w:rPr>
                <w:sz w:val="20"/>
                <w:szCs w:val="20"/>
                <w:color w:val="auto"/>
              </w:rPr>
            </w:pPr>
            <w:r>
              <w:rPr>
                <w:rFonts w:ascii="Arial" w:cs="Arial" w:eastAsia="Arial" w:hAnsi="Arial"/>
                <w:sz w:val="11"/>
                <w:szCs w:val="11"/>
                <w:color w:val="auto"/>
                <w:w w:val="96"/>
              </w:rPr>
              <w:t>153 bps</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6"/>
              </w:rPr>
              <w:t>88 bps</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6"/>
              </w:rPr>
              <w:t>20.22%</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6"/>
              </w:rPr>
              <w:t>21.13%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90 bps</w:t>
            </w:r>
          </w:p>
        </w:tc>
      </w:tr>
      <w:tr>
        <w:trPr>
          <w:trHeight w:val="132"/>
        </w:trPr>
        <w:tc>
          <w:tcPr>
            <w:tcW w:w="2980" w:type="dxa"/>
            <w:vAlign w:val="bottom"/>
            <w:tcBorders>
              <w:left w:val="single" w:sz="8" w:color="auto"/>
              <w:right w:val="single" w:sz="8" w:color="auto"/>
            </w:tcBorders>
          </w:tcPr>
          <w:p>
            <w:pPr>
              <w:ind w:left="20"/>
              <w:spacing w:after="0" w:line="132" w:lineRule="exact"/>
              <w:rPr>
                <w:sz w:val="20"/>
                <w:szCs w:val="20"/>
                <w:color w:val="auto"/>
              </w:rPr>
            </w:pPr>
            <w:r>
              <w:rPr>
                <w:rFonts w:ascii="Arial" w:cs="Arial" w:eastAsia="Arial" w:hAnsi="Arial"/>
                <w:sz w:val="10"/>
                <w:szCs w:val="10"/>
                <w:color w:val="auto"/>
              </w:rPr>
              <w:t>Ratio Tier 1</w:t>
            </w:r>
            <w:r>
              <w:rPr>
                <w:rFonts w:ascii="Arial" w:cs="Arial" w:eastAsia="Arial" w:hAnsi="Arial"/>
                <w:sz w:val="15"/>
                <w:szCs w:val="15"/>
                <w:color w:val="auto"/>
                <w:vertAlign w:val="superscript"/>
              </w:rPr>
              <w:t>(10)</w:t>
            </w:r>
          </w:p>
        </w:tc>
        <w:tc>
          <w:tcPr>
            <w:tcW w:w="920" w:type="dxa"/>
            <w:vAlign w:val="bottom"/>
          </w:tcPr>
          <w:p>
            <w:pPr>
              <w:jc w:val="center"/>
              <w:spacing w:after="0"/>
              <w:rPr>
                <w:sz w:val="20"/>
                <w:szCs w:val="20"/>
                <w:color w:val="auto"/>
              </w:rPr>
            </w:pPr>
            <w:r>
              <w:rPr>
                <w:rFonts w:ascii="Arial" w:cs="Arial" w:eastAsia="Arial" w:hAnsi="Arial"/>
                <w:sz w:val="11"/>
                <w:szCs w:val="11"/>
                <w:color w:val="auto"/>
                <w:w w:val="96"/>
              </w:rPr>
              <w:t>17.85%</w:t>
            </w:r>
          </w:p>
        </w:tc>
        <w:tc>
          <w:tcPr>
            <w:tcW w:w="960" w:type="dxa"/>
            <w:vAlign w:val="bottom"/>
          </w:tcPr>
          <w:p>
            <w:pPr>
              <w:jc w:val="center"/>
              <w:spacing w:after="0"/>
              <w:rPr>
                <w:sz w:val="20"/>
                <w:szCs w:val="20"/>
                <w:color w:val="auto"/>
              </w:rPr>
            </w:pPr>
            <w:r>
              <w:rPr>
                <w:rFonts w:ascii="Arial" w:cs="Arial" w:eastAsia="Arial" w:hAnsi="Arial"/>
                <w:sz w:val="11"/>
                <w:szCs w:val="11"/>
                <w:color w:val="auto"/>
                <w:w w:val="96"/>
              </w:rPr>
              <w:t>16.48%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17.13%</w:t>
            </w:r>
          </w:p>
        </w:tc>
        <w:tc>
          <w:tcPr>
            <w:tcW w:w="680" w:type="dxa"/>
            <w:vAlign w:val="bottom"/>
          </w:tcPr>
          <w:p>
            <w:pPr>
              <w:jc w:val="center"/>
              <w:ind w:left="206"/>
              <w:spacing w:after="0"/>
              <w:rPr>
                <w:sz w:val="20"/>
                <w:szCs w:val="20"/>
                <w:color w:val="auto"/>
              </w:rPr>
            </w:pPr>
            <w:r>
              <w:rPr>
                <w:rFonts w:ascii="Arial" w:cs="Arial" w:eastAsia="Arial" w:hAnsi="Arial"/>
                <w:sz w:val="11"/>
                <w:szCs w:val="11"/>
                <w:color w:val="auto"/>
              </w:rPr>
              <w:t>63 bps</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-75 bps</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6"/>
              </w:rPr>
              <w:t>17.85%</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6"/>
              </w:rPr>
              <w:t>17.13%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-80 bps</w:t>
            </w:r>
          </w:p>
        </w:tc>
      </w:tr>
      <w:tr>
        <w:trPr>
          <w:trHeight w:val="144"/>
        </w:trPr>
        <w:tc>
          <w:tcPr>
            <w:tcW w:w="298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1"/>
                <w:szCs w:val="11"/>
                <w:color w:val="auto"/>
              </w:rPr>
              <w:t xml:space="preserve">Ratio common equity tier 1 </w:t>
            </w:r>
            <w:r>
              <w:rPr>
                <w:rFonts w:ascii="Arial" w:cs="Arial" w:eastAsia="Arial" w:hAnsi="Arial"/>
                <w:sz w:val="16"/>
                <w:szCs w:val="16"/>
                <w:color w:val="auto"/>
                <w:vertAlign w:val="superscript"/>
              </w:rPr>
              <w:t>(11) (13)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6"/>
              </w:rPr>
              <w:t>18.35%</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6"/>
              </w:rPr>
              <w:t>16.73%</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17.14%</w:t>
            </w:r>
          </w:p>
        </w:tc>
        <w:tc>
          <w:tcPr>
            <w:tcW w:w="68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rPr>
              <w:t>44 bps</w:t>
            </w:r>
          </w:p>
        </w:tc>
        <w:tc>
          <w:tcPr>
            <w:tcW w:w="1220" w:type="dxa"/>
            <w:vAlign w:val="bottom"/>
            <w:tcBorders>
              <w:bottom w:val="single" w:sz="8" w:color="auto"/>
              <w:right w:val="single" w:sz="8" w:color="auto"/>
            </w:tcBorders>
          </w:tcPr>
          <w:p>
            <w:pPr>
              <w:jc w:val="center"/>
              <w:ind w:left="186"/>
              <w:spacing w:after="0"/>
              <w:rPr>
                <w:sz w:val="20"/>
                <w:szCs w:val="20"/>
                <w:color w:val="auto"/>
              </w:rPr>
            </w:pPr>
            <w:r>
              <w:rPr>
                <w:rFonts w:ascii="Arial" w:cs="Arial" w:eastAsia="Arial" w:hAnsi="Arial"/>
                <w:sz w:val="11"/>
                <w:szCs w:val="11"/>
                <w:color w:val="auto"/>
                <w:w w:val="98"/>
              </w:rPr>
              <w:t>-125 bps</w:t>
            </w:r>
          </w:p>
        </w:tc>
        <w:tc>
          <w:tcPr>
            <w:tcW w:w="78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color w:val="auto"/>
                <w:w w:val="96"/>
              </w:rPr>
              <w:t>18.35%</w:t>
            </w:r>
          </w:p>
        </w:tc>
        <w:tc>
          <w:tcPr>
            <w:tcW w:w="1120" w:type="dxa"/>
            <w:vAlign w:val="bottom"/>
            <w:tcBorders>
              <w:bottom w:val="single" w:sz="8" w:color="auto"/>
              <w:right w:val="single" w:sz="8" w:color="auto"/>
            </w:tcBorders>
          </w:tcPr>
          <w:p>
            <w:pPr>
              <w:jc w:val="center"/>
              <w:ind w:left="66"/>
              <w:spacing w:after="0"/>
              <w:rPr>
                <w:sz w:val="20"/>
                <w:szCs w:val="20"/>
                <w:color w:val="auto"/>
              </w:rPr>
            </w:pPr>
            <w:r>
              <w:rPr>
                <w:rFonts w:ascii="Arial" w:cs="Arial" w:eastAsia="Arial" w:hAnsi="Arial"/>
                <w:sz w:val="11"/>
                <w:szCs w:val="11"/>
                <w:color w:val="auto"/>
                <w:w w:val="96"/>
              </w:rPr>
              <w:t>17.14%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8"/>
              </w:rPr>
              <w:t>-130 bps</w:t>
            </w:r>
          </w:p>
        </w:tc>
      </w:tr>
      <w:tr>
        <w:trPr>
          <w:trHeight w:val="124"/>
        </w:trPr>
        <w:tc>
          <w:tcPr>
            <w:tcW w:w="298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0"/>
                <w:szCs w:val="10"/>
                <w:b w:val="1"/>
                <w:bCs w:val="1"/>
                <w:color w:val="auto"/>
              </w:rPr>
              <w:t>Employees</w:t>
            </w:r>
            <w:r>
              <w:rPr>
                <w:rFonts w:ascii="Arial" w:cs="Arial" w:eastAsia="Arial" w:hAnsi="Arial"/>
                <w:sz w:val="14"/>
                <w:szCs w:val="14"/>
                <w:b w:val="1"/>
                <w:bCs w:val="1"/>
                <w:color w:val="auto"/>
                <w:vertAlign w:val="superscript"/>
              </w:rPr>
              <w:t>(14)</w:t>
            </w:r>
          </w:p>
        </w:tc>
        <w:tc>
          <w:tcPr>
            <w:tcW w:w="9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w w:val="94"/>
              </w:rPr>
              <w:t>46,555</w:t>
            </w:r>
          </w:p>
        </w:tc>
        <w:tc>
          <w:tcPr>
            <w:tcW w:w="9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w w:val="94"/>
              </w:rPr>
              <w:t>48,241</w:t>
            </w:r>
          </w:p>
        </w:tc>
        <w:tc>
          <w:tcPr>
            <w:tcW w:w="96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48,878</w:t>
            </w:r>
          </w:p>
        </w:tc>
        <w:tc>
          <w:tcPr>
            <w:tcW w:w="680" w:type="dxa"/>
            <w:vAlign w:val="bottom"/>
            <w:tcBorders>
              <w:bottom w:val="single" w:sz="8" w:color="auto"/>
            </w:tcBorders>
          </w:tcPr>
          <w:p>
            <w:pPr>
              <w:jc w:val="center"/>
              <w:ind w:left="186"/>
              <w:spacing w:after="0" w:line="124" w:lineRule="exact"/>
              <w:rPr>
                <w:sz w:val="20"/>
                <w:szCs w:val="20"/>
                <w:color w:val="auto"/>
              </w:rPr>
            </w:pPr>
            <w:r>
              <w:rPr>
                <w:rFonts w:ascii="Arial" w:cs="Arial" w:eastAsia="Arial" w:hAnsi="Arial"/>
                <w:sz w:val="11"/>
                <w:szCs w:val="11"/>
                <w:color w:val="auto"/>
                <w:w w:val="95"/>
              </w:rPr>
              <w:t>1.3%</w:t>
            </w:r>
          </w:p>
        </w:tc>
        <w:tc>
          <w:tcPr>
            <w:tcW w:w="1220" w:type="dxa"/>
            <w:vAlign w:val="bottom"/>
            <w:tcBorders>
              <w:bottom w:val="single" w:sz="8" w:color="auto"/>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w w:val="95"/>
              </w:rPr>
              <w:t>5.0%</w:t>
            </w:r>
          </w:p>
        </w:tc>
        <w:tc>
          <w:tcPr>
            <w:tcW w:w="780" w:type="dxa"/>
            <w:vAlign w:val="bottom"/>
            <w:tcBorders>
              <w:bottom w:val="single" w:sz="8" w:color="auto"/>
            </w:tcBorders>
          </w:tcPr>
          <w:p>
            <w:pPr>
              <w:jc w:val="center"/>
              <w:ind w:left="86"/>
              <w:spacing w:after="0" w:line="124" w:lineRule="exact"/>
              <w:rPr>
                <w:sz w:val="20"/>
                <w:szCs w:val="20"/>
                <w:color w:val="auto"/>
              </w:rPr>
            </w:pPr>
            <w:r>
              <w:rPr>
                <w:rFonts w:ascii="Arial" w:cs="Arial" w:eastAsia="Arial" w:hAnsi="Arial"/>
                <w:sz w:val="11"/>
                <w:szCs w:val="11"/>
                <w:color w:val="auto"/>
                <w:w w:val="94"/>
              </w:rPr>
              <w:t>46,555</w:t>
            </w:r>
          </w:p>
        </w:tc>
        <w:tc>
          <w:tcPr>
            <w:tcW w:w="1120" w:type="dxa"/>
            <w:vAlign w:val="bottom"/>
            <w:tcBorders>
              <w:bottom w:val="single" w:sz="8" w:color="auto"/>
              <w:right w:val="single" w:sz="8" w:color="auto"/>
            </w:tcBorders>
          </w:tcPr>
          <w:p>
            <w:pPr>
              <w:jc w:val="center"/>
              <w:ind w:left="66"/>
              <w:spacing w:after="0" w:line="124" w:lineRule="exact"/>
              <w:rPr>
                <w:sz w:val="20"/>
                <w:szCs w:val="20"/>
                <w:color w:val="auto"/>
              </w:rPr>
            </w:pPr>
            <w:r>
              <w:rPr>
                <w:rFonts w:ascii="Arial" w:cs="Arial" w:eastAsia="Arial" w:hAnsi="Arial"/>
                <w:sz w:val="11"/>
                <w:szCs w:val="11"/>
                <w:color w:val="auto"/>
                <w:w w:val="94"/>
              </w:rPr>
              <w:t>48,878</w:t>
            </w:r>
          </w:p>
        </w:tc>
        <w:tc>
          <w:tcPr>
            <w:tcW w:w="96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5.0%</w:t>
            </w:r>
          </w:p>
        </w:tc>
      </w:tr>
      <w:tr>
        <w:trPr>
          <w:trHeight w:val="124"/>
        </w:trPr>
        <w:tc>
          <w:tcPr>
            <w:tcW w:w="29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Share Information</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r>
      <w:tr>
        <w:trPr>
          <w:trHeight w:val="120"/>
        </w:trPr>
        <w:tc>
          <w:tcPr>
            <w:tcW w:w="298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Issued Shares</w:t>
            </w:r>
          </w:p>
        </w:tc>
        <w:tc>
          <w:tcPr>
            <w:tcW w:w="920" w:type="dxa"/>
            <w:vAlign w:val="bottom"/>
          </w:tcPr>
          <w:p>
            <w:pPr>
              <w:jc w:val="center"/>
              <w:spacing w:after="0" w:line="120" w:lineRule="exact"/>
              <w:rPr>
                <w:sz w:val="20"/>
                <w:szCs w:val="20"/>
                <w:color w:val="auto"/>
              </w:rPr>
            </w:pPr>
            <w:r>
              <w:rPr>
                <w:rFonts w:ascii="Arial" w:cs="Arial" w:eastAsia="Arial" w:hAnsi="Arial"/>
                <w:sz w:val="11"/>
                <w:szCs w:val="11"/>
                <w:color w:val="auto"/>
                <w:w w:val="94"/>
              </w:rPr>
              <w:t>94,382</w:t>
            </w:r>
          </w:p>
        </w:tc>
        <w:tc>
          <w:tcPr>
            <w:tcW w:w="960" w:type="dxa"/>
            <w:vAlign w:val="bottom"/>
          </w:tcPr>
          <w:p>
            <w:pPr>
              <w:jc w:val="center"/>
              <w:spacing w:after="0" w:line="120" w:lineRule="exact"/>
              <w:rPr>
                <w:sz w:val="20"/>
                <w:szCs w:val="20"/>
                <w:color w:val="auto"/>
              </w:rPr>
            </w:pPr>
            <w:r>
              <w:rPr>
                <w:rFonts w:ascii="Arial" w:cs="Arial" w:eastAsia="Arial" w:hAnsi="Arial"/>
                <w:sz w:val="11"/>
                <w:szCs w:val="11"/>
                <w:color w:val="auto"/>
                <w:w w:val="94"/>
              </w:rPr>
              <w:t>94,382</w:t>
            </w:r>
          </w:p>
        </w:tc>
        <w:tc>
          <w:tcPr>
            <w:tcW w:w="9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rPr>
              <w:t>94,382</w:t>
            </w:r>
          </w:p>
        </w:tc>
        <w:tc>
          <w:tcPr>
            <w:tcW w:w="680" w:type="dxa"/>
            <w:vAlign w:val="bottom"/>
          </w:tcPr>
          <w:p>
            <w:pPr>
              <w:jc w:val="center"/>
              <w:ind w:left="186"/>
              <w:spacing w:after="0" w:line="120" w:lineRule="exact"/>
              <w:rPr>
                <w:sz w:val="20"/>
                <w:szCs w:val="20"/>
                <w:color w:val="auto"/>
              </w:rPr>
            </w:pPr>
            <w:r>
              <w:rPr>
                <w:rFonts w:ascii="Arial" w:cs="Arial" w:eastAsia="Arial" w:hAnsi="Arial"/>
                <w:sz w:val="11"/>
                <w:szCs w:val="11"/>
                <w:color w:val="auto"/>
                <w:w w:val="95"/>
              </w:rPr>
              <w:t>0.0%</w:t>
            </w:r>
          </w:p>
        </w:tc>
        <w:tc>
          <w:tcPr>
            <w:tcW w:w="1220" w:type="dxa"/>
            <w:vAlign w:val="bottom"/>
            <w:tcBorders>
              <w:right w:val="single" w:sz="8" w:color="auto"/>
            </w:tcBorders>
          </w:tcPr>
          <w:p>
            <w:pPr>
              <w:jc w:val="center"/>
              <w:ind w:left="166"/>
              <w:spacing w:after="0" w:line="120" w:lineRule="exact"/>
              <w:rPr>
                <w:sz w:val="20"/>
                <w:szCs w:val="20"/>
                <w:color w:val="auto"/>
              </w:rPr>
            </w:pPr>
            <w:r>
              <w:rPr>
                <w:rFonts w:ascii="Arial" w:cs="Arial" w:eastAsia="Arial" w:hAnsi="Arial"/>
                <w:sz w:val="11"/>
                <w:szCs w:val="11"/>
                <w:color w:val="auto"/>
                <w:w w:val="95"/>
              </w:rPr>
              <w:t>0.0%</w:t>
            </w:r>
          </w:p>
        </w:tc>
        <w:tc>
          <w:tcPr>
            <w:tcW w:w="780" w:type="dxa"/>
            <w:vAlign w:val="bottom"/>
          </w:tcPr>
          <w:p>
            <w:pPr>
              <w:jc w:val="center"/>
              <w:ind w:left="86"/>
              <w:spacing w:after="0" w:line="120" w:lineRule="exact"/>
              <w:rPr>
                <w:sz w:val="20"/>
                <w:szCs w:val="20"/>
                <w:color w:val="auto"/>
              </w:rPr>
            </w:pPr>
            <w:r>
              <w:rPr>
                <w:rFonts w:ascii="Arial" w:cs="Arial" w:eastAsia="Arial" w:hAnsi="Arial"/>
                <w:sz w:val="11"/>
                <w:szCs w:val="11"/>
                <w:color w:val="auto"/>
                <w:w w:val="94"/>
              </w:rPr>
              <w:t>94,382</w:t>
            </w:r>
          </w:p>
        </w:tc>
        <w:tc>
          <w:tcPr>
            <w:tcW w:w="1120" w:type="dxa"/>
            <w:vAlign w:val="bottom"/>
            <w:tcBorders>
              <w:right w:val="single" w:sz="8" w:color="auto"/>
            </w:tcBorders>
          </w:tcPr>
          <w:p>
            <w:pPr>
              <w:jc w:val="center"/>
              <w:ind w:left="66"/>
              <w:spacing w:after="0" w:line="120" w:lineRule="exact"/>
              <w:rPr>
                <w:sz w:val="20"/>
                <w:szCs w:val="20"/>
                <w:color w:val="auto"/>
              </w:rPr>
            </w:pPr>
            <w:r>
              <w:rPr>
                <w:rFonts w:ascii="Arial" w:cs="Arial" w:eastAsia="Arial" w:hAnsi="Arial"/>
                <w:sz w:val="11"/>
                <w:szCs w:val="11"/>
                <w:color w:val="auto"/>
                <w:w w:val="94"/>
              </w:rPr>
              <w:t>94,382</w:t>
            </w:r>
          </w:p>
        </w:tc>
        <w:tc>
          <w:tcPr>
            <w:tcW w:w="9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5"/>
              </w:rPr>
              <w:t>0.0%</w:t>
            </w:r>
          </w:p>
        </w:tc>
      </w:tr>
      <w:tr>
        <w:trPr>
          <w:trHeight w:val="144"/>
        </w:trPr>
        <w:tc>
          <w:tcPr>
            <w:tcW w:w="298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1"/>
                <w:szCs w:val="11"/>
                <w:color w:val="auto"/>
              </w:rPr>
              <w:t>Treasury Shares</w:t>
            </w:r>
            <w:r>
              <w:rPr>
                <w:rFonts w:ascii="Arial" w:cs="Arial" w:eastAsia="Arial" w:hAnsi="Arial"/>
                <w:sz w:val="16"/>
                <w:szCs w:val="16"/>
                <w:color w:val="auto"/>
                <w:vertAlign w:val="superscript"/>
              </w:rPr>
              <w:t>(12)</w:t>
            </w:r>
          </w:p>
        </w:tc>
        <w:tc>
          <w:tcPr>
            <w:tcW w:w="920" w:type="dxa"/>
            <w:vAlign w:val="bottom"/>
          </w:tcPr>
          <w:p>
            <w:pPr>
              <w:jc w:val="center"/>
              <w:spacing w:after="0"/>
              <w:rPr>
                <w:sz w:val="20"/>
                <w:szCs w:val="20"/>
                <w:color w:val="auto"/>
              </w:rPr>
            </w:pPr>
            <w:r>
              <w:rPr>
                <w:rFonts w:ascii="Arial" w:cs="Arial" w:eastAsia="Arial" w:hAnsi="Arial"/>
                <w:sz w:val="11"/>
                <w:szCs w:val="11"/>
                <w:color w:val="auto"/>
                <w:w w:val="94"/>
              </w:rPr>
              <w:t>14,949</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15,016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15,016</w:t>
            </w:r>
          </w:p>
        </w:tc>
        <w:tc>
          <w:tcPr>
            <w:tcW w:w="680" w:type="dxa"/>
            <w:vAlign w:val="bottom"/>
          </w:tcPr>
          <w:p>
            <w:pPr>
              <w:jc w:val="center"/>
              <w:ind w:left="186"/>
              <w:spacing w:after="0"/>
              <w:rPr>
                <w:sz w:val="20"/>
                <w:szCs w:val="20"/>
                <w:color w:val="auto"/>
              </w:rPr>
            </w:pPr>
            <w:r>
              <w:rPr>
                <w:rFonts w:ascii="Arial" w:cs="Arial" w:eastAsia="Arial" w:hAnsi="Arial"/>
                <w:sz w:val="11"/>
                <w:szCs w:val="11"/>
                <w:color w:val="auto"/>
                <w:w w:val="95"/>
              </w:rPr>
              <w:t>0.0%</w:t>
            </w:r>
          </w:p>
        </w:tc>
        <w:tc>
          <w:tcPr>
            <w:tcW w:w="122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0.4%</w:t>
            </w:r>
          </w:p>
        </w:tc>
        <w:tc>
          <w:tcPr>
            <w:tcW w:w="780" w:type="dxa"/>
            <w:vAlign w:val="bottom"/>
          </w:tcPr>
          <w:p>
            <w:pPr>
              <w:jc w:val="center"/>
              <w:ind w:left="86"/>
              <w:spacing w:after="0"/>
              <w:rPr>
                <w:sz w:val="20"/>
                <w:szCs w:val="20"/>
                <w:color w:val="auto"/>
              </w:rPr>
            </w:pPr>
            <w:r>
              <w:rPr>
                <w:rFonts w:ascii="Arial" w:cs="Arial" w:eastAsia="Arial" w:hAnsi="Arial"/>
                <w:sz w:val="11"/>
                <w:szCs w:val="11"/>
                <w:color w:val="auto"/>
                <w:w w:val="94"/>
              </w:rPr>
              <w:t>14,949</w:t>
            </w:r>
          </w:p>
        </w:tc>
        <w:tc>
          <w:tcPr>
            <w:tcW w:w="1120" w:type="dxa"/>
            <w:vAlign w:val="bottom"/>
            <w:tcBorders>
              <w:right w:val="single" w:sz="8" w:color="auto"/>
            </w:tcBorders>
          </w:tcPr>
          <w:p>
            <w:pPr>
              <w:jc w:val="center"/>
              <w:ind w:left="66"/>
              <w:spacing w:after="0"/>
              <w:rPr>
                <w:sz w:val="20"/>
                <w:szCs w:val="20"/>
                <w:color w:val="auto"/>
              </w:rPr>
            </w:pPr>
            <w:r>
              <w:rPr>
                <w:rFonts w:ascii="Arial" w:cs="Arial" w:eastAsia="Arial" w:hAnsi="Arial"/>
                <w:sz w:val="11"/>
                <w:szCs w:val="11"/>
                <w:color w:val="auto"/>
                <w:w w:val="94"/>
              </w:rPr>
              <w:t>15,016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0.4%</w:t>
            </w:r>
          </w:p>
        </w:tc>
      </w:tr>
      <w:tr>
        <w:trPr>
          <w:trHeight w:val="132"/>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Outstanding Shares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4"/>
              </w:rPr>
              <w:t>79,433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4"/>
              </w:rPr>
              <w:t>79,366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79,366</w:t>
            </w:r>
          </w:p>
        </w:tc>
        <w:tc>
          <w:tcPr>
            <w:tcW w:w="68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color w:val="auto"/>
                <w:w w:val="95"/>
              </w:rPr>
              <w:t>0.0%</w:t>
            </w:r>
          </w:p>
        </w:tc>
        <w:tc>
          <w:tcPr>
            <w:tcW w:w="1220" w:type="dxa"/>
            <w:vAlign w:val="bottom"/>
            <w:tcBorders>
              <w:bottom w:val="single" w:sz="8" w:color="auto"/>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-0.1%</w:t>
            </w:r>
          </w:p>
        </w:tc>
        <w:tc>
          <w:tcPr>
            <w:tcW w:w="78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color w:val="auto"/>
                <w:w w:val="94"/>
              </w:rPr>
              <w:t>79,433</w:t>
            </w:r>
          </w:p>
        </w:tc>
        <w:tc>
          <w:tcPr>
            <w:tcW w:w="1120" w:type="dxa"/>
            <w:vAlign w:val="bottom"/>
            <w:tcBorders>
              <w:bottom w:val="single" w:sz="8" w:color="auto"/>
              <w:right w:val="single" w:sz="8" w:color="auto"/>
            </w:tcBorders>
          </w:tcPr>
          <w:p>
            <w:pPr>
              <w:jc w:val="center"/>
              <w:ind w:left="66"/>
              <w:spacing w:after="0"/>
              <w:rPr>
                <w:sz w:val="20"/>
                <w:szCs w:val="20"/>
                <w:color w:val="auto"/>
              </w:rPr>
            </w:pPr>
            <w:r>
              <w:rPr>
                <w:rFonts w:ascii="Arial" w:cs="Arial" w:eastAsia="Arial" w:hAnsi="Arial"/>
                <w:sz w:val="11"/>
                <w:szCs w:val="11"/>
                <w:color w:val="auto"/>
                <w:w w:val="94"/>
              </w:rPr>
              <w:t>79,366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-0.1%</w:t>
            </w:r>
          </w:p>
        </w:tc>
      </w:tr>
    </w:tbl>
    <w:p>
      <w:pPr>
        <w:spacing w:after="0" w:line="132" w:lineRule="exact"/>
        <w:rPr>
          <w:sz w:val="20"/>
          <w:szCs w:val="20"/>
          <w:color w:val="auto"/>
        </w:rPr>
      </w:pPr>
    </w:p>
    <w:p>
      <w:pPr>
        <w:ind w:left="160" w:hanging="154"/>
        <w:spacing w:after="0"/>
        <w:tabs>
          <w:tab w:leader="none" w:pos="160" w:val="left"/>
        </w:tabs>
        <w:numPr>
          <w:ilvl w:val="0"/>
          <w:numId w:val="4"/>
        </w:numPr>
        <w:rPr>
          <w:rFonts w:ascii="Arial" w:cs="Arial" w:eastAsia="Arial" w:hAnsi="Arial"/>
          <w:sz w:val="11"/>
          <w:szCs w:val="11"/>
          <w:color w:val="auto"/>
        </w:rPr>
      </w:pPr>
      <w:r>
        <w:rPr>
          <w:rFonts w:ascii="Arial" w:cs="Arial" w:eastAsia="Arial" w:hAnsi="Arial"/>
          <w:sz w:val="11"/>
          <w:szCs w:val="11"/>
          <w:color w:val="auto"/>
        </w:rPr>
        <w:t>Net Interest Margin = Net Interest Income (Excluding Net Insurance Financial Expenses)/ Average Interest Earning Assets</w:t>
      </w:r>
    </w:p>
    <w:p>
      <w:pPr>
        <w:spacing w:after="0" w:line="15" w:lineRule="exact"/>
        <w:rPr>
          <w:rFonts w:ascii="Arial" w:cs="Arial" w:eastAsia="Arial" w:hAnsi="Arial"/>
          <w:sz w:val="11"/>
          <w:szCs w:val="11"/>
          <w:color w:val="auto"/>
        </w:rPr>
      </w:pPr>
    </w:p>
    <w:p>
      <w:pPr>
        <w:ind w:left="160" w:hanging="154"/>
        <w:spacing w:after="0"/>
        <w:tabs>
          <w:tab w:leader="none" w:pos="160" w:val="left"/>
        </w:tabs>
        <w:numPr>
          <w:ilvl w:val="0"/>
          <w:numId w:val="4"/>
        </w:numPr>
        <w:rPr>
          <w:rFonts w:ascii="Arial" w:cs="Arial" w:eastAsia="Arial" w:hAnsi="Arial"/>
          <w:sz w:val="11"/>
          <w:szCs w:val="11"/>
          <w:color w:val="auto"/>
        </w:rPr>
      </w:pPr>
      <w:r>
        <w:rPr>
          <w:rFonts w:ascii="Arial" w:cs="Arial" w:eastAsia="Arial" w:hAnsi="Arial"/>
          <w:sz w:val="11"/>
          <w:szCs w:val="11"/>
          <w:color w:val="auto"/>
        </w:rPr>
        <w:t>Funding Cost = Interest Expense (Does not include Net Insurance Financial Expenses) / Average Funding</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Internal Overdue Loans: include overdue loans and loans under legal collection, according to our internal policy for overdue loans. Internal Overdue Ratio: Internal overdue loans/ Total loans</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4"/>
        </w:numPr>
        <w:rPr>
          <w:rFonts w:ascii="Arial" w:cs="Arial" w:eastAsia="Arial" w:hAnsi="Arial"/>
          <w:sz w:val="11"/>
          <w:szCs w:val="11"/>
          <w:color w:val="auto"/>
        </w:rPr>
      </w:pPr>
      <w:r>
        <w:rPr>
          <w:rFonts w:ascii="Arial" w:cs="Arial" w:eastAsia="Arial" w:hAnsi="Arial"/>
          <w:sz w:val="11"/>
          <w:szCs w:val="11"/>
          <w:color w:val="auto"/>
        </w:rPr>
        <w:t>Non-performing loans (NPL): Internal overdue loans + Refinanced loans. NPL ratio: NPL / Total loans.</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4"/>
        </w:numPr>
        <w:rPr>
          <w:rFonts w:ascii="Arial" w:cs="Arial" w:eastAsia="Arial" w:hAnsi="Arial"/>
          <w:sz w:val="11"/>
          <w:szCs w:val="11"/>
          <w:color w:val="auto"/>
        </w:rPr>
      </w:pPr>
      <w:r>
        <w:rPr>
          <w:rFonts w:ascii="Arial" w:cs="Arial" w:eastAsia="Arial" w:hAnsi="Arial"/>
          <w:sz w:val="11"/>
          <w:szCs w:val="11"/>
          <w:color w:val="auto"/>
        </w:rPr>
        <w:t>Cost of risk = Annualized provision for loan losses, net of recoveries/ Total loans.</w:t>
      </w:r>
    </w:p>
    <w:p>
      <w:pPr>
        <w:spacing w:after="0" w:line="5" w:lineRule="exact"/>
        <w:rPr>
          <w:rFonts w:ascii="Arial" w:cs="Arial" w:eastAsia="Arial" w:hAnsi="Arial"/>
          <w:sz w:val="11"/>
          <w:szCs w:val="11"/>
          <w:color w:val="auto"/>
        </w:rPr>
      </w:pPr>
    </w:p>
    <w:p>
      <w:pPr>
        <w:ind w:right="220" w:firstLine="6"/>
        <w:spacing w:after="0" w:line="250" w:lineRule="auto"/>
        <w:tabs>
          <w:tab w:leader="none" w:pos="162" w:val="left"/>
        </w:tabs>
        <w:numPr>
          <w:ilvl w:val="0"/>
          <w:numId w:val="4"/>
        </w:numPr>
        <w:rPr>
          <w:rFonts w:ascii="Arial" w:cs="Arial" w:eastAsia="Arial" w:hAnsi="Arial"/>
          <w:sz w:val="11"/>
          <w:szCs w:val="11"/>
          <w:color w:val="auto"/>
        </w:rPr>
      </w:pPr>
      <w:r>
        <w:rPr>
          <w:rFonts w:ascii="Arial" w:cs="Arial" w:eastAsia="Arial" w:hAnsi="Arial"/>
          <w:sz w:val="11"/>
          <w:szCs w:val="11"/>
          <w:color w:val="auto"/>
        </w:rPr>
        <w:t>Operating Income = Net interest, similar income and expenses + Fee Income+ Net gain on foreign exchange transactions + Net Gain From associates + Net gain on derivatives held for trading + Result on exchange differences + Insurance Underwriting Result + Results for Medical Services</w:t>
      </w:r>
    </w:p>
    <w:p>
      <w:pPr>
        <w:ind w:left="160" w:hanging="154"/>
        <w:spacing w:after="0"/>
        <w:tabs>
          <w:tab w:leader="none" w:pos="160" w:val="left"/>
        </w:tabs>
        <w:numPr>
          <w:ilvl w:val="0"/>
          <w:numId w:val="4"/>
        </w:numPr>
        <w:rPr>
          <w:rFonts w:ascii="Arial" w:cs="Arial" w:eastAsia="Arial" w:hAnsi="Arial"/>
          <w:sz w:val="11"/>
          <w:szCs w:val="11"/>
          <w:color w:val="auto"/>
        </w:rPr>
      </w:pPr>
      <w:r>
        <w:rPr>
          <w:rFonts w:ascii="Arial" w:cs="Arial" w:eastAsia="Arial" w:hAnsi="Arial"/>
          <w:sz w:val="11"/>
          <w:szCs w:val="11"/>
          <w:color w:val="auto"/>
        </w:rPr>
        <w:t>Operating Expenses = Salaries and employee benefits + Administrative expenses + Depreciation and amortization + Association in participation</w:t>
      </w:r>
    </w:p>
    <w:p>
      <w:pPr>
        <w:spacing w:after="0" w:line="5" w:lineRule="exact"/>
        <w:rPr>
          <w:rFonts w:ascii="Arial" w:cs="Arial" w:eastAsia="Arial" w:hAnsi="Arial"/>
          <w:sz w:val="11"/>
          <w:szCs w:val="11"/>
          <w:color w:val="auto"/>
        </w:rPr>
      </w:pPr>
    </w:p>
    <w:p>
      <w:pPr>
        <w:ind w:right="280" w:firstLine="6"/>
        <w:spacing w:after="0" w:line="250" w:lineRule="auto"/>
        <w:tabs>
          <w:tab w:leader="none" w:pos="162" w:val="left"/>
        </w:tabs>
        <w:numPr>
          <w:ilvl w:val="0"/>
          <w:numId w:val="4"/>
        </w:numPr>
        <w:rPr>
          <w:rFonts w:ascii="Arial" w:cs="Arial" w:eastAsia="Arial" w:hAnsi="Arial"/>
          <w:sz w:val="11"/>
          <w:szCs w:val="11"/>
          <w:color w:val="auto"/>
        </w:rPr>
      </w:pPr>
      <w:r>
        <w:rPr>
          <w:rFonts w:ascii="Arial" w:cs="Arial" w:eastAsia="Arial" w:hAnsi="Arial"/>
          <w:sz w:val="11"/>
          <w:szCs w:val="11"/>
          <w:color w:val="auto"/>
        </w:rPr>
        <w:t>Efficiency Ratio = (Salaries and employee benefits + Administrative expenses + Depreciation and amortization + Association in participation) / (Net interest, similar income and expenses + Fee Income+ Net gain on foreign exchange transactions + Net Gain From associates + Net gain on derivatives held for trading + Result on exchange differences + Insurance Underwriting Result + Results for Medical Services)</w:t>
      </w:r>
    </w:p>
    <w:p>
      <w:pPr>
        <w:ind w:left="160" w:hanging="154"/>
        <w:spacing w:after="0"/>
        <w:tabs>
          <w:tab w:leader="none" w:pos="1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Regulatory Capital/ Risk-weighted assets (legal minimum = 10% since July 2011).</w:t>
      </w:r>
    </w:p>
    <w:p>
      <w:pPr>
        <w:spacing w:after="0" w:line="5" w:lineRule="exact"/>
        <w:rPr>
          <w:rFonts w:ascii="Arial" w:cs="Arial" w:eastAsia="Arial" w:hAnsi="Arial"/>
          <w:sz w:val="11"/>
          <w:szCs w:val="11"/>
          <w:color w:val="auto"/>
        </w:rPr>
      </w:pPr>
    </w:p>
    <w:p>
      <w:pPr>
        <w:ind w:firstLine="6"/>
        <w:spacing w:after="0" w:line="275" w:lineRule="auto"/>
        <w:tabs>
          <w:tab w:leader="none" w:pos="222" w:val="left"/>
        </w:tabs>
        <w:numPr>
          <w:ilvl w:val="0"/>
          <w:numId w:val="4"/>
        </w:numPr>
        <w:rPr>
          <w:rFonts w:ascii="Arial" w:cs="Arial" w:eastAsia="Arial" w:hAnsi="Arial"/>
          <w:sz w:val="10"/>
          <w:szCs w:val="10"/>
          <w:color w:val="auto"/>
        </w:rPr>
      </w:pPr>
      <w:r>
        <w:rPr>
          <w:rFonts w:ascii="Arial" w:cs="Arial" w:eastAsia="Arial" w:hAnsi="Arial"/>
          <w:sz w:val="10"/>
          <w:szCs w:val="10"/>
          <w:color w:val="auto"/>
        </w:rPr>
        <w:t>Tier 1 = Capital + Legal and other capital reserves + Accumulated earnings with capitalization agreement + (0.5 x Unrealized profit and net income in subsidiaries) - Goodwill - (0.5 x Investment in subsidiaries) + Perpetual subordinated debt (the maximum amount that can be included is 17.65% of Capital + Reserves + Accumulated earnings with capitalization agreement + Unrealized profit and net income in subsidiaries - Goodwill).</w:t>
      </w:r>
    </w:p>
    <w:p>
      <w:pPr>
        <w:ind w:right="40" w:firstLine="6"/>
        <w:spacing w:after="0" w:line="250" w:lineRule="auto"/>
        <w:tabs>
          <w:tab w:leader="none" w:pos="228" w:val="left"/>
        </w:tabs>
        <w:numPr>
          <w:ilvl w:val="0"/>
          <w:numId w:val="4"/>
        </w:numPr>
        <w:rPr>
          <w:rFonts w:ascii="Arial" w:cs="Arial" w:eastAsia="Arial" w:hAnsi="Arial"/>
          <w:sz w:val="11"/>
          <w:szCs w:val="11"/>
          <w:color w:val="auto"/>
        </w:rPr>
      </w:pPr>
      <w:r>
        <w:rPr>
          <w:rFonts w:ascii="Arial" w:cs="Arial" w:eastAsia="Arial" w:hAnsi="Arial"/>
          <w:sz w:val="11"/>
          <w:szCs w:val="11"/>
          <w:color w:val="auto"/>
        </w:rPr>
        <w:t>Common Equity Tier I = Capital + Reserves – 100% of applicable deductions (investment in subsidiaries, goodwill, intangibles, and net deferred taxes that rely on future profitability) + retained earnings+ unrealized gains.</w:t>
      </w:r>
    </w:p>
    <w:p>
      <w:pPr>
        <w:ind w:left="220" w:hanging="214"/>
        <w:spacing w:after="0"/>
        <w:tabs>
          <w:tab w:leader="none" w:pos="220" w:val="left"/>
        </w:tabs>
        <w:numPr>
          <w:ilvl w:val="0"/>
          <w:numId w:val="4"/>
        </w:numPr>
        <w:rPr>
          <w:rFonts w:ascii="Arial" w:cs="Arial" w:eastAsia="Arial" w:hAnsi="Arial"/>
          <w:sz w:val="11"/>
          <w:szCs w:val="11"/>
          <w:color w:val="auto"/>
        </w:rPr>
      </w:pPr>
      <w:r>
        <w:rPr>
          <w:rFonts w:ascii="Arial" w:cs="Arial" w:eastAsia="Arial" w:hAnsi="Arial"/>
          <w:sz w:val="11"/>
          <w:szCs w:val="11"/>
          <w:color w:val="auto"/>
        </w:rPr>
        <w:t>Consider shares held by Atlantic Security Holding Corporation (ASHC) and stock awards.</w:t>
      </w:r>
    </w:p>
    <w:p>
      <w:pPr>
        <w:spacing w:after="0" w:line="5" w:lineRule="exact"/>
        <w:rPr>
          <w:rFonts w:ascii="Arial" w:cs="Arial" w:eastAsia="Arial" w:hAnsi="Arial"/>
          <w:sz w:val="11"/>
          <w:szCs w:val="11"/>
          <w:color w:val="auto"/>
        </w:rPr>
      </w:pPr>
    </w:p>
    <w:p>
      <w:pPr>
        <w:ind w:left="220" w:hanging="214"/>
        <w:spacing w:after="0"/>
        <w:tabs>
          <w:tab w:leader="none" w:pos="220" w:val="left"/>
        </w:tabs>
        <w:numPr>
          <w:ilvl w:val="0"/>
          <w:numId w:val="4"/>
        </w:numPr>
        <w:rPr>
          <w:rFonts w:ascii="Arial" w:cs="Arial" w:eastAsia="Arial" w:hAnsi="Arial"/>
          <w:sz w:val="11"/>
          <w:szCs w:val="11"/>
          <w:color w:val="auto"/>
        </w:rPr>
      </w:pPr>
      <w:r>
        <w:rPr>
          <w:rFonts w:ascii="Arial" w:cs="Arial" w:eastAsia="Arial" w:hAnsi="Arial"/>
          <w:sz w:val="11"/>
          <w:szCs w:val="11"/>
          <w:color w:val="auto"/>
        </w:rPr>
        <w:t>Common Equity Tier I calculated based on IFRS Accounting.</w:t>
      </w:r>
    </w:p>
    <w:p>
      <w:pPr>
        <w:spacing w:after="0" w:line="5" w:lineRule="exact"/>
        <w:rPr>
          <w:rFonts w:ascii="Arial" w:cs="Arial" w:eastAsia="Arial" w:hAnsi="Arial"/>
          <w:sz w:val="11"/>
          <w:szCs w:val="11"/>
          <w:color w:val="auto"/>
        </w:rPr>
      </w:pPr>
    </w:p>
    <w:p>
      <w:pPr>
        <w:ind w:left="220" w:hanging="214"/>
        <w:spacing w:after="0"/>
        <w:tabs>
          <w:tab w:leader="none" w:pos="22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Internal management figures. Since 1Q25, it has included corporate health and medical services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728980</wp:posOffset>
            </wp:positionV>
            <wp:extent cx="670750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104140</wp:posOffset>
            </wp:positionV>
            <wp:extent cx="6029325" cy="5257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29325" cy="525780"/>
                    </a:xfrm>
                    <a:prstGeom prst="rect">
                      <a:avLst/>
                    </a:prstGeom>
                    <a:noFill/>
                  </pic:spPr>
                </pic:pic>
              </a:graphicData>
            </a:graphic>
          </wp:anchor>
        </w:drawing>
      </w:r>
    </w:p>
    <w:p>
      <w:pPr>
        <w:sectPr>
          <w:pgSz w:w="11900" w:h="16840" w:orient="portrait"/>
          <w:cols w:equalWidth="0" w:num="1">
            <w:col w:w="10600"/>
          </w:cols>
          <w:pgMar w:left="660" w:top="893" w:right="640" w:bottom="1440" w:gutter="0" w:footer="0" w:header="0"/>
        </w:sectPr>
      </w:pPr>
    </w:p>
    <w:bookmarkStart w:id="13" w:name="page14"/>
    <w:bookmarkEnd w:id="13"/>
    <w:p>
      <w:pPr>
        <w:ind w:left="256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391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07505" cy="7391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Credicorp’s Strategy Update</w:t>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color w:val="E93BAC"/>
        </w:rPr>
        <w:t>Credicorp Strategy</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At the Investor Day 2025, Credicorp reaffirmed its strategy, which is based on four fundamental fronts: (i) developing talent with an innovative mindset,</w:t>
      </w:r>
    </w:p>
    <w:p>
      <w:pPr>
        <w:spacing w:after="0" w:line="33" w:lineRule="exact"/>
        <w:rPr>
          <w:sz w:val="20"/>
          <w:szCs w:val="20"/>
          <w:color w:val="auto"/>
        </w:rPr>
      </w:pPr>
    </w:p>
    <w:p>
      <w:pPr>
        <w:jc w:val="both"/>
        <w:ind w:firstLine="6"/>
        <w:spacing w:after="0" w:line="238" w:lineRule="auto"/>
        <w:tabs>
          <w:tab w:leader="none" w:pos="288" w:val="left"/>
        </w:tabs>
        <w:numPr>
          <w:ilvl w:val="0"/>
          <w:numId w:val="5"/>
        </w:numPr>
        <w:rPr>
          <w:rFonts w:ascii="Arial" w:cs="Arial" w:eastAsia="Arial" w:hAnsi="Arial"/>
          <w:sz w:val="16"/>
          <w:szCs w:val="16"/>
          <w:color w:val="auto"/>
        </w:rPr>
      </w:pPr>
      <w:r>
        <w:rPr>
          <w:rFonts w:ascii="Arial" w:cs="Arial" w:eastAsia="Arial" w:hAnsi="Arial"/>
          <w:sz w:val="16"/>
          <w:szCs w:val="16"/>
          <w:color w:val="auto"/>
        </w:rPr>
        <w:t>on-going discipline in the execution stage, (iii) robust risk management and (iv) governance aligned with the best international practices and sustainability. Over the three decades following Credicorp’s listing on the NYSE, these fronts have allowed the company to decouple its performance from macroeconomic volatility. This attests to the Group’s unique capacity to anticipate and lead transformation in the financial sector in Latin America while generating an average annual return for shareholders of 14.1%, which has consistently topped the market average.</w:t>
      </w:r>
    </w:p>
    <w:p>
      <w:pPr>
        <w:spacing w:after="0" w:line="14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Currently, Credicorp has evolved from a traditional financial holding into an integral ecosystem for services. The strategy is articulated into three main pillars:</w:t>
      </w:r>
    </w:p>
    <w:p>
      <w:pPr>
        <w:spacing w:after="0" w:line="126" w:lineRule="exact"/>
        <w:rPr>
          <w:sz w:val="20"/>
          <w:szCs w:val="20"/>
          <w:color w:val="auto"/>
        </w:rPr>
      </w:pPr>
    </w:p>
    <w:p>
      <w:pPr>
        <w:ind w:left="580" w:right="20" w:hanging="286"/>
        <w:spacing w:after="0" w:line="243"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Scalability and monetization of the ecosystem: Credicorp accelerates financial inclusion and expansion of the formal economy, generating new income flows and deepening relationships with more than 18 million clients.</w:t>
      </w:r>
    </w:p>
    <w:p>
      <w:pPr>
        <w:spacing w:after="0" w:line="1" w:lineRule="exact"/>
        <w:rPr>
          <w:rFonts w:ascii="Arial" w:cs="Arial" w:eastAsia="Arial" w:hAnsi="Arial"/>
          <w:sz w:val="16"/>
          <w:szCs w:val="16"/>
          <w:color w:val="auto"/>
        </w:rPr>
      </w:pPr>
    </w:p>
    <w:p>
      <w:pPr>
        <w:ind w:left="580" w:right="20" w:hanging="286"/>
        <w:spacing w:after="0" w:line="234"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drive growth through business synergies: By sharing capabilities in data, artificial intelligence, and cross-functional platforms, we diversify our value proposition, unlock new revenue streams, expand our reach to underserved segments and enhance operating efficiency.</w:t>
      </w:r>
    </w:p>
    <w:p>
      <w:pPr>
        <w:spacing w:after="0" w:line="1" w:lineRule="exact"/>
        <w:rPr>
          <w:rFonts w:ascii="Arial" w:cs="Arial" w:eastAsia="Arial" w:hAnsi="Arial"/>
          <w:sz w:val="16"/>
          <w:szCs w:val="16"/>
          <w:color w:val="auto"/>
        </w:rPr>
      </w:pPr>
    </w:p>
    <w:p>
      <w:pPr>
        <w:ind w:left="580" w:right="20" w:hanging="286"/>
        <w:spacing w:after="0" w:line="244"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Discipline in execution and creation of sustainable value: maintaining an eye on long-term profitability and efficient allotment of capital, backed by robust governance.</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6"/>
          <w:szCs w:val="16"/>
          <w:color w:val="auto"/>
        </w:rPr>
        <w:t>At the event, Credicorp reaffirmed its goal to achieve a medium-term ROE of 19.5% and an efficiency ratio close to 42%, primarily supported by income growth outpacing expense growth. Income growth will be driven by accelerated loan expansion through deeper penetration into higher- yielding segments, and by scaling fee- based businesses. The innovation portfolio, led by Yape, continues to scale and monetize, representing 7.4% of risk-adjusted revenue for 3Q25, as we advance towards our target of 10% for 2026. Credicorp will continue to generate new sources of revenue through a diversified portfolio of initiatives, including consolidating its bancassurance business; developing supply chain finance solutions; and expanding microcredit, microinsurance, and Mibanco services. These initiatives will bolster resilience in the face of changing macroeconomic cycles.</w:t>
      </w:r>
    </w:p>
    <w:p>
      <w:pPr>
        <w:spacing w:after="0" w:line="144" w:lineRule="exact"/>
        <w:rPr>
          <w:sz w:val="20"/>
          <w:szCs w:val="20"/>
          <w:color w:val="auto"/>
        </w:rPr>
      </w:pPr>
    </w:p>
    <w:p>
      <w:pPr>
        <w:ind w:right="3640"/>
        <w:spacing w:after="0" w:line="364" w:lineRule="auto"/>
        <w:rPr>
          <w:sz w:val="20"/>
          <w:szCs w:val="20"/>
          <w:color w:val="auto"/>
        </w:rPr>
      </w:pPr>
      <w:r>
        <w:rPr>
          <w:rFonts w:ascii="Arial" w:cs="Arial" w:eastAsia="Arial" w:hAnsi="Arial"/>
          <w:sz w:val="16"/>
          <w:szCs w:val="16"/>
          <w:color w:val="auto"/>
        </w:rPr>
        <w:t xml:space="preserve">To view a repeat of Investor Day, checkout the webcast in the following link: </w:t>
      </w:r>
      <w:r>
        <w:rPr>
          <w:rFonts w:ascii="Arial" w:cs="Arial" w:eastAsia="Arial" w:hAnsi="Arial"/>
          <w:sz w:val="16"/>
          <w:szCs w:val="16"/>
          <w:u w:val="single" w:color="auto"/>
          <w:color w:val="auto"/>
        </w:rPr>
        <w:t>www.credicorpday.com</w:t>
      </w:r>
      <w:r>
        <w:rPr>
          <w:rFonts w:ascii="Arial" w:cs="Arial" w:eastAsia="Arial" w:hAnsi="Arial"/>
          <w:sz w:val="16"/>
          <w:szCs w:val="16"/>
          <w:color w:val="auto"/>
        </w:rPr>
        <w:t xml:space="preserve"> </w:t>
      </w:r>
      <w:r>
        <w:rPr>
          <w:rFonts w:ascii="Arial" w:cs="Arial" w:eastAsia="Arial" w:hAnsi="Arial"/>
          <w:sz w:val="16"/>
          <w:szCs w:val="16"/>
          <w:b w:val="1"/>
          <w:bCs w:val="1"/>
          <w:color w:val="auto"/>
        </w:rPr>
        <w:t>Main KPIs of Credicorp’s Strategy</w:t>
      </w:r>
    </w:p>
    <w:tbl>
      <w:tblPr>
        <w:tblLayout w:type="fixed"/>
        <w:tblInd w:w="1070" w:type="dxa"/>
        <w:tblCellMar>
          <w:top w:w="0" w:type="dxa"/>
          <w:left w:w="0" w:type="dxa"/>
          <w:bottom w:w="0" w:type="dxa"/>
          <w:right w:w="0" w:type="dxa"/>
        </w:tblCellMar>
      </w:tblPr>
      <w:tr>
        <w:trPr>
          <w:trHeight w:val="129"/>
        </w:trPr>
        <w:tc>
          <w:tcPr>
            <w:tcW w:w="3800" w:type="dxa"/>
            <w:vAlign w:val="bottom"/>
            <w:tcBorders>
              <w:top w:val="single" w:sz="8" w:color="auto"/>
              <w:left w:val="single" w:sz="8" w:color="auto"/>
              <w:right w:val="single" w:sz="8" w:color="auto"/>
            </w:tcBorders>
            <w:vMerge w:val="restart"/>
            <w:shd w:val="clear" w:color="auto" w:fill="33CCCC"/>
          </w:tcPr>
          <w:p>
            <w:pPr>
              <w:ind w:left="20"/>
              <w:spacing w:after="0"/>
              <w:rPr>
                <w:sz w:val="20"/>
                <w:szCs w:val="20"/>
                <w:color w:val="auto"/>
              </w:rPr>
            </w:pPr>
            <w:r>
              <w:rPr>
                <w:rFonts w:ascii="Arial" w:cs="Arial" w:eastAsia="Arial" w:hAnsi="Arial"/>
                <w:sz w:val="13"/>
                <w:szCs w:val="13"/>
                <w:b w:val="1"/>
                <w:bCs w:val="1"/>
                <w:color w:val="FFFFFF"/>
              </w:rPr>
              <w:t xml:space="preserve">Core Businesses Transformation </w:t>
            </w:r>
            <w:r>
              <w:rPr>
                <w:rFonts w:ascii="Arial" w:cs="Arial" w:eastAsia="Arial" w:hAnsi="Arial"/>
                <w:sz w:val="21"/>
                <w:szCs w:val="21"/>
                <w:b w:val="1"/>
                <w:bCs w:val="1"/>
                <w:color w:val="FFFFFF"/>
                <w:vertAlign w:val="superscript"/>
              </w:rPr>
              <w:t>(1)</w:t>
            </w:r>
          </w:p>
        </w:tc>
        <w:tc>
          <w:tcPr>
            <w:tcW w:w="900" w:type="dxa"/>
            <w:vAlign w:val="bottom"/>
            <w:tcBorders>
              <w:top w:val="single" w:sz="8" w:color="auto"/>
            </w:tcBorders>
            <w:shd w:val="clear" w:color="auto" w:fill="33CCCC"/>
          </w:tcPr>
          <w:p>
            <w:pPr>
              <w:spacing w:after="0"/>
              <w:rPr>
                <w:sz w:val="11"/>
                <w:szCs w:val="11"/>
                <w:color w:val="auto"/>
              </w:rPr>
            </w:pPr>
          </w:p>
        </w:tc>
        <w:tc>
          <w:tcPr>
            <w:tcW w:w="980" w:type="dxa"/>
            <w:vAlign w:val="bottom"/>
            <w:tcBorders>
              <w:top w:val="single" w:sz="8" w:color="auto"/>
            </w:tcBorders>
            <w:shd w:val="clear" w:color="auto" w:fill="33CCCC"/>
          </w:tcPr>
          <w:p>
            <w:pPr>
              <w:ind w:left="240"/>
              <w:spacing w:after="0" w:line="129" w:lineRule="exact"/>
              <w:rPr>
                <w:sz w:val="20"/>
                <w:szCs w:val="20"/>
                <w:color w:val="auto"/>
              </w:rPr>
            </w:pPr>
            <w:r>
              <w:rPr>
                <w:rFonts w:ascii="Arial" w:cs="Arial" w:eastAsia="Arial" w:hAnsi="Arial"/>
                <w:sz w:val="13"/>
                <w:szCs w:val="13"/>
                <w:b w:val="1"/>
                <w:bCs w:val="1"/>
                <w:color w:val="FFFFFF"/>
              </w:rPr>
              <w:t>Quarter</w:t>
            </w:r>
          </w:p>
        </w:tc>
        <w:tc>
          <w:tcPr>
            <w:tcW w:w="900" w:type="dxa"/>
            <w:vAlign w:val="bottom"/>
            <w:tcBorders>
              <w:top w:val="single" w:sz="8" w:color="auto"/>
              <w:right w:val="single" w:sz="8" w:color="auto"/>
            </w:tcBorders>
            <w:shd w:val="clear" w:color="auto" w:fill="33CCCC"/>
          </w:tcPr>
          <w:p>
            <w:pPr>
              <w:spacing w:after="0"/>
              <w:rPr>
                <w:sz w:val="11"/>
                <w:szCs w:val="11"/>
                <w:color w:val="auto"/>
              </w:rPr>
            </w:pPr>
          </w:p>
        </w:tc>
        <w:tc>
          <w:tcPr>
            <w:tcW w:w="720" w:type="dxa"/>
            <w:vAlign w:val="bottom"/>
            <w:tcBorders>
              <w:top w:val="single" w:sz="8" w:color="auto"/>
            </w:tcBorders>
            <w:shd w:val="clear" w:color="auto" w:fill="33CCCC"/>
          </w:tcPr>
          <w:p>
            <w:pPr>
              <w:spacing w:after="0"/>
              <w:rPr>
                <w:sz w:val="11"/>
                <w:szCs w:val="11"/>
                <w:color w:val="auto"/>
              </w:rPr>
            </w:pPr>
          </w:p>
        </w:tc>
        <w:tc>
          <w:tcPr>
            <w:tcW w:w="1160" w:type="dxa"/>
            <w:vAlign w:val="bottom"/>
            <w:tcBorders>
              <w:top w:val="single" w:sz="8" w:color="auto"/>
              <w:right w:val="single" w:sz="8" w:color="auto"/>
            </w:tcBorders>
            <w:shd w:val="clear" w:color="auto" w:fill="33CCCC"/>
          </w:tcPr>
          <w:p>
            <w:pPr>
              <w:ind w:left="40"/>
              <w:spacing w:after="0" w:line="129" w:lineRule="exact"/>
              <w:rPr>
                <w:sz w:val="20"/>
                <w:szCs w:val="20"/>
                <w:color w:val="auto"/>
              </w:rPr>
            </w:pPr>
            <w:r>
              <w:rPr>
                <w:rFonts w:ascii="Arial" w:cs="Arial" w:eastAsia="Arial" w:hAnsi="Arial"/>
                <w:sz w:val="13"/>
                <w:szCs w:val="13"/>
                <w:b w:val="1"/>
                <w:bCs w:val="1"/>
                <w:color w:val="FFFFFF"/>
              </w:rPr>
              <w:t>Up to</w:t>
            </w:r>
          </w:p>
        </w:tc>
        <w:tc>
          <w:tcPr>
            <w:tcW w:w="0" w:type="dxa"/>
            <w:vAlign w:val="bottom"/>
          </w:tcPr>
          <w:p>
            <w:pPr>
              <w:spacing w:after="0"/>
              <w:rPr>
                <w:sz w:val="1"/>
                <w:szCs w:val="1"/>
                <w:color w:val="auto"/>
              </w:rPr>
            </w:pPr>
          </w:p>
        </w:tc>
      </w:tr>
      <w:tr>
        <w:trPr>
          <w:trHeight w:val="156"/>
        </w:trPr>
        <w:tc>
          <w:tcPr>
            <w:tcW w:w="3800" w:type="dxa"/>
            <w:vAlign w:val="bottom"/>
            <w:tcBorders>
              <w:left w:val="single" w:sz="8" w:color="auto"/>
              <w:bottom w:val="single" w:sz="8" w:color="33CCCC"/>
              <w:right w:val="single" w:sz="8" w:color="auto"/>
            </w:tcBorders>
            <w:vMerge w:val="continue"/>
            <w:shd w:val="clear" w:color="auto" w:fill="33CCCC"/>
          </w:tcPr>
          <w:p>
            <w:pPr>
              <w:spacing w:after="0"/>
              <w:rPr>
                <w:sz w:val="13"/>
                <w:szCs w:val="13"/>
                <w:color w:val="auto"/>
              </w:rPr>
            </w:pPr>
          </w:p>
        </w:tc>
        <w:tc>
          <w:tcPr>
            <w:tcW w:w="90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3Q24</w:t>
            </w:r>
          </w:p>
        </w:tc>
        <w:tc>
          <w:tcPr>
            <w:tcW w:w="98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2Q25</w:t>
            </w:r>
          </w:p>
        </w:tc>
        <w:tc>
          <w:tcPr>
            <w:tcW w:w="90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3Q25</w:t>
            </w:r>
          </w:p>
        </w:tc>
        <w:tc>
          <w:tcPr>
            <w:tcW w:w="720" w:type="dxa"/>
            <w:vAlign w:val="bottom"/>
            <w:tcBorders>
              <w:bottom w:val="single" w:sz="8" w:color="33CCCC"/>
            </w:tcBorders>
            <w:shd w:val="clear" w:color="auto" w:fill="33CCCC"/>
          </w:tcPr>
          <w:p>
            <w:pPr>
              <w:ind w:left="260"/>
              <w:spacing w:after="0"/>
              <w:rPr>
                <w:sz w:val="20"/>
                <w:szCs w:val="20"/>
                <w:color w:val="auto"/>
              </w:rPr>
            </w:pPr>
            <w:r>
              <w:rPr>
                <w:rFonts w:ascii="Arial" w:cs="Arial" w:eastAsia="Arial" w:hAnsi="Arial"/>
                <w:sz w:val="13"/>
                <w:szCs w:val="13"/>
                <w:b w:val="1"/>
                <w:bCs w:val="1"/>
                <w:color w:val="FFFFFF"/>
              </w:rPr>
              <w:t>Sep 24</w:t>
            </w:r>
          </w:p>
        </w:tc>
        <w:tc>
          <w:tcPr>
            <w:tcW w:w="1160" w:type="dxa"/>
            <w:vAlign w:val="bottom"/>
            <w:tcBorders>
              <w:bottom w:val="single" w:sz="8" w:color="33CCCC"/>
              <w:right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Sep 25</w:t>
            </w:r>
          </w:p>
        </w:tc>
        <w:tc>
          <w:tcPr>
            <w:tcW w:w="0" w:type="dxa"/>
            <w:vAlign w:val="bottom"/>
          </w:tcPr>
          <w:p>
            <w:pPr>
              <w:spacing w:after="0"/>
              <w:rPr>
                <w:sz w:val="1"/>
                <w:szCs w:val="1"/>
                <w:color w:val="auto"/>
              </w:rPr>
            </w:pPr>
          </w:p>
        </w:tc>
      </w:tr>
      <w:tr>
        <w:trPr>
          <w:trHeight w:val="136"/>
        </w:trPr>
        <w:tc>
          <w:tcPr>
            <w:tcW w:w="3800" w:type="dxa"/>
            <w:vAlign w:val="bottom"/>
            <w:tcBorders>
              <w:top w:val="single" w:sz="8" w:color="auto"/>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rPr>
              <w:t>Credicorp</w:t>
            </w:r>
          </w:p>
        </w:tc>
        <w:tc>
          <w:tcPr>
            <w:tcW w:w="9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16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80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2"/>
                <w:szCs w:val="12"/>
                <w:color w:val="auto"/>
              </w:rPr>
              <w:t xml:space="preserve">Innovation Portfolio Risk-Adjusted Revenue Share </w:t>
            </w:r>
            <w:r>
              <w:rPr>
                <w:rFonts w:ascii="Arial" w:cs="Arial" w:eastAsia="Arial" w:hAnsi="Arial"/>
                <w:sz w:val="18"/>
                <w:szCs w:val="18"/>
                <w:color w:val="auto"/>
                <w:vertAlign w:val="superscript"/>
              </w:rPr>
              <w:t>(2)</w:t>
            </w:r>
          </w:p>
        </w:tc>
        <w:tc>
          <w:tcPr>
            <w:tcW w:w="900" w:type="dxa"/>
            <w:vAlign w:val="bottom"/>
          </w:tcPr>
          <w:p>
            <w:pPr>
              <w:jc w:val="center"/>
              <w:spacing w:after="0"/>
              <w:rPr>
                <w:sz w:val="20"/>
                <w:szCs w:val="20"/>
                <w:color w:val="auto"/>
              </w:rPr>
            </w:pPr>
            <w:r>
              <w:rPr>
                <w:rFonts w:ascii="Arial" w:cs="Arial" w:eastAsia="Arial" w:hAnsi="Arial"/>
                <w:sz w:val="13"/>
                <w:szCs w:val="13"/>
                <w:color w:val="auto"/>
              </w:rPr>
              <w:t>4.5%</w:t>
            </w:r>
          </w:p>
        </w:tc>
        <w:tc>
          <w:tcPr>
            <w:tcW w:w="980" w:type="dxa"/>
            <w:vAlign w:val="bottom"/>
          </w:tcPr>
          <w:p>
            <w:pPr>
              <w:jc w:val="center"/>
              <w:spacing w:after="0"/>
              <w:rPr>
                <w:sz w:val="20"/>
                <w:szCs w:val="20"/>
                <w:color w:val="auto"/>
              </w:rPr>
            </w:pPr>
            <w:r>
              <w:rPr>
                <w:rFonts w:ascii="Arial" w:cs="Arial" w:eastAsia="Arial" w:hAnsi="Arial"/>
                <w:sz w:val="13"/>
                <w:szCs w:val="13"/>
                <w:color w:val="auto"/>
              </w:rPr>
              <w:t>6.2%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7.4%</w:t>
            </w:r>
          </w:p>
        </w:tc>
        <w:tc>
          <w:tcPr>
            <w:tcW w:w="720" w:type="dxa"/>
            <w:vAlign w:val="bottom"/>
          </w:tcPr>
          <w:p>
            <w:pPr>
              <w:jc w:val="center"/>
              <w:ind w:left="154"/>
              <w:spacing w:after="0"/>
              <w:rPr>
                <w:sz w:val="20"/>
                <w:szCs w:val="20"/>
                <w:color w:val="auto"/>
              </w:rPr>
            </w:pPr>
            <w:r>
              <w:rPr>
                <w:rFonts w:ascii="Arial" w:cs="Arial" w:eastAsia="Arial" w:hAnsi="Arial"/>
                <w:sz w:val="13"/>
                <w:szCs w:val="13"/>
                <w:color w:val="auto"/>
              </w:rPr>
              <w:t>3.9%</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6"/>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BCP Stand-alone</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Borders>
              <w:left w:val="single" w:sz="8" w:color="auto"/>
              <w:right w:val="single" w:sz="8" w:color="auto"/>
            </w:tcBorders>
          </w:tcPr>
          <w:p>
            <w:pPr>
              <w:ind w:left="20"/>
              <w:spacing w:after="0" w:line="156" w:lineRule="exact"/>
              <w:rPr>
                <w:sz w:val="20"/>
                <w:szCs w:val="20"/>
                <w:color w:val="auto"/>
              </w:rPr>
            </w:pPr>
            <w:r>
              <w:rPr>
                <w:rFonts w:ascii="Arial" w:cs="Arial" w:eastAsia="Arial" w:hAnsi="Arial"/>
                <w:sz w:val="12"/>
                <w:szCs w:val="12"/>
                <w:color w:val="auto"/>
              </w:rPr>
              <w:t xml:space="preserve">Digital clients </w:t>
            </w:r>
            <w:r>
              <w:rPr>
                <w:rFonts w:ascii="Arial" w:cs="Arial" w:eastAsia="Arial" w:hAnsi="Arial"/>
                <w:sz w:val="18"/>
                <w:szCs w:val="18"/>
                <w:color w:val="auto"/>
                <w:vertAlign w:val="superscript"/>
              </w:rPr>
              <w:t>(3)</w:t>
            </w:r>
          </w:p>
        </w:tc>
        <w:tc>
          <w:tcPr>
            <w:tcW w:w="900" w:type="dxa"/>
            <w:vAlign w:val="bottom"/>
          </w:tcPr>
          <w:p>
            <w:pPr>
              <w:jc w:val="center"/>
              <w:spacing w:after="0"/>
              <w:rPr>
                <w:sz w:val="20"/>
                <w:szCs w:val="20"/>
                <w:color w:val="auto"/>
              </w:rPr>
            </w:pPr>
            <w:r>
              <w:rPr>
                <w:rFonts w:ascii="Arial" w:cs="Arial" w:eastAsia="Arial" w:hAnsi="Arial"/>
                <w:sz w:val="13"/>
                <w:szCs w:val="13"/>
                <w:color w:val="auto"/>
                <w:w w:val="99"/>
              </w:rPr>
              <w:t>74%</w:t>
            </w:r>
          </w:p>
        </w:tc>
        <w:tc>
          <w:tcPr>
            <w:tcW w:w="980" w:type="dxa"/>
            <w:vAlign w:val="bottom"/>
          </w:tcPr>
          <w:p>
            <w:pPr>
              <w:jc w:val="center"/>
              <w:spacing w:after="0"/>
              <w:rPr>
                <w:sz w:val="20"/>
                <w:szCs w:val="20"/>
                <w:color w:val="auto"/>
              </w:rPr>
            </w:pPr>
            <w:r>
              <w:rPr>
                <w:rFonts w:ascii="Arial" w:cs="Arial" w:eastAsia="Arial" w:hAnsi="Arial"/>
                <w:sz w:val="13"/>
                <w:szCs w:val="13"/>
                <w:color w:val="auto"/>
                <w:w w:val="99"/>
              </w:rPr>
              <w:t>78%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79%</w:t>
            </w:r>
          </w:p>
        </w:tc>
        <w:tc>
          <w:tcPr>
            <w:tcW w:w="720" w:type="dxa"/>
            <w:vAlign w:val="bottom"/>
          </w:tcPr>
          <w:p>
            <w:pPr>
              <w:jc w:val="center"/>
              <w:ind w:left="154"/>
              <w:spacing w:after="0"/>
              <w:rPr>
                <w:sz w:val="20"/>
                <w:szCs w:val="20"/>
                <w:color w:val="auto"/>
              </w:rPr>
            </w:pPr>
            <w:r>
              <w:rPr>
                <w:rFonts w:ascii="Arial" w:cs="Arial" w:eastAsia="Arial" w:hAnsi="Arial"/>
                <w:sz w:val="13"/>
                <w:szCs w:val="13"/>
                <w:color w:val="auto"/>
                <w:w w:val="99"/>
              </w:rPr>
              <w:t>74%</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w w:val="99"/>
              </w:rPr>
              <w:t>78%</w:t>
            </w:r>
          </w:p>
        </w:tc>
        <w:tc>
          <w:tcPr>
            <w:tcW w:w="0" w:type="dxa"/>
            <w:vAlign w:val="bottom"/>
          </w:tcPr>
          <w:p>
            <w:pPr>
              <w:spacing w:after="0"/>
              <w:rPr>
                <w:sz w:val="1"/>
                <w:szCs w:val="1"/>
                <w:color w:val="auto"/>
              </w:rPr>
            </w:pPr>
          </w:p>
        </w:tc>
      </w:tr>
      <w:tr>
        <w:trPr>
          <w:trHeight w:val="156"/>
        </w:trPr>
        <w:tc>
          <w:tcPr>
            <w:tcW w:w="3800" w:type="dxa"/>
            <w:vAlign w:val="bottom"/>
            <w:tcBorders>
              <w:left w:val="single" w:sz="8" w:color="auto"/>
              <w:right w:val="single" w:sz="8" w:color="auto"/>
            </w:tcBorders>
          </w:tcPr>
          <w:p>
            <w:pPr>
              <w:ind w:left="20"/>
              <w:spacing w:after="0" w:line="156" w:lineRule="exact"/>
              <w:rPr>
                <w:sz w:val="20"/>
                <w:szCs w:val="20"/>
                <w:color w:val="auto"/>
              </w:rPr>
            </w:pPr>
            <w:r>
              <w:rPr>
                <w:rFonts w:ascii="Arial" w:cs="Arial" w:eastAsia="Arial" w:hAnsi="Arial"/>
                <w:sz w:val="12"/>
                <w:szCs w:val="12"/>
                <w:color w:val="auto"/>
              </w:rPr>
              <w:t xml:space="preserve">Digital monetary transactions </w:t>
            </w:r>
            <w:r>
              <w:rPr>
                <w:rFonts w:ascii="Arial" w:cs="Arial" w:eastAsia="Arial" w:hAnsi="Arial"/>
                <w:sz w:val="18"/>
                <w:szCs w:val="18"/>
                <w:color w:val="auto"/>
                <w:vertAlign w:val="superscript"/>
              </w:rPr>
              <w:t>(4)</w:t>
            </w:r>
          </w:p>
        </w:tc>
        <w:tc>
          <w:tcPr>
            <w:tcW w:w="900" w:type="dxa"/>
            <w:vAlign w:val="bottom"/>
          </w:tcPr>
          <w:p>
            <w:pPr>
              <w:jc w:val="center"/>
              <w:spacing w:after="0"/>
              <w:rPr>
                <w:sz w:val="20"/>
                <w:szCs w:val="20"/>
                <w:color w:val="auto"/>
              </w:rPr>
            </w:pPr>
            <w:r>
              <w:rPr>
                <w:rFonts w:ascii="Arial" w:cs="Arial" w:eastAsia="Arial" w:hAnsi="Arial"/>
                <w:sz w:val="13"/>
                <w:szCs w:val="13"/>
                <w:color w:val="auto"/>
                <w:w w:val="99"/>
              </w:rPr>
              <w:t>84%</w:t>
            </w:r>
          </w:p>
        </w:tc>
        <w:tc>
          <w:tcPr>
            <w:tcW w:w="980" w:type="dxa"/>
            <w:vAlign w:val="bottom"/>
          </w:tcPr>
          <w:p>
            <w:pPr>
              <w:jc w:val="center"/>
              <w:spacing w:after="0"/>
              <w:rPr>
                <w:sz w:val="20"/>
                <w:szCs w:val="20"/>
                <w:color w:val="auto"/>
              </w:rPr>
            </w:pPr>
            <w:r>
              <w:rPr>
                <w:rFonts w:ascii="Arial" w:cs="Arial" w:eastAsia="Arial" w:hAnsi="Arial"/>
                <w:sz w:val="13"/>
                <w:szCs w:val="13"/>
                <w:color w:val="auto"/>
                <w:w w:val="99"/>
              </w:rPr>
              <w:t>88%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89%</w:t>
            </w:r>
          </w:p>
        </w:tc>
        <w:tc>
          <w:tcPr>
            <w:tcW w:w="720" w:type="dxa"/>
            <w:vAlign w:val="bottom"/>
          </w:tcPr>
          <w:p>
            <w:pPr>
              <w:jc w:val="center"/>
              <w:ind w:left="154"/>
              <w:spacing w:after="0"/>
              <w:rPr>
                <w:sz w:val="20"/>
                <w:szCs w:val="20"/>
                <w:color w:val="auto"/>
              </w:rPr>
            </w:pPr>
            <w:r>
              <w:rPr>
                <w:rFonts w:ascii="Arial" w:cs="Arial" w:eastAsia="Arial" w:hAnsi="Arial"/>
                <w:sz w:val="13"/>
                <w:szCs w:val="13"/>
                <w:color w:val="auto"/>
                <w:w w:val="99"/>
              </w:rPr>
              <w:t>70%</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w w:val="99"/>
              </w:rPr>
              <w:t>87%</w:t>
            </w:r>
          </w:p>
        </w:tc>
        <w:tc>
          <w:tcPr>
            <w:tcW w:w="0" w:type="dxa"/>
            <w:vAlign w:val="bottom"/>
          </w:tcPr>
          <w:p>
            <w:pPr>
              <w:spacing w:after="0"/>
              <w:rPr>
                <w:sz w:val="1"/>
                <w:szCs w:val="1"/>
                <w:color w:val="auto"/>
              </w:rPr>
            </w:pPr>
          </w:p>
        </w:tc>
      </w:tr>
      <w:tr>
        <w:trPr>
          <w:trHeight w:val="156"/>
        </w:trPr>
        <w:tc>
          <w:tcPr>
            <w:tcW w:w="380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2"/>
                <w:szCs w:val="12"/>
                <w:color w:val="auto"/>
              </w:rPr>
              <w:t xml:space="preserve">Cashless transactions </w:t>
            </w:r>
            <w:r>
              <w:rPr>
                <w:rFonts w:ascii="Arial" w:cs="Arial" w:eastAsia="Arial" w:hAnsi="Arial"/>
                <w:sz w:val="18"/>
                <w:szCs w:val="18"/>
                <w:color w:val="auto"/>
                <w:vertAlign w:val="superscript"/>
              </w:rPr>
              <w:t>(5)</w:t>
            </w:r>
          </w:p>
        </w:tc>
        <w:tc>
          <w:tcPr>
            <w:tcW w:w="900" w:type="dxa"/>
            <w:vAlign w:val="bottom"/>
          </w:tcPr>
          <w:p>
            <w:pPr>
              <w:jc w:val="center"/>
              <w:spacing w:after="0"/>
              <w:rPr>
                <w:sz w:val="20"/>
                <w:szCs w:val="20"/>
                <w:color w:val="auto"/>
              </w:rPr>
            </w:pPr>
            <w:r>
              <w:rPr>
                <w:rFonts w:ascii="Arial" w:cs="Arial" w:eastAsia="Arial" w:hAnsi="Arial"/>
                <w:sz w:val="13"/>
                <w:szCs w:val="13"/>
                <w:color w:val="auto"/>
                <w:w w:val="99"/>
              </w:rPr>
              <w:t>60%</w:t>
            </w:r>
          </w:p>
        </w:tc>
        <w:tc>
          <w:tcPr>
            <w:tcW w:w="980" w:type="dxa"/>
            <w:vAlign w:val="bottom"/>
          </w:tcPr>
          <w:p>
            <w:pPr>
              <w:jc w:val="center"/>
              <w:spacing w:after="0"/>
              <w:rPr>
                <w:sz w:val="20"/>
                <w:szCs w:val="20"/>
                <w:color w:val="auto"/>
              </w:rPr>
            </w:pPr>
            <w:r>
              <w:rPr>
                <w:rFonts w:ascii="Arial" w:cs="Arial" w:eastAsia="Arial" w:hAnsi="Arial"/>
                <w:sz w:val="13"/>
                <w:szCs w:val="13"/>
                <w:color w:val="auto"/>
                <w:w w:val="99"/>
              </w:rPr>
              <w:t>65%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65%</w:t>
            </w:r>
          </w:p>
        </w:tc>
        <w:tc>
          <w:tcPr>
            <w:tcW w:w="720" w:type="dxa"/>
            <w:vAlign w:val="bottom"/>
          </w:tcPr>
          <w:p>
            <w:pPr>
              <w:jc w:val="center"/>
              <w:ind w:left="154"/>
              <w:spacing w:after="0"/>
              <w:rPr>
                <w:sz w:val="20"/>
                <w:szCs w:val="20"/>
                <w:color w:val="auto"/>
              </w:rPr>
            </w:pPr>
            <w:r>
              <w:rPr>
                <w:rFonts w:ascii="Arial" w:cs="Arial" w:eastAsia="Arial" w:hAnsi="Arial"/>
                <w:sz w:val="13"/>
                <w:szCs w:val="13"/>
                <w:color w:val="auto"/>
                <w:w w:val="99"/>
              </w:rPr>
              <w:t>58%</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w w:val="99"/>
              </w:rPr>
              <w:t>64%</w:t>
            </w:r>
          </w:p>
        </w:tc>
        <w:tc>
          <w:tcPr>
            <w:tcW w:w="0" w:type="dxa"/>
            <w:vAlign w:val="bottom"/>
          </w:tcPr>
          <w:p>
            <w:pPr>
              <w:spacing w:after="0"/>
              <w:rPr>
                <w:sz w:val="1"/>
                <w:szCs w:val="1"/>
                <w:color w:val="auto"/>
              </w:rPr>
            </w:pPr>
          </w:p>
        </w:tc>
      </w:tr>
      <w:tr>
        <w:trPr>
          <w:trHeight w:val="156"/>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Mibanco</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Borders>
              <w:left w:val="single" w:sz="8" w:color="auto"/>
              <w:right w:val="single" w:sz="8" w:color="auto"/>
            </w:tcBorders>
          </w:tcPr>
          <w:p>
            <w:pPr>
              <w:ind w:left="20"/>
              <w:spacing w:after="0" w:line="156" w:lineRule="exact"/>
              <w:rPr>
                <w:sz w:val="20"/>
                <w:szCs w:val="20"/>
                <w:color w:val="auto"/>
              </w:rPr>
            </w:pPr>
            <w:r>
              <w:rPr>
                <w:rFonts w:ascii="Arial" w:cs="Arial" w:eastAsia="Arial" w:hAnsi="Arial"/>
                <w:sz w:val="12"/>
                <w:szCs w:val="12"/>
                <w:color w:val="auto"/>
              </w:rPr>
              <w:t xml:space="preserve">Disbursements through leads </w:t>
            </w:r>
            <w:r>
              <w:rPr>
                <w:rFonts w:ascii="Arial" w:cs="Arial" w:eastAsia="Arial" w:hAnsi="Arial"/>
                <w:sz w:val="18"/>
                <w:szCs w:val="18"/>
                <w:color w:val="auto"/>
                <w:vertAlign w:val="superscript"/>
              </w:rPr>
              <w:t>(6)</w:t>
            </w:r>
          </w:p>
        </w:tc>
        <w:tc>
          <w:tcPr>
            <w:tcW w:w="900" w:type="dxa"/>
            <w:vAlign w:val="bottom"/>
          </w:tcPr>
          <w:p>
            <w:pPr>
              <w:jc w:val="center"/>
              <w:spacing w:after="0"/>
              <w:rPr>
                <w:sz w:val="20"/>
                <w:szCs w:val="20"/>
                <w:color w:val="auto"/>
              </w:rPr>
            </w:pPr>
            <w:r>
              <w:rPr>
                <w:rFonts w:ascii="Arial" w:cs="Arial" w:eastAsia="Arial" w:hAnsi="Arial"/>
                <w:sz w:val="13"/>
                <w:szCs w:val="13"/>
                <w:color w:val="auto"/>
                <w:w w:val="99"/>
              </w:rPr>
              <w:t>66%</w:t>
            </w:r>
          </w:p>
        </w:tc>
        <w:tc>
          <w:tcPr>
            <w:tcW w:w="980" w:type="dxa"/>
            <w:vAlign w:val="bottom"/>
          </w:tcPr>
          <w:p>
            <w:pPr>
              <w:jc w:val="center"/>
              <w:spacing w:after="0"/>
              <w:rPr>
                <w:sz w:val="20"/>
                <w:szCs w:val="20"/>
                <w:color w:val="auto"/>
              </w:rPr>
            </w:pPr>
            <w:r>
              <w:rPr>
                <w:rFonts w:ascii="Arial" w:cs="Arial" w:eastAsia="Arial" w:hAnsi="Arial"/>
                <w:sz w:val="13"/>
                <w:szCs w:val="13"/>
                <w:color w:val="auto"/>
                <w:w w:val="99"/>
              </w:rPr>
              <w:t>65%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68%</w:t>
            </w:r>
          </w:p>
        </w:tc>
        <w:tc>
          <w:tcPr>
            <w:tcW w:w="720" w:type="dxa"/>
            <w:vAlign w:val="bottom"/>
          </w:tcPr>
          <w:p>
            <w:pPr>
              <w:jc w:val="center"/>
              <w:ind w:left="154"/>
              <w:spacing w:after="0"/>
              <w:rPr>
                <w:sz w:val="20"/>
                <w:szCs w:val="20"/>
                <w:color w:val="auto"/>
              </w:rPr>
            </w:pPr>
            <w:r>
              <w:rPr>
                <w:rFonts w:ascii="Arial" w:cs="Arial" w:eastAsia="Arial" w:hAnsi="Arial"/>
                <w:sz w:val="13"/>
                <w:szCs w:val="13"/>
                <w:color w:val="auto"/>
                <w:w w:val="99"/>
              </w:rPr>
              <w:t>69%</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w w:val="99"/>
              </w:rPr>
              <w:t>67%</w:t>
            </w:r>
          </w:p>
        </w:tc>
        <w:tc>
          <w:tcPr>
            <w:tcW w:w="0" w:type="dxa"/>
            <w:vAlign w:val="bottom"/>
          </w:tcPr>
          <w:p>
            <w:pPr>
              <w:spacing w:after="0"/>
              <w:rPr>
                <w:sz w:val="1"/>
                <w:szCs w:val="1"/>
                <w:color w:val="auto"/>
              </w:rPr>
            </w:pPr>
          </w:p>
        </w:tc>
      </w:tr>
      <w:tr>
        <w:trPr>
          <w:trHeight w:val="156"/>
        </w:trPr>
        <w:tc>
          <w:tcPr>
            <w:tcW w:w="3800" w:type="dxa"/>
            <w:vAlign w:val="bottom"/>
            <w:tcBorders>
              <w:left w:val="single" w:sz="8" w:color="auto"/>
              <w:right w:val="single" w:sz="8" w:color="auto"/>
            </w:tcBorders>
          </w:tcPr>
          <w:p>
            <w:pPr>
              <w:ind w:left="20"/>
              <w:spacing w:after="0" w:line="156" w:lineRule="exact"/>
              <w:rPr>
                <w:sz w:val="20"/>
                <w:szCs w:val="20"/>
                <w:color w:val="auto"/>
              </w:rPr>
            </w:pPr>
            <w:r>
              <w:rPr>
                <w:rFonts w:ascii="Arial" w:cs="Arial" w:eastAsia="Arial" w:hAnsi="Arial"/>
                <w:sz w:val="12"/>
                <w:szCs w:val="12"/>
                <w:color w:val="auto"/>
              </w:rPr>
              <w:t xml:space="preserve">Disbursements through alternative channels </w:t>
            </w:r>
            <w:r>
              <w:rPr>
                <w:rFonts w:ascii="Arial" w:cs="Arial" w:eastAsia="Arial" w:hAnsi="Arial"/>
                <w:sz w:val="18"/>
                <w:szCs w:val="18"/>
                <w:color w:val="auto"/>
                <w:vertAlign w:val="superscript"/>
              </w:rPr>
              <w:t>(7)</w:t>
            </w:r>
          </w:p>
        </w:tc>
        <w:tc>
          <w:tcPr>
            <w:tcW w:w="900" w:type="dxa"/>
            <w:vAlign w:val="bottom"/>
          </w:tcPr>
          <w:p>
            <w:pPr>
              <w:jc w:val="center"/>
              <w:spacing w:after="0"/>
              <w:rPr>
                <w:sz w:val="20"/>
                <w:szCs w:val="20"/>
                <w:color w:val="auto"/>
              </w:rPr>
            </w:pPr>
            <w:r>
              <w:rPr>
                <w:rFonts w:ascii="Arial" w:cs="Arial" w:eastAsia="Arial" w:hAnsi="Arial"/>
                <w:sz w:val="13"/>
                <w:szCs w:val="13"/>
                <w:color w:val="auto"/>
                <w:w w:val="99"/>
              </w:rPr>
              <w:t>10%</w:t>
            </w:r>
          </w:p>
        </w:tc>
        <w:tc>
          <w:tcPr>
            <w:tcW w:w="980" w:type="dxa"/>
            <w:vAlign w:val="bottom"/>
          </w:tcPr>
          <w:p>
            <w:pPr>
              <w:jc w:val="center"/>
              <w:spacing w:after="0"/>
              <w:rPr>
                <w:sz w:val="20"/>
                <w:szCs w:val="20"/>
                <w:color w:val="auto"/>
              </w:rPr>
            </w:pPr>
            <w:r>
              <w:rPr>
                <w:rFonts w:ascii="Arial" w:cs="Arial" w:eastAsia="Arial" w:hAnsi="Arial"/>
                <w:sz w:val="13"/>
                <w:szCs w:val="13"/>
                <w:color w:val="auto"/>
                <w:w w:val="99"/>
              </w:rPr>
              <w:t>12%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w:t>
            </w:r>
          </w:p>
        </w:tc>
        <w:tc>
          <w:tcPr>
            <w:tcW w:w="720" w:type="dxa"/>
            <w:vAlign w:val="bottom"/>
          </w:tcPr>
          <w:p>
            <w:pPr>
              <w:jc w:val="center"/>
              <w:ind w:left="154"/>
              <w:spacing w:after="0"/>
              <w:rPr>
                <w:sz w:val="20"/>
                <w:szCs w:val="20"/>
                <w:color w:val="auto"/>
              </w:rPr>
            </w:pPr>
            <w:r>
              <w:rPr>
                <w:rFonts w:ascii="Arial" w:cs="Arial" w:eastAsia="Arial" w:hAnsi="Arial"/>
                <w:sz w:val="13"/>
                <w:szCs w:val="13"/>
                <w:color w:val="auto"/>
                <w:w w:val="99"/>
              </w:rPr>
              <w:t>10%</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w w:val="99"/>
              </w:rPr>
              <w:t>11%</w:t>
            </w:r>
          </w:p>
        </w:tc>
        <w:tc>
          <w:tcPr>
            <w:tcW w:w="0" w:type="dxa"/>
            <w:vAlign w:val="bottom"/>
          </w:tcPr>
          <w:p>
            <w:pPr>
              <w:spacing w:after="0"/>
              <w:rPr>
                <w:sz w:val="1"/>
                <w:szCs w:val="1"/>
                <w:color w:val="auto"/>
              </w:rPr>
            </w:pPr>
          </w:p>
        </w:tc>
      </w:tr>
      <w:tr>
        <w:trPr>
          <w:trHeight w:val="156"/>
        </w:trPr>
        <w:tc>
          <w:tcPr>
            <w:tcW w:w="380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2"/>
                <w:szCs w:val="12"/>
                <w:color w:val="auto"/>
              </w:rPr>
              <w:t xml:space="preserve">Relationship managers productivity </w:t>
            </w:r>
            <w:r>
              <w:rPr>
                <w:rFonts w:ascii="Arial" w:cs="Arial" w:eastAsia="Arial" w:hAnsi="Arial"/>
                <w:sz w:val="18"/>
                <w:szCs w:val="18"/>
                <w:color w:val="auto"/>
                <w:vertAlign w:val="superscript"/>
              </w:rPr>
              <w:t>(8)</w:t>
            </w:r>
          </w:p>
        </w:tc>
        <w:tc>
          <w:tcPr>
            <w:tcW w:w="900" w:type="dxa"/>
            <w:vAlign w:val="bottom"/>
          </w:tcPr>
          <w:p>
            <w:pPr>
              <w:jc w:val="center"/>
              <w:spacing w:after="0"/>
              <w:rPr>
                <w:sz w:val="20"/>
                <w:szCs w:val="20"/>
                <w:color w:val="auto"/>
              </w:rPr>
            </w:pPr>
            <w:r>
              <w:rPr>
                <w:rFonts w:ascii="Arial" w:cs="Arial" w:eastAsia="Arial" w:hAnsi="Arial"/>
                <w:sz w:val="13"/>
                <w:szCs w:val="13"/>
                <w:color w:val="auto"/>
              </w:rPr>
              <w:t>23.6</w:t>
            </w:r>
          </w:p>
        </w:tc>
        <w:tc>
          <w:tcPr>
            <w:tcW w:w="980" w:type="dxa"/>
            <w:vAlign w:val="bottom"/>
          </w:tcPr>
          <w:p>
            <w:pPr>
              <w:jc w:val="center"/>
              <w:spacing w:after="0"/>
              <w:rPr>
                <w:sz w:val="20"/>
                <w:szCs w:val="20"/>
                <w:color w:val="auto"/>
              </w:rPr>
            </w:pPr>
            <w:r>
              <w:rPr>
                <w:rFonts w:ascii="Arial" w:cs="Arial" w:eastAsia="Arial" w:hAnsi="Arial"/>
                <w:sz w:val="13"/>
                <w:szCs w:val="13"/>
                <w:color w:val="auto"/>
              </w:rPr>
              <w:t>25.9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29.2</w:t>
            </w:r>
          </w:p>
        </w:tc>
        <w:tc>
          <w:tcPr>
            <w:tcW w:w="720" w:type="dxa"/>
            <w:vAlign w:val="bottom"/>
          </w:tcPr>
          <w:p>
            <w:pPr>
              <w:jc w:val="center"/>
              <w:ind w:left="154"/>
              <w:spacing w:after="0"/>
              <w:rPr>
                <w:sz w:val="20"/>
                <w:szCs w:val="20"/>
                <w:color w:val="auto"/>
              </w:rPr>
            </w:pPr>
            <w:r>
              <w:rPr>
                <w:rFonts w:ascii="Arial" w:cs="Arial" w:eastAsia="Arial" w:hAnsi="Arial"/>
                <w:sz w:val="13"/>
                <w:szCs w:val="13"/>
                <w:color w:val="auto"/>
              </w:rPr>
              <w:t>23.4</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r>
        <w:trPr>
          <w:trHeight w:val="156"/>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Pacifico</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00" w:type="dxa"/>
            <w:vAlign w:val="bottom"/>
            <w:tcBorders>
              <w:left w:val="single" w:sz="8" w:color="auto"/>
              <w:bottom w:val="single" w:sz="8" w:color="auto"/>
              <w:right w:val="single" w:sz="8" w:color="auto"/>
            </w:tcBorders>
          </w:tcPr>
          <w:p>
            <w:pPr>
              <w:ind w:left="20"/>
              <w:spacing w:after="0" w:line="168" w:lineRule="exact"/>
              <w:rPr>
                <w:sz w:val="20"/>
                <w:szCs w:val="20"/>
                <w:color w:val="auto"/>
              </w:rPr>
            </w:pPr>
            <w:r>
              <w:rPr>
                <w:rFonts w:ascii="Arial" w:cs="Arial" w:eastAsia="Arial" w:hAnsi="Arial"/>
                <w:sz w:val="12"/>
                <w:szCs w:val="12"/>
                <w:color w:val="auto"/>
              </w:rPr>
              <w:t xml:space="preserve">Digital Policies (thousands) </w:t>
            </w:r>
            <w:r>
              <w:rPr>
                <w:rFonts w:ascii="Arial" w:cs="Arial" w:eastAsia="Arial" w:hAnsi="Arial"/>
                <w:sz w:val="19"/>
                <w:szCs w:val="19"/>
                <w:color w:val="auto"/>
                <w:vertAlign w:val="superscript"/>
              </w:rPr>
              <w:t>(9)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650.3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579.0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580.5</w:t>
            </w:r>
          </w:p>
        </w:tc>
        <w:tc>
          <w:tcPr>
            <w:tcW w:w="720" w:type="dxa"/>
            <w:vAlign w:val="bottom"/>
            <w:tcBorders>
              <w:bottom w:val="single" w:sz="8" w:color="auto"/>
            </w:tcBorders>
          </w:tcPr>
          <w:p>
            <w:pPr>
              <w:jc w:val="center"/>
              <w:ind w:left="134"/>
              <w:spacing w:after="0"/>
              <w:rPr>
                <w:sz w:val="20"/>
                <w:szCs w:val="20"/>
                <w:color w:val="auto"/>
              </w:rPr>
            </w:pPr>
            <w:r>
              <w:rPr>
                <w:rFonts w:ascii="Arial" w:cs="Arial" w:eastAsia="Arial" w:hAnsi="Arial"/>
                <w:sz w:val="13"/>
                <w:szCs w:val="13"/>
                <w:color w:val="auto"/>
              </w:rPr>
              <w:t>1,761.8</w:t>
            </w:r>
          </w:p>
        </w:tc>
        <w:tc>
          <w:tcPr>
            <w:tcW w:w="116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3"/>
                <w:szCs w:val="13"/>
                <w:color w:val="auto"/>
                <w:w w:val="96"/>
              </w:rPr>
              <w:t>1,881.8</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160" w:hanging="154"/>
        <w:spacing w:after="0"/>
        <w:tabs>
          <w:tab w:leader="none" w:pos="160" w:val="left"/>
        </w:tabs>
        <w:numPr>
          <w:ilvl w:val="0"/>
          <w:numId w:val="7"/>
        </w:numPr>
        <w:rPr>
          <w:rFonts w:ascii="Arial" w:cs="Arial" w:eastAsia="Arial" w:hAnsi="Arial"/>
          <w:sz w:val="11"/>
          <w:szCs w:val="11"/>
          <w:color w:val="auto"/>
        </w:rPr>
      </w:pPr>
      <w:r>
        <w:rPr>
          <w:rFonts w:ascii="Arial" w:cs="Arial" w:eastAsia="Arial" w:hAnsi="Arial"/>
          <w:sz w:val="11"/>
          <w:szCs w:val="11"/>
          <w:color w:val="auto"/>
        </w:rPr>
        <w:t>Management figures. Figures for September 2024, June 2025, and September 2025.</w:t>
      </w:r>
    </w:p>
    <w:p>
      <w:pPr>
        <w:spacing w:after="0" w:line="15" w:lineRule="exact"/>
        <w:rPr>
          <w:rFonts w:ascii="Arial" w:cs="Arial" w:eastAsia="Arial" w:hAnsi="Arial"/>
          <w:sz w:val="11"/>
          <w:szCs w:val="11"/>
          <w:color w:val="auto"/>
        </w:rPr>
      </w:pPr>
    </w:p>
    <w:p>
      <w:pPr>
        <w:ind w:left="160" w:hanging="154"/>
        <w:spacing w:after="0"/>
        <w:tabs>
          <w:tab w:leader="none" w:pos="160" w:val="left"/>
        </w:tabs>
        <w:numPr>
          <w:ilvl w:val="0"/>
          <w:numId w:val="7"/>
        </w:numPr>
        <w:rPr>
          <w:rFonts w:ascii="Arial" w:cs="Arial" w:eastAsia="Arial" w:hAnsi="Arial"/>
          <w:sz w:val="11"/>
          <w:szCs w:val="11"/>
          <w:color w:val="auto"/>
        </w:rPr>
      </w:pPr>
      <w:r>
        <w:rPr>
          <w:rFonts w:ascii="Arial" w:cs="Arial" w:eastAsia="Arial" w:hAnsi="Arial"/>
          <w:sz w:val="11"/>
          <w:szCs w:val="11"/>
          <w:color w:val="auto"/>
        </w:rPr>
        <w:t>As a percentage of Credicorpʼs total Risk-Adjusted Revenue.</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Retail clients that made 70%, or more, of their transactions through digital channels in the last 6 months (including Yape).</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7"/>
        </w:numPr>
        <w:rPr>
          <w:rFonts w:ascii="Arial" w:cs="Arial" w:eastAsia="Arial" w:hAnsi="Arial"/>
          <w:sz w:val="11"/>
          <w:szCs w:val="11"/>
          <w:color w:val="auto"/>
        </w:rPr>
      </w:pPr>
      <w:r>
        <w:rPr>
          <w:rFonts w:ascii="Arial" w:cs="Arial" w:eastAsia="Arial" w:hAnsi="Arial"/>
          <w:sz w:val="11"/>
          <w:szCs w:val="11"/>
          <w:color w:val="auto"/>
        </w:rPr>
        <w:t>Monetary Transactions conducted through Mobile Banking, Internet Banking, Yape and Telecredito/Total Monetary Transactions in Retail Banking.</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7"/>
        </w:numPr>
        <w:rPr>
          <w:rFonts w:ascii="Arial" w:cs="Arial" w:eastAsia="Arial" w:hAnsi="Arial"/>
          <w:sz w:val="11"/>
          <w:szCs w:val="11"/>
          <w:color w:val="auto"/>
        </w:rPr>
      </w:pPr>
      <w:r>
        <w:rPr>
          <w:rFonts w:ascii="Arial" w:cs="Arial" w:eastAsia="Arial" w:hAnsi="Arial"/>
          <w:sz w:val="11"/>
          <w:szCs w:val="11"/>
          <w:color w:val="auto"/>
        </w:rPr>
        <w:t>Amount transacted through Mobile Banking, Internet Banking, Yape y POS/Total amount transacted through Retail Banking.</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7"/>
        </w:numPr>
        <w:rPr>
          <w:rFonts w:ascii="Arial" w:cs="Arial" w:eastAsia="Arial" w:hAnsi="Arial"/>
          <w:sz w:val="11"/>
          <w:szCs w:val="11"/>
          <w:color w:val="auto"/>
        </w:rPr>
      </w:pPr>
      <w:r>
        <w:rPr>
          <w:rFonts w:ascii="Arial" w:cs="Arial" w:eastAsia="Arial" w:hAnsi="Arial"/>
          <w:sz w:val="11"/>
          <w:szCs w:val="11"/>
          <w:color w:val="auto"/>
        </w:rPr>
        <w:t>Disbursements generated through leads/Total disbursements.</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7"/>
        </w:numPr>
        <w:rPr>
          <w:rFonts w:ascii="Arial" w:cs="Arial" w:eastAsia="Arial" w:hAnsi="Arial"/>
          <w:sz w:val="11"/>
          <w:szCs w:val="11"/>
          <w:color w:val="auto"/>
        </w:rPr>
      </w:pPr>
      <w:r>
        <w:rPr>
          <w:rFonts w:ascii="Arial" w:cs="Arial" w:eastAsia="Arial" w:hAnsi="Arial"/>
          <w:sz w:val="11"/>
          <w:szCs w:val="11"/>
          <w:color w:val="auto"/>
        </w:rPr>
        <w:t>Disbursements conducted through alternative channels/Total disbursements. Figures differ from previously reported due to a methodological change.</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7"/>
        </w:numPr>
        <w:rPr>
          <w:rFonts w:ascii="Arial" w:cs="Arial" w:eastAsia="Arial" w:hAnsi="Arial"/>
          <w:sz w:val="11"/>
          <w:szCs w:val="11"/>
          <w:color w:val="auto"/>
        </w:rPr>
      </w:pPr>
      <w:r>
        <w:rPr>
          <w:rFonts w:ascii="Arial" w:cs="Arial" w:eastAsia="Arial" w:hAnsi="Arial"/>
          <w:sz w:val="11"/>
          <w:szCs w:val="11"/>
          <w:color w:val="auto"/>
        </w:rPr>
        <w:t>Number of loans disbursed/Total relationship managers.</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7"/>
        </w:numPr>
        <w:rPr>
          <w:rFonts w:ascii="Arial" w:cs="Arial" w:eastAsia="Arial" w:hAnsi="Arial"/>
          <w:sz w:val="11"/>
          <w:szCs w:val="11"/>
          <w:color w:val="auto"/>
        </w:rPr>
      </w:pPr>
      <w:r>
        <w:rPr>
          <w:rFonts w:ascii="Arial" w:cs="Arial" w:eastAsia="Arial" w:hAnsi="Arial"/>
          <w:sz w:val="11"/>
          <w:szCs w:val="11"/>
          <w:color w:val="auto"/>
        </w:rPr>
        <w:t>Number of insurance policies issued through digital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637540</wp:posOffset>
            </wp:positionV>
            <wp:extent cx="670750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104140</wp:posOffset>
            </wp:positionV>
            <wp:extent cx="5968365" cy="434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8365" cy="434340"/>
                    </a:xfrm>
                    <a:prstGeom prst="rect">
                      <a:avLst/>
                    </a:prstGeom>
                    <a:noFill/>
                  </pic:spPr>
                </pic:pic>
              </a:graphicData>
            </a:graphic>
          </wp:anchor>
        </w:drawing>
      </w:r>
    </w:p>
    <w:p>
      <w:pPr>
        <w:sectPr>
          <w:pgSz w:w="11900" w:h="16840" w:orient="portrait"/>
          <w:cols w:equalWidth="0" w:num="1">
            <w:col w:w="10580"/>
          </w:cols>
          <w:pgMar w:left="660" w:top="893" w:right="660" w:bottom="1440" w:gutter="0" w:footer="0" w:header="0"/>
        </w:sectPr>
      </w:pPr>
    </w:p>
    <w:bookmarkStart w:id="14" w:name="page15"/>
    <w:bookmarkEnd w:id="14"/>
    <w:p>
      <w:pPr>
        <w:ind w:left="256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391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7505" cy="7391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Credicorp’s Strategy Update</w:t>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color w:val="E93BAC"/>
        </w:rPr>
        <w:t>Yape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Main Management Indicators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60" w:type="dxa"/>
            <w:vAlign w:val="bottom"/>
            <w:tcBorders>
              <w:top w:val="single" w:sz="8" w:color="auto"/>
              <w:left w:val="single" w:sz="8" w:color="auto"/>
              <w:right w:val="single" w:sz="8" w:color="auto"/>
            </w:tcBorders>
            <w:vMerge w:val="restart"/>
            <w:shd w:val="clear" w:color="auto" w:fill="33CCCC"/>
          </w:tcPr>
          <w:p>
            <w:pPr>
              <w:ind w:left="20"/>
              <w:spacing w:after="0"/>
              <w:rPr>
                <w:sz w:val="20"/>
                <w:szCs w:val="20"/>
                <w:color w:val="auto"/>
              </w:rPr>
            </w:pPr>
            <w:r>
              <w:rPr>
                <w:rFonts w:ascii="Arial" w:cs="Arial" w:eastAsia="Arial" w:hAnsi="Arial"/>
                <w:sz w:val="13"/>
                <w:szCs w:val="13"/>
                <w:b w:val="1"/>
                <w:bCs w:val="1"/>
                <w:color w:val="FFFFFF"/>
              </w:rPr>
              <w:t xml:space="preserve">Management KPI's </w:t>
            </w:r>
            <w:r>
              <w:rPr>
                <w:rFonts w:ascii="Arial" w:cs="Arial" w:eastAsia="Arial" w:hAnsi="Arial"/>
                <w:sz w:val="21"/>
                <w:szCs w:val="21"/>
                <w:b w:val="1"/>
                <w:bCs w:val="1"/>
                <w:color w:val="FFFFFF"/>
                <w:vertAlign w:val="superscript"/>
              </w:rPr>
              <w:t>(1)</w:t>
            </w:r>
          </w:p>
        </w:tc>
        <w:tc>
          <w:tcPr>
            <w:tcW w:w="940" w:type="dxa"/>
            <w:vAlign w:val="bottom"/>
            <w:tcBorders>
              <w:top w:val="single" w:sz="8" w:color="auto"/>
            </w:tcBorders>
            <w:shd w:val="clear" w:color="auto" w:fill="33CCCC"/>
          </w:tcPr>
          <w:p>
            <w:pPr>
              <w:spacing w:after="0"/>
              <w:rPr>
                <w:sz w:val="14"/>
                <w:szCs w:val="14"/>
                <w:color w:val="auto"/>
              </w:rPr>
            </w:pPr>
          </w:p>
        </w:tc>
        <w:tc>
          <w:tcPr>
            <w:tcW w:w="960" w:type="dxa"/>
            <w:vAlign w:val="bottom"/>
            <w:tcBorders>
              <w:top w:val="single" w:sz="8" w:color="auto"/>
            </w:tcBorders>
            <w:shd w:val="clear" w:color="auto" w:fill="33CCCC"/>
          </w:tcPr>
          <w:p>
            <w:pPr>
              <w:ind w:left="240"/>
              <w:spacing w:after="0"/>
              <w:rPr>
                <w:sz w:val="20"/>
                <w:szCs w:val="20"/>
                <w:color w:val="auto"/>
              </w:rPr>
            </w:pPr>
            <w:r>
              <w:rPr>
                <w:rFonts w:ascii="Arial" w:cs="Arial" w:eastAsia="Arial" w:hAnsi="Arial"/>
                <w:sz w:val="13"/>
                <w:szCs w:val="13"/>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14"/>
                <w:szCs w:val="14"/>
                <w:color w:val="auto"/>
              </w:rPr>
            </w:pPr>
          </w:p>
        </w:tc>
        <w:tc>
          <w:tcPr>
            <w:tcW w:w="1900" w:type="dxa"/>
            <w:vAlign w:val="bottom"/>
            <w:tcBorders>
              <w:top w:val="single" w:sz="8" w:color="auto"/>
              <w:right w:val="single" w:sz="8" w:color="auto"/>
            </w:tcBorders>
            <w:gridSpan w:val="2"/>
            <w:shd w:val="clear" w:color="auto" w:fill="33CCCC"/>
          </w:tcPr>
          <w:p>
            <w:pPr>
              <w:ind w:left="620"/>
              <w:spacing w:after="0"/>
              <w:rPr>
                <w:sz w:val="20"/>
                <w:szCs w:val="20"/>
                <w:color w:val="auto"/>
              </w:rPr>
            </w:pPr>
            <w:r>
              <w:rPr>
                <w:rFonts w:ascii="Arial" w:cs="Arial" w:eastAsia="Arial" w:hAnsi="Arial"/>
                <w:sz w:val="13"/>
                <w:szCs w:val="13"/>
                <w:b w:val="1"/>
                <w:bCs w:val="1"/>
                <w:color w:val="FFFFFF"/>
              </w:rPr>
              <w:t>Change %</w:t>
            </w:r>
          </w:p>
        </w:tc>
        <w:tc>
          <w:tcPr>
            <w:tcW w:w="720" w:type="dxa"/>
            <w:vAlign w:val="bottom"/>
            <w:tcBorders>
              <w:top w:val="single" w:sz="8" w:color="auto"/>
            </w:tcBorders>
            <w:shd w:val="clear" w:color="auto" w:fill="33CCCC"/>
          </w:tcPr>
          <w:p>
            <w:pPr>
              <w:spacing w:after="0"/>
              <w:rPr>
                <w:sz w:val="14"/>
                <w:szCs w:val="14"/>
                <w:color w:val="auto"/>
              </w:rPr>
            </w:pPr>
          </w:p>
        </w:tc>
        <w:tc>
          <w:tcPr>
            <w:tcW w:w="1160" w:type="dxa"/>
            <w:vAlign w:val="bottom"/>
            <w:tcBorders>
              <w:top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3"/>
                <w:szCs w:val="13"/>
                <w:b w:val="1"/>
                <w:bCs w:val="1"/>
                <w:color w:val="FFFFFF"/>
              </w:rPr>
              <w:t>Up to</w:t>
            </w:r>
          </w:p>
        </w:tc>
        <w:tc>
          <w:tcPr>
            <w:tcW w:w="13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Change %</w:t>
            </w: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bottom w:val="single" w:sz="8" w:color="33CCCC"/>
              <w:right w:val="single" w:sz="8" w:color="auto"/>
            </w:tcBorders>
            <w:vMerge w:val="continue"/>
            <w:shd w:val="clear" w:color="auto" w:fill="33CCCC"/>
          </w:tcPr>
          <w:p>
            <w:pPr>
              <w:spacing w:after="0"/>
              <w:rPr>
                <w:sz w:val="13"/>
                <w:szCs w:val="13"/>
                <w:color w:val="auto"/>
              </w:rPr>
            </w:pPr>
          </w:p>
        </w:tc>
        <w:tc>
          <w:tcPr>
            <w:tcW w:w="94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3Q24</w:t>
            </w:r>
          </w:p>
        </w:tc>
        <w:tc>
          <w:tcPr>
            <w:tcW w:w="96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2Q25</w:t>
            </w:r>
          </w:p>
        </w:tc>
        <w:tc>
          <w:tcPr>
            <w:tcW w:w="96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3Q25</w:t>
            </w:r>
          </w:p>
        </w:tc>
        <w:tc>
          <w:tcPr>
            <w:tcW w:w="94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96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YoY</w:t>
            </w:r>
          </w:p>
        </w:tc>
        <w:tc>
          <w:tcPr>
            <w:tcW w:w="720" w:type="dxa"/>
            <w:vAlign w:val="bottom"/>
            <w:tcBorders>
              <w:bottom w:val="single" w:sz="8" w:color="33CCCC"/>
            </w:tcBorders>
            <w:shd w:val="clear" w:color="auto" w:fill="33CCCC"/>
          </w:tcPr>
          <w:p>
            <w:pPr>
              <w:ind w:left="240"/>
              <w:spacing w:after="0"/>
              <w:rPr>
                <w:sz w:val="20"/>
                <w:szCs w:val="20"/>
                <w:color w:val="auto"/>
              </w:rPr>
            </w:pPr>
            <w:r>
              <w:rPr>
                <w:rFonts w:ascii="Arial" w:cs="Arial" w:eastAsia="Arial" w:hAnsi="Arial"/>
                <w:sz w:val="13"/>
                <w:szCs w:val="13"/>
                <w:b w:val="1"/>
                <w:bCs w:val="1"/>
                <w:color w:val="FFFFFF"/>
              </w:rPr>
              <w:t>Sep 24</w:t>
            </w:r>
          </w:p>
        </w:tc>
        <w:tc>
          <w:tcPr>
            <w:tcW w:w="1160" w:type="dxa"/>
            <w:vAlign w:val="bottom"/>
            <w:tcBorders>
              <w:bottom w:val="single" w:sz="8" w:color="33CCCC"/>
              <w:right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Sep 25</w:t>
            </w:r>
          </w:p>
        </w:tc>
        <w:tc>
          <w:tcPr>
            <w:tcW w:w="138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Sep 25 / Sep 24</w:t>
            </w:r>
          </w:p>
        </w:tc>
        <w:tc>
          <w:tcPr>
            <w:tcW w:w="0" w:type="dxa"/>
            <w:vAlign w:val="bottom"/>
          </w:tcPr>
          <w:p>
            <w:pPr>
              <w:spacing w:after="0"/>
              <w:rPr>
                <w:sz w:val="1"/>
                <w:szCs w:val="1"/>
                <w:color w:val="auto"/>
              </w:rPr>
            </w:pPr>
          </w:p>
        </w:tc>
      </w:tr>
      <w:tr>
        <w:trPr>
          <w:trHeight w:val="137"/>
        </w:trPr>
        <w:tc>
          <w:tcPr>
            <w:tcW w:w="2560" w:type="dxa"/>
            <w:vAlign w:val="bottom"/>
            <w:tcBorders>
              <w:top w:val="single" w:sz="8" w:color="auto"/>
              <w:left w:val="single" w:sz="8" w:color="auto"/>
              <w:right w:val="single" w:sz="8" w:color="auto"/>
            </w:tcBorders>
          </w:tcPr>
          <w:p>
            <w:pPr>
              <w:ind w:left="20"/>
              <w:spacing w:after="0" w:line="137" w:lineRule="exact"/>
              <w:rPr>
                <w:sz w:val="20"/>
                <w:szCs w:val="20"/>
                <w:color w:val="auto"/>
              </w:rPr>
            </w:pPr>
            <w:r>
              <w:rPr>
                <w:rFonts w:ascii="Arial" w:cs="Arial" w:eastAsia="Arial" w:hAnsi="Arial"/>
                <w:sz w:val="13"/>
                <w:szCs w:val="13"/>
                <w:b w:val="1"/>
                <w:bCs w:val="1"/>
                <w:color w:val="auto"/>
              </w:rPr>
              <w:t>Users</w:t>
            </w:r>
          </w:p>
        </w:tc>
        <w:tc>
          <w:tcPr>
            <w:tcW w:w="9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160" w:type="dxa"/>
            <w:vAlign w:val="bottom"/>
            <w:tcBorders>
              <w:top w:val="single" w:sz="8" w:color="auto"/>
              <w:right w:val="single" w:sz="8" w:color="auto"/>
            </w:tcBorders>
          </w:tcPr>
          <w:p>
            <w:pPr>
              <w:spacing w:after="0"/>
              <w:rPr>
                <w:sz w:val="11"/>
                <w:szCs w:val="11"/>
                <w:color w:val="auto"/>
              </w:rPr>
            </w:pPr>
          </w:p>
        </w:tc>
        <w:tc>
          <w:tcPr>
            <w:tcW w:w="13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Users (millions)</w:t>
            </w:r>
          </w:p>
        </w:tc>
        <w:tc>
          <w:tcPr>
            <w:tcW w:w="940" w:type="dxa"/>
            <w:vAlign w:val="bottom"/>
          </w:tcPr>
          <w:p>
            <w:pPr>
              <w:jc w:val="center"/>
              <w:spacing w:after="0"/>
              <w:rPr>
                <w:sz w:val="20"/>
                <w:szCs w:val="20"/>
                <w:color w:val="auto"/>
              </w:rPr>
            </w:pPr>
            <w:r>
              <w:rPr>
                <w:rFonts w:ascii="Arial" w:cs="Arial" w:eastAsia="Arial" w:hAnsi="Arial"/>
                <w:sz w:val="13"/>
                <w:szCs w:val="13"/>
                <w:color w:val="auto"/>
              </w:rPr>
              <w:t>16.6</w:t>
            </w:r>
          </w:p>
        </w:tc>
        <w:tc>
          <w:tcPr>
            <w:tcW w:w="960" w:type="dxa"/>
            <w:vAlign w:val="bottom"/>
          </w:tcPr>
          <w:p>
            <w:pPr>
              <w:jc w:val="center"/>
              <w:spacing w:after="0"/>
              <w:rPr>
                <w:sz w:val="20"/>
                <w:szCs w:val="20"/>
                <w:color w:val="auto"/>
              </w:rPr>
            </w:pPr>
            <w:r>
              <w:rPr>
                <w:rFonts w:ascii="Arial" w:cs="Arial" w:eastAsia="Arial" w:hAnsi="Arial"/>
                <w:sz w:val="13"/>
                <w:szCs w:val="13"/>
                <w:color w:val="auto"/>
              </w:rPr>
              <w:t>18.6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18.7</w:t>
            </w:r>
          </w:p>
        </w:tc>
        <w:tc>
          <w:tcPr>
            <w:tcW w:w="940" w:type="dxa"/>
            <w:vAlign w:val="bottom"/>
          </w:tcPr>
          <w:p>
            <w:pPr>
              <w:jc w:val="center"/>
              <w:spacing w:after="0"/>
              <w:rPr>
                <w:sz w:val="20"/>
                <w:szCs w:val="20"/>
                <w:color w:val="auto"/>
              </w:rPr>
            </w:pPr>
            <w:r>
              <w:rPr>
                <w:rFonts w:ascii="Arial" w:cs="Arial" w:eastAsia="Arial" w:hAnsi="Arial"/>
                <w:sz w:val="13"/>
                <w:szCs w:val="13"/>
                <w:color w:val="auto"/>
              </w:rPr>
              <w:t>0.6%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12.7%</w:t>
            </w:r>
          </w:p>
        </w:tc>
        <w:tc>
          <w:tcPr>
            <w:tcW w:w="720" w:type="dxa"/>
            <w:vAlign w:val="bottom"/>
          </w:tcPr>
          <w:p>
            <w:pPr>
              <w:jc w:val="center"/>
              <w:ind w:left="114"/>
              <w:spacing w:after="0"/>
              <w:rPr>
                <w:sz w:val="20"/>
                <w:szCs w:val="20"/>
                <w:color w:val="auto"/>
              </w:rPr>
            </w:pPr>
            <w:r>
              <w:rPr>
                <w:rFonts w:ascii="Arial" w:cs="Arial" w:eastAsia="Arial" w:hAnsi="Arial"/>
                <w:sz w:val="13"/>
                <w:szCs w:val="13"/>
                <w:color w:val="auto"/>
              </w:rPr>
              <w:t>16.6</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rPr>
              <w:t>18.7</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12.7%</w:t>
            </w: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2"/>
                <w:szCs w:val="12"/>
                <w:color w:val="auto"/>
              </w:rPr>
              <w:t xml:space="preserve">Monthly Active Users (MAU) (millions) </w:t>
            </w:r>
            <w:r>
              <w:rPr>
                <w:rFonts w:ascii="Arial" w:cs="Arial" w:eastAsia="Arial" w:hAnsi="Arial"/>
                <w:sz w:val="18"/>
                <w:szCs w:val="18"/>
                <w:color w:val="auto"/>
                <w:vertAlign w:val="superscript"/>
              </w:rPr>
              <w:t>(2)</w:t>
            </w:r>
          </w:p>
        </w:tc>
        <w:tc>
          <w:tcPr>
            <w:tcW w:w="940" w:type="dxa"/>
            <w:vAlign w:val="bottom"/>
          </w:tcPr>
          <w:p>
            <w:pPr>
              <w:jc w:val="center"/>
              <w:spacing w:after="0"/>
              <w:rPr>
                <w:sz w:val="20"/>
                <w:szCs w:val="20"/>
                <w:color w:val="auto"/>
              </w:rPr>
            </w:pPr>
            <w:r>
              <w:rPr>
                <w:rFonts w:ascii="Arial" w:cs="Arial" w:eastAsia="Arial" w:hAnsi="Arial"/>
                <w:sz w:val="13"/>
                <w:szCs w:val="13"/>
                <w:color w:val="auto"/>
              </w:rPr>
              <w:t>13.0</w:t>
            </w:r>
          </w:p>
        </w:tc>
        <w:tc>
          <w:tcPr>
            <w:tcW w:w="960" w:type="dxa"/>
            <w:vAlign w:val="bottom"/>
          </w:tcPr>
          <w:p>
            <w:pPr>
              <w:jc w:val="center"/>
              <w:spacing w:after="0"/>
              <w:rPr>
                <w:sz w:val="20"/>
                <w:szCs w:val="20"/>
                <w:color w:val="auto"/>
              </w:rPr>
            </w:pPr>
            <w:r>
              <w:rPr>
                <w:rFonts w:ascii="Arial" w:cs="Arial" w:eastAsia="Arial" w:hAnsi="Arial"/>
                <w:sz w:val="13"/>
                <w:szCs w:val="13"/>
                <w:color w:val="auto"/>
              </w:rPr>
              <w:t>14.9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15.5</w:t>
            </w:r>
          </w:p>
        </w:tc>
        <w:tc>
          <w:tcPr>
            <w:tcW w:w="940" w:type="dxa"/>
            <w:vAlign w:val="bottom"/>
          </w:tcPr>
          <w:p>
            <w:pPr>
              <w:jc w:val="center"/>
              <w:spacing w:after="0"/>
              <w:rPr>
                <w:sz w:val="20"/>
                <w:szCs w:val="20"/>
                <w:color w:val="auto"/>
              </w:rPr>
            </w:pPr>
            <w:r>
              <w:rPr>
                <w:rFonts w:ascii="Arial" w:cs="Arial" w:eastAsia="Arial" w:hAnsi="Arial"/>
                <w:sz w:val="13"/>
                <w:szCs w:val="13"/>
                <w:color w:val="auto"/>
              </w:rPr>
              <w:t>3.6%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18.8%</w:t>
            </w:r>
          </w:p>
        </w:tc>
        <w:tc>
          <w:tcPr>
            <w:tcW w:w="720" w:type="dxa"/>
            <w:vAlign w:val="bottom"/>
          </w:tcPr>
          <w:p>
            <w:pPr>
              <w:jc w:val="center"/>
              <w:ind w:left="114"/>
              <w:spacing w:after="0"/>
              <w:rPr>
                <w:sz w:val="20"/>
                <w:szCs w:val="20"/>
                <w:color w:val="auto"/>
              </w:rPr>
            </w:pPr>
            <w:r>
              <w:rPr>
                <w:rFonts w:ascii="Arial" w:cs="Arial" w:eastAsia="Arial" w:hAnsi="Arial"/>
                <w:sz w:val="13"/>
                <w:szCs w:val="13"/>
                <w:color w:val="auto"/>
              </w:rPr>
              <w:t>13.0</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rPr>
              <w:t>15.5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18.8%</w:t>
            </w:r>
          </w:p>
        </w:tc>
        <w:tc>
          <w:tcPr>
            <w:tcW w:w="0" w:type="dxa"/>
            <w:vAlign w:val="bottom"/>
          </w:tcPr>
          <w:p>
            <w:pPr>
              <w:spacing w:after="0"/>
              <w:rPr>
                <w:sz w:val="1"/>
                <w:szCs w:val="1"/>
                <w:color w:val="auto"/>
              </w:rPr>
            </w:pPr>
          </w:p>
        </w:tc>
      </w:tr>
      <w:tr>
        <w:trPr>
          <w:trHeight w:val="168"/>
        </w:trPr>
        <w:tc>
          <w:tcPr>
            <w:tcW w:w="2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Revenue Generating MAU (millions)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13.2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27.3%</w:t>
            </w:r>
          </w:p>
        </w:tc>
        <w:tc>
          <w:tcPr>
            <w:tcW w:w="720" w:type="dxa"/>
            <w:vAlign w:val="bottom"/>
            <w:tcBorders>
              <w:bottom w:val="single" w:sz="8" w:color="auto"/>
            </w:tcBorders>
          </w:tcPr>
          <w:p>
            <w:pPr>
              <w:jc w:val="center"/>
              <w:ind w:left="114"/>
              <w:spacing w:after="0"/>
              <w:rPr>
                <w:sz w:val="20"/>
                <w:szCs w:val="20"/>
                <w:color w:val="auto"/>
              </w:rPr>
            </w:pPr>
            <w:r>
              <w:rPr>
                <w:rFonts w:ascii="Arial" w:cs="Arial" w:eastAsia="Arial" w:hAnsi="Arial"/>
                <w:sz w:val="13"/>
                <w:szCs w:val="13"/>
                <w:color w:val="auto"/>
              </w:rPr>
              <w:t>10.4</w:t>
            </w:r>
          </w:p>
        </w:tc>
        <w:tc>
          <w:tcPr>
            <w:tcW w:w="116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3"/>
                <w:szCs w:val="13"/>
                <w:color w:val="auto"/>
              </w:rPr>
              <w:t>13.2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27.3%</w:t>
            </w:r>
          </w:p>
        </w:tc>
        <w:tc>
          <w:tcPr>
            <w:tcW w:w="0" w:type="dxa"/>
            <w:vAlign w:val="bottom"/>
          </w:tcPr>
          <w:p>
            <w:pPr>
              <w:spacing w:after="0"/>
              <w:rPr>
                <w:sz w:val="1"/>
                <w:szCs w:val="1"/>
                <w:color w:val="auto"/>
              </w:rPr>
            </w:pPr>
          </w:p>
        </w:tc>
      </w:tr>
      <w:tr>
        <w:trPr>
          <w:trHeight w:val="137"/>
        </w:trPr>
        <w:tc>
          <w:tcPr>
            <w:tcW w:w="2560" w:type="dxa"/>
            <w:vAlign w:val="bottom"/>
            <w:tcBorders>
              <w:left w:val="single" w:sz="8" w:color="auto"/>
              <w:right w:val="single" w:sz="8" w:color="auto"/>
            </w:tcBorders>
          </w:tcPr>
          <w:p>
            <w:pPr>
              <w:ind w:left="20"/>
              <w:spacing w:after="0" w:line="137" w:lineRule="exact"/>
              <w:rPr>
                <w:sz w:val="20"/>
                <w:szCs w:val="20"/>
                <w:color w:val="auto"/>
              </w:rPr>
            </w:pPr>
            <w:r>
              <w:rPr>
                <w:rFonts w:ascii="Arial" w:cs="Arial" w:eastAsia="Arial" w:hAnsi="Arial"/>
                <w:sz w:val="13"/>
                <w:szCs w:val="13"/>
                <w:b w:val="1"/>
                <w:bCs w:val="1"/>
                <w:color w:val="auto"/>
              </w:rPr>
              <w:t>Engagement</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Transactions (millions)</w:t>
            </w:r>
          </w:p>
        </w:tc>
        <w:tc>
          <w:tcPr>
            <w:tcW w:w="940" w:type="dxa"/>
            <w:vAlign w:val="bottom"/>
          </w:tcPr>
          <w:p>
            <w:pPr>
              <w:jc w:val="center"/>
              <w:spacing w:after="0"/>
              <w:rPr>
                <w:sz w:val="20"/>
                <w:szCs w:val="20"/>
                <w:color w:val="auto"/>
              </w:rPr>
            </w:pPr>
            <w:r>
              <w:rPr>
                <w:rFonts w:ascii="Arial" w:cs="Arial" w:eastAsia="Arial" w:hAnsi="Arial"/>
                <w:sz w:val="13"/>
                <w:szCs w:val="13"/>
                <w:color w:val="auto"/>
              </w:rPr>
              <w:t>1,664.2</w:t>
            </w:r>
          </w:p>
        </w:tc>
        <w:tc>
          <w:tcPr>
            <w:tcW w:w="960" w:type="dxa"/>
            <w:vAlign w:val="bottom"/>
          </w:tcPr>
          <w:p>
            <w:pPr>
              <w:jc w:val="center"/>
              <w:spacing w:after="0"/>
              <w:rPr>
                <w:sz w:val="20"/>
                <w:szCs w:val="20"/>
                <w:color w:val="auto"/>
              </w:rPr>
            </w:pPr>
            <w:r>
              <w:rPr>
                <w:rFonts w:ascii="Arial" w:cs="Arial" w:eastAsia="Arial" w:hAnsi="Arial"/>
                <w:sz w:val="13"/>
                <w:szCs w:val="13"/>
                <w:color w:val="auto"/>
              </w:rPr>
              <w:t>2,384.9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2,640.1</w:t>
            </w:r>
          </w:p>
        </w:tc>
        <w:tc>
          <w:tcPr>
            <w:tcW w:w="940" w:type="dxa"/>
            <w:vAlign w:val="bottom"/>
          </w:tcPr>
          <w:p>
            <w:pPr>
              <w:jc w:val="center"/>
              <w:spacing w:after="0"/>
              <w:rPr>
                <w:sz w:val="20"/>
                <w:szCs w:val="20"/>
                <w:color w:val="auto"/>
              </w:rPr>
            </w:pPr>
            <w:r>
              <w:rPr>
                <w:rFonts w:ascii="Arial" w:cs="Arial" w:eastAsia="Arial" w:hAnsi="Arial"/>
                <w:sz w:val="13"/>
                <w:szCs w:val="13"/>
                <w:color w:val="auto"/>
              </w:rPr>
              <w:t>10.7%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58.6%</w:t>
            </w:r>
          </w:p>
        </w:tc>
        <w:tc>
          <w:tcPr>
            <w:tcW w:w="720" w:type="dxa"/>
            <w:vAlign w:val="bottom"/>
          </w:tcPr>
          <w:p>
            <w:pPr>
              <w:jc w:val="center"/>
              <w:ind w:left="114"/>
              <w:spacing w:after="0"/>
              <w:rPr>
                <w:sz w:val="20"/>
                <w:szCs w:val="20"/>
                <w:color w:val="auto"/>
              </w:rPr>
            </w:pPr>
            <w:r>
              <w:rPr>
                <w:rFonts w:ascii="Arial" w:cs="Arial" w:eastAsia="Arial" w:hAnsi="Arial"/>
                <w:sz w:val="13"/>
                <w:szCs w:val="13"/>
                <w:color w:val="auto"/>
                <w:w w:val="96"/>
              </w:rPr>
              <w:t>4,192.5</w:t>
            </w:r>
          </w:p>
        </w:tc>
        <w:tc>
          <w:tcPr>
            <w:tcW w:w="1160" w:type="dxa"/>
            <w:vAlign w:val="bottom"/>
            <w:tcBorders>
              <w:right w:val="single" w:sz="8" w:color="auto"/>
            </w:tcBorders>
          </w:tcPr>
          <w:p>
            <w:pPr>
              <w:jc w:val="center"/>
              <w:ind w:left="134"/>
              <w:spacing w:after="0"/>
              <w:rPr>
                <w:sz w:val="20"/>
                <w:szCs w:val="20"/>
                <w:color w:val="auto"/>
              </w:rPr>
            </w:pPr>
            <w:r>
              <w:rPr>
                <w:rFonts w:ascii="Arial" w:cs="Arial" w:eastAsia="Arial" w:hAnsi="Arial"/>
                <w:sz w:val="13"/>
                <w:szCs w:val="13"/>
                <w:color w:val="auto"/>
              </w:rPr>
              <w:t>7,050.4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68.2%</w:t>
            </w: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Transactions / MAU</w:t>
            </w:r>
          </w:p>
        </w:tc>
        <w:tc>
          <w:tcPr>
            <w:tcW w:w="940" w:type="dxa"/>
            <w:vAlign w:val="bottom"/>
          </w:tcPr>
          <w:p>
            <w:pPr>
              <w:jc w:val="center"/>
              <w:spacing w:after="0"/>
              <w:rPr>
                <w:sz w:val="20"/>
                <w:szCs w:val="20"/>
                <w:color w:val="auto"/>
              </w:rPr>
            </w:pPr>
            <w:r>
              <w:rPr>
                <w:rFonts w:ascii="Arial" w:cs="Arial" w:eastAsia="Arial" w:hAnsi="Arial"/>
                <w:sz w:val="13"/>
                <w:szCs w:val="13"/>
                <w:color w:val="auto"/>
              </w:rPr>
              <w:t>44.1</w:t>
            </w:r>
          </w:p>
        </w:tc>
        <w:tc>
          <w:tcPr>
            <w:tcW w:w="960" w:type="dxa"/>
            <w:vAlign w:val="bottom"/>
          </w:tcPr>
          <w:p>
            <w:pPr>
              <w:jc w:val="center"/>
              <w:spacing w:after="0"/>
              <w:rPr>
                <w:sz w:val="20"/>
                <w:szCs w:val="20"/>
                <w:color w:val="auto"/>
              </w:rPr>
            </w:pPr>
            <w:r>
              <w:rPr>
                <w:rFonts w:ascii="Arial" w:cs="Arial" w:eastAsia="Arial" w:hAnsi="Arial"/>
                <w:sz w:val="13"/>
                <w:szCs w:val="13"/>
                <w:color w:val="auto"/>
              </w:rPr>
              <w:t>54.5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58.5</w:t>
            </w:r>
          </w:p>
        </w:tc>
        <w:tc>
          <w:tcPr>
            <w:tcW w:w="940" w:type="dxa"/>
            <w:vAlign w:val="bottom"/>
          </w:tcPr>
          <w:p>
            <w:pPr>
              <w:jc w:val="center"/>
              <w:spacing w:after="0"/>
              <w:rPr>
                <w:sz w:val="20"/>
                <w:szCs w:val="20"/>
                <w:color w:val="auto"/>
              </w:rPr>
            </w:pPr>
            <w:r>
              <w:rPr>
                <w:rFonts w:ascii="Arial" w:cs="Arial" w:eastAsia="Arial" w:hAnsi="Arial"/>
                <w:sz w:val="13"/>
                <w:szCs w:val="13"/>
                <w:color w:val="auto"/>
              </w:rPr>
              <w:t>7.4%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32.6%</w:t>
            </w:r>
          </w:p>
        </w:tc>
        <w:tc>
          <w:tcPr>
            <w:tcW w:w="720" w:type="dxa"/>
            <w:vAlign w:val="bottom"/>
          </w:tcPr>
          <w:p>
            <w:pPr>
              <w:jc w:val="center"/>
              <w:ind w:left="114"/>
              <w:spacing w:after="0"/>
              <w:rPr>
                <w:sz w:val="20"/>
                <w:szCs w:val="20"/>
                <w:color w:val="auto"/>
              </w:rPr>
            </w:pPr>
            <w:r>
              <w:rPr>
                <w:rFonts w:ascii="Arial" w:cs="Arial" w:eastAsia="Arial" w:hAnsi="Arial"/>
                <w:sz w:val="13"/>
                <w:szCs w:val="13"/>
                <w:color w:val="auto"/>
              </w:rPr>
              <w:t>44.1</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rPr>
              <w:t>58.5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32.6%</w:t>
            </w:r>
          </w:p>
        </w:tc>
        <w:tc>
          <w:tcPr>
            <w:tcW w:w="0" w:type="dxa"/>
            <w:vAlign w:val="bottom"/>
          </w:tcPr>
          <w:p>
            <w:pPr>
              <w:spacing w:after="0"/>
              <w:rPr>
                <w:sz w:val="1"/>
                <w:szCs w:val="1"/>
                <w:color w:val="auto"/>
              </w:rPr>
            </w:pPr>
          </w:p>
        </w:tc>
      </w:tr>
      <w:tr>
        <w:trPr>
          <w:trHeight w:val="168"/>
        </w:trPr>
        <w:tc>
          <w:tcPr>
            <w:tcW w:w="2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Average Functionalities / MAU</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2.4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2.7</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2.7</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1.5%</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12.5%</w:t>
            </w:r>
          </w:p>
        </w:tc>
        <w:tc>
          <w:tcPr>
            <w:tcW w:w="720" w:type="dxa"/>
            <w:vAlign w:val="bottom"/>
            <w:tcBorders>
              <w:bottom w:val="single" w:sz="8" w:color="auto"/>
            </w:tcBorders>
          </w:tcPr>
          <w:p>
            <w:pPr>
              <w:jc w:val="center"/>
              <w:ind w:left="114"/>
              <w:spacing w:after="0"/>
              <w:rPr>
                <w:sz w:val="20"/>
                <w:szCs w:val="20"/>
                <w:color w:val="auto"/>
              </w:rPr>
            </w:pPr>
            <w:r>
              <w:rPr>
                <w:rFonts w:ascii="Arial" w:cs="Arial" w:eastAsia="Arial" w:hAnsi="Arial"/>
                <w:sz w:val="13"/>
                <w:szCs w:val="13"/>
                <w:color w:val="auto"/>
                <w:w w:val="99"/>
              </w:rPr>
              <w:t>2.4</w:t>
            </w:r>
          </w:p>
        </w:tc>
        <w:tc>
          <w:tcPr>
            <w:tcW w:w="116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3"/>
                <w:szCs w:val="13"/>
                <w:color w:val="auto"/>
                <w:w w:val="99"/>
              </w:rPr>
              <w:t>2.7</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12.5%</w:t>
            </w:r>
          </w:p>
        </w:tc>
        <w:tc>
          <w:tcPr>
            <w:tcW w:w="0" w:type="dxa"/>
            <w:vAlign w:val="bottom"/>
          </w:tcPr>
          <w:p>
            <w:pPr>
              <w:spacing w:after="0"/>
              <w:rPr>
                <w:sz w:val="1"/>
                <w:szCs w:val="1"/>
                <w:color w:val="auto"/>
              </w:rPr>
            </w:pPr>
          </w:p>
        </w:tc>
      </w:tr>
      <w:tr>
        <w:trPr>
          <w:trHeight w:val="136"/>
        </w:trPr>
        <w:tc>
          <w:tcPr>
            <w:tcW w:w="25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rPr>
              <w:t>Experience</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60" w:type="dxa"/>
            <w:vAlign w:val="bottom"/>
            <w:tcBorders>
              <w:left w:val="single" w:sz="8" w:color="auto"/>
              <w:bottom w:val="single" w:sz="8" w:color="auto"/>
              <w:right w:val="single" w:sz="8" w:color="auto"/>
            </w:tcBorders>
          </w:tcPr>
          <w:p>
            <w:pPr>
              <w:ind w:left="20"/>
              <w:spacing w:after="0" w:line="168" w:lineRule="exact"/>
              <w:rPr>
                <w:sz w:val="20"/>
                <w:szCs w:val="20"/>
                <w:color w:val="auto"/>
              </w:rPr>
            </w:pPr>
            <w:r>
              <w:rPr>
                <w:rFonts w:ascii="Arial" w:cs="Arial" w:eastAsia="Arial" w:hAnsi="Arial"/>
                <w:sz w:val="12"/>
                <w:szCs w:val="12"/>
                <w:color w:val="auto"/>
              </w:rPr>
              <w:t xml:space="preserve">NPS </w:t>
            </w:r>
            <w:r>
              <w:rPr>
                <w:rFonts w:ascii="Arial" w:cs="Arial" w:eastAsia="Arial" w:hAnsi="Arial"/>
                <w:sz w:val="19"/>
                <w:szCs w:val="19"/>
                <w:color w:val="auto"/>
                <w:vertAlign w:val="superscript"/>
              </w:rPr>
              <w:t>(3)</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73.5</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77.0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76.0</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-100 bps</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250 bps</w:t>
            </w:r>
          </w:p>
        </w:tc>
        <w:tc>
          <w:tcPr>
            <w:tcW w:w="720" w:type="dxa"/>
            <w:vAlign w:val="bottom"/>
            <w:tcBorders>
              <w:bottom w:val="single" w:sz="8" w:color="auto"/>
            </w:tcBorders>
          </w:tcPr>
          <w:p>
            <w:pPr>
              <w:jc w:val="center"/>
              <w:ind w:left="114"/>
              <w:spacing w:after="0"/>
              <w:rPr>
                <w:sz w:val="20"/>
                <w:szCs w:val="20"/>
                <w:color w:val="auto"/>
              </w:rPr>
            </w:pPr>
            <w:r>
              <w:rPr>
                <w:rFonts w:ascii="Arial" w:cs="Arial" w:eastAsia="Arial" w:hAnsi="Arial"/>
                <w:sz w:val="13"/>
                <w:szCs w:val="13"/>
                <w:color w:val="auto"/>
              </w:rPr>
              <w:t>73.5</w:t>
            </w:r>
          </w:p>
        </w:tc>
        <w:tc>
          <w:tcPr>
            <w:tcW w:w="116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3"/>
                <w:szCs w:val="13"/>
                <w:color w:val="auto"/>
              </w:rPr>
              <w:t>76.0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250 bps</w:t>
            </w:r>
          </w:p>
        </w:tc>
        <w:tc>
          <w:tcPr>
            <w:tcW w:w="0" w:type="dxa"/>
            <w:vAlign w:val="bottom"/>
          </w:tcPr>
          <w:p>
            <w:pPr>
              <w:spacing w:after="0"/>
              <w:rPr>
                <w:sz w:val="1"/>
                <w:szCs w:val="1"/>
                <w:color w:val="auto"/>
              </w:rPr>
            </w:pPr>
          </w:p>
        </w:tc>
      </w:tr>
      <w:tr>
        <w:trPr>
          <w:trHeight w:val="136"/>
        </w:trPr>
        <w:tc>
          <w:tcPr>
            <w:tcW w:w="25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rPr>
              <w:t>Unit Economics</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2"/>
                <w:szCs w:val="12"/>
                <w:b w:val="1"/>
                <w:bCs w:val="1"/>
                <w:color w:val="auto"/>
              </w:rPr>
              <w:t xml:space="preserve">Monthly Indicators </w:t>
            </w:r>
            <w:r>
              <w:rPr>
                <w:rFonts w:ascii="Arial" w:cs="Arial" w:eastAsia="Arial" w:hAnsi="Arial"/>
                <w:sz w:val="18"/>
                <w:szCs w:val="18"/>
                <w:b w:val="1"/>
                <w:bCs w:val="1"/>
                <w:color w:val="auto"/>
                <w:vertAlign w:val="superscript"/>
              </w:rPr>
              <w:t>(4)</w:t>
            </w: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Revenues / MAU (S/)</w:t>
            </w:r>
          </w:p>
        </w:tc>
        <w:tc>
          <w:tcPr>
            <w:tcW w:w="940" w:type="dxa"/>
            <w:vAlign w:val="bottom"/>
          </w:tcPr>
          <w:p>
            <w:pPr>
              <w:jc w:val="center"/>
              <w:spacing w:after="0"/>
              <w:rPr>
                <w:sz w:val="20"/>
                <w:szCs w:val="20"/>
                <w:color w:val="auto"/>
              </w:rPr>
            </w:pPr>
            <w:r>
              <w:rPr>
                <w:rFonts w:ascii="Arial" w:cs="Arial" w:eastAsia="Arial" w:hAnsi="Arial"/>
                <w:sz w:val="13"/>
                <w:szCs w:val="13"/>
                <w:color w:val="auto"/>
                <w:w w:val="99"/>
              </w:rPr>
              <w:t>4.6</w:t>
            </w:r>
          </w:p>
        </w:tc>
        <w:tc>
          <w:tcPr>
            <w:tcW w:w="960" w:type="dxa"/>
            <w:vAlign w:val="bottom"/>
          </w:tcPr>
          <w:p>
            <w:pPr>
              <w:jc w:val="center"/>
              <w:spacing w:after="0"/>
              <w:rPr>
                <w:sz w:val="20"/>
                <w:szCs w:val="20"/>
                <w:color w:val="auto"/>
              </w:rPr>
            </w:pPr>
            <w:r>
              <w:rPr>
                <w:rFonts w:ascii="Arial" w:cs="Arial" w:eastAsia="Arial" w:hAnsi="Arial"/>
                <w:sz w:val="13"/>
                <w:szCs w:val="13"/>
                <w:color w:val="auto"/>
                <w:w w:val="99"/>
              </w:rPr>
              <w:t>6.5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7.4</w:t>
            </w:r>
          </w:p>
        </w:tc>
        <w:tc>
          <w:tcPr>
            <w:tcW w:w="940" w:type="dxa"/>
            <w:vAlign w:val="bottom"/>
          </w:tcPr>
          <w:p>
            <w:pPr>
              <w:jc w:val="center"/>
              <w:spacing w:after="0"/>
              <w:rPr>
                <w:sz w:val="20"/>
                <w:szCs w:val="20"/>
                <w:color w:val="auto"/>
              </w:rPr>
            </w:pPr>
            <w:r>
              <w:rPr>
                <w:rFonts w:ascii="Arial" w:cs="Arial" w:eastAsia="Arial" w:hAnsi="Arial"/>
                <w:sz w:val="13"/>
                <w:szCs w:val="13"/>
                <w:color w:val="auto"/>
              </w:rPr>
              <w:t>14.9%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60.4%</w:t>
            </w:r>
          </w:p>
        </w:tc>
        <w:tc>
          <w:tcPr>
            <w:tcW w:w="720" w:type="dxa"/>
            <w:vAlign w:val="bottom"/>
          </w:tcPr>
          <w:p>
            <w:pPr>
              <w:jc w:val="center"/>
              <w:ind w:left="114"/>
              <w:spacing w:after="0"/>
              <w:rPr>
                <w:sz w:val="20"/>
                <w:szCs w:val="20"/>
                <w:color w:val="auto"/>
              </w:rPr>
            </w:pPr>
            <w:r>
              <w:rPr>
                <w:rFonts w:ascii="Arial" w:cs="Arial" w:eastAsia="Arial" w:hAnsi="Arial"/>
                <w:sz w:val="13"/>
                <w:szCs w:val="13"/>
                <w:color w:val="auto"/>
                <w:w w:val="99"/>
              </w:rPr>
              <w:t>4.6</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w w:val="99"/>
              </w:rPr>
              <w:t>7.4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60.4%</w:t>
            </w: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Expenses / MAU (S/)</w:t>
            </w:r>
          </w:p>
        </w:tc>
        <w:tc>
          <w:tcPr>
            <w:tcW w:w="940" w:type="dxa"/>
            <w:vAlign w:val="bottom"/>
          </w:tcPr>
          <w:p>
            <w:pPr>
              <w:jc w:val="center"/>
              <w:spacing w:after="0"/>
              <w:rPr>
                <w:sz w:val="20"/>
                <w:szCs w:val="20"/>
                <w:color w:val="auto"/>
              </w:rPr>
            </w:pPr>
            <w:r>
              <w:rPr>
                <w:rFonts w:ascii="Arial" w:cs="Arial" w:eastAsia="Arial" w:hAnsi="Arial"/>
                <w:sz w:val="13"/>
                <w:szCs w:val="13"/>
                <w:color w:val="auto"/>
                <w:w w:val="97"/>
              </w:rPr>
              <w:t>-4.2</w:t>
            </w:r>
          </w:p>
        </w:tc>
        <w:tc>
          <w:tcPr>
            <w:tcW w:w="960" w:type="dxa"/>
            <w:vAlign w:val="bottom"/>
          </w:tcPr>
          <w:p>
            <w:pPr>
              <w:jc w:val="center"/>
              <w:spacing w:after="0"/>
              <w:rPr>
                <w:sz w:val="20"/>
                <w:szCs w:val="20"/>
                <w:color w:val="auto"/>
              </w:rPr>
            </w:pPr>
            <w:r>
              <w:rPr>
                <w:rFonts w:ascii="Arial" w:cs="Arial" w:eastAsia="Arial" w:hAnsi="Arial"/>
                <w:sz w:val="13"/>
                <w:szCs w:val="13"/>
                <w:color w:val="auto"/>
                <w:w w:val="97"/>
              </w:rPr>
              <w:t>-4.4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-5.0</w:t>
            </w:r>
          </w:p>
        </w:tc>
        <w:tc>
          <w:tcPr>
            <w:tcW w:w="940" w:type="dxa"/>
            <w:vAlign w:val="bottom"/>
          </w:tcPr>
          <w:p>
            <w:pPr>
              <w:jc w:val="center"/>
              <w:spacing w:after="0"/>
              <w:rPr>
                <w:sz w:val="20"/>
                <w:szCs w:val="20"/>
                <w:color w:val="auto"/>
              </w:rPr>
            </w:pPr>
            <w:r>
              <w:rPr>
                <w:rFonts w:ascii="Arial" w:cs="Arial" w:eastAsia="Arial" w:hAnsi="Arial"/>
                <w:sz w:val="13"/>
                <w:szCs w:val="13"/>
                <w:color w:val="auto"/>
              </w:rPr>
              <w:t>15.4%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20.6%</w:t>
            </w:r>
          </w:p>
        </w:tc>
        <w:tc>
          <w:tcPr>
            <w:tcW w:w="720" w:type="dxa"/>
            <w:vAlign w:val="bottom"/>
          </w:tcPr>
          <w:p>
            <w:pPr>
              <w:jc w:val="center"/>
              <w:ind w:left="114"/>
              <w:spacing w:after="0"/>
              <w:rPr>
                <w:sz w:val="20"/>
                <w:szCs w:val="20"/>
                <w:color w:val="auto"/>
              </w:rPr>
            </w:pPr>
            <w:r>
              <w:rPr>
                <w:rFonts w:ascii="Arial" w:cs="Arial" w:eastAsia="Arial" w:hAnsi="Arial"/>
                <w:sz w:val="13"/>
                <w:szCs w:val="13"/>
                <w:color w:val="auto"/>
                <w:w w:val="97"/>
              </w:rPr>
              <w:t>-4.2</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w w:val="97"/>
              </w:rPr>
              <w:t>-5.0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20.6%</w:t>
            </w: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2"/>
                <w:szCs w:val="12"/>
                <w:b w:val="1"/>
                <w:bCs w:val="1"/>
                <w:color w:val="auto"/>
              </w:rPr>
              <w:t xml:space="preserve">Quarterly Indicators </w:t>
            </w:r>
            <w:r>
              <w:rPr>
                <w:rFonts w:ascii="Arial" w:cs="Arial" w:eastAsia="Arial" w:hAnsi="Arial"/>
                <w:sz w:val="18"/>
                <w:szCs w:val="18"/>
                <w:b w:val="1"/>
                <w:bCs w:val="1"/>
                <w:color w:val="auto"/>
                <w:vertAlign w:val="superscript"/>
              </w:rPr>
              <w:t>(5)</w:t>
            </w: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Revenues / MAU (S/)</w:t>
            </w:r>
          </w:p>
        </w:tc>
        <w:tc>
          <w:tcPr>
            <w:tcW w:w="940" w:type="dxa"/>
            <w:vAlign w:val="bottom"/>
          </w:tcPr>
          <w:p>
            <w:pPr>
              <w:jc w:val="center"/>
              <w:spacing w:after="0"/>
              <w:rPr>
                <w:sz w:val="20"/>
                <w:szCs w:val="20"/>
                <w:color w:val="auto"/>
              </w:rPr>
            </w:pPr>
            <w:r>
              <w:rPr>
                <w:rFonts w:ascii="Arial" w:cs="Arial" w:eastAsia="Arial" w:hAnsi="Arial"/>
                <w:sz w:val="13"/>
                <w:szCs w:val="13"/>
                <w:color w:val="auto"/>
                <w:w w:val="99"/>
              </w:rPr>
              <w:t>4.7</w:t>
            </w:r>
          </w:p>
        </w:tc>
        <w:tc>
          <w:tcPr>
            <w:tcW w:w="960" w:type="dxa"/>
            <w:vAlign w:val="bottom"/>
          </w:tcPr>
          <w:p>
            <w:pPr>
              <w:jc w:val="center"/>
              <w:spacing w:after="0"/>
              <w:rPr>
                <w:sz w:val="20"/>
                <w:szCs w:val="20"/>
                <w:color w:val="auto"/>
              </w:rPr>
            </w:pPr>
            <w:r>
              <w:rPr>
                <w:rFonts w:ascii="Arial" w:cs="Arial" w:eastAsia="Arial" w:hAnsi="Arial"/>
                <w:sz w:val="13"/>
                <w:szCs w:val="13"/>
                <w:color w:val="auto"/>
                <w:w w:val="99"/>
              </w:rPr>
              <w:t>6.4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7.4</w:t>
            </w:r>
          </w:p>
        </w:tc>
        <w:tc>
          <w:tcPr>
            <w:tcW w:w="940" w:type="dxa"/>
            <w:vAlign w:val="bottom"/>
          </w:tcPr>
          <w:p>
            <w:pPr>
              <w:jc w:val="center"/>
              <w:spacing w:after="0"/>
              <w:rPr>
                <w:sz w:val="20"/>
                <w:szCs w:val="20"/>
                <w:color w:val="auto"/>
              </w:rPr>
            </w:pPr>
            <w:r>
              <w:rPr>
                <w:rFonts w:ascii="Arial" w:cs="Arial" w:eastAsia="Arial" w:hAnsi="Arial"/>
                <w:sz w:val="13"/>
                <w:szCs w:val="13"/>
                <w:color w:val="auto"/>
              </w:rPr>
              <w:t>15.6%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58.0%</w:t>
            </w:r>
          </w:p>
        </w:tc>
        <w:tc>
          <w:tcPr>
            <w:tcW w:w="720" w:type="dxa"/>
            <w:vAlign w:val="bottom"/>
          </w:tcPr>
          <w:p>
            <w:pPr>
              <w:jc w:val="center"/>
              <w:ind w:left="114"/>
              <w:spacing w:after="0"/>
              <w:rPr>
                <w:sz w:val="20"/>
                <w:szCs w:val="20"/>
                <w:color w:val="auto"/>
              </w:rPr>
            </w:pPr>
            <w:r>
              <w:rPr>
                <w:rFonts w:ascii="Arial" w:cs="Arial" w:eastAsia="Arial" w:hAnsi="Arial"/>
                <w:sz w:val="13"/>
                <w:szCs w:val="13"/>
                <w:color w:val="auto"/>
                <w:w w:val="99"/>
              </w:rPr>
              <w:t>3.9</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w w:val="99"/>
              </w:rPr>
              <w:t>6.5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64.3%</w:t>
            </w:r>
          </w:p>
        </w:tc>
        <w:tc>
          <w:tcPr>
            <w:tcW w:w="0" w:type="dxa"/>
            <w:vAlign w:val="bottom"/>
          </w:tcPr>
          <w:p>
            <w:pPr>
              <w:spacing w:after="0"/>
              <w:rPr>
                <w:sz w:val="1"/>
                <w:szCs w:val="1"/>
                <w:color w:val="auto"/>
              </w:rPr>
            </w:pPr>
          </w:p>
        </w:tc>
      </w:tr>
      <w:tr>
        <w:trPr>
          <w:trHeight w:val="168"/>
        </w:trPr>
        <w:tc>
          <w:tcPr>
            <w:tcW w:w="2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Expenses / MAU (S/)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-4.2</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-4.5</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-4.8</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6.5%</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14.7%</w:t>
            </w:r>
          </w:p>
        </w:tc>
        <w:tc>
          <w:tcPr>
            <w:tcW w:w="720" w:type="dxa"/>
            <w:vAlign w:val="bottom"/>
            <w:tcBorders>
              <w:bottom w:val="single" w:sz="8" w:color="auto"/>
            </w:tcBorders>
          </w:tcPr>
          <w:p>
            <w:pPr>
              <w:jc w:val="center"/>
              <w:ind w:left="114"/>
              <w:spacing w:after="0"/>
              <w:rPr>
                <w:sz w:val="20"/>
                <w:szCs w:val="20"/>
                <w:color w:val="auto"/>
              </w:rPr>
            </w:pPr>
            <w:r>
              <w:rPr>
                <w:rFonts w:ascii="Arial" w:cs="Arial" w:eastAsia="Arial" w:hAnsi="Arial"/>
                <w:sz w:val="13"/>
                <w:szCs w:val="13"/>
                <w:color w:val="auto"/>
                <w:w w:val="97"/>
              </w:rPr>
              <w:t>-4.0</w:t>
            </w:r>
          </w:p>
        </w:tc>
        <w:tc>
          <w:tcPr>
            <w:tcW w:w="116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3"/>
                <w:szCs w:val="13"/>
                <w:color w:val="auto"/>
                <w:w w:val="97"/>
              </w:rPr>
              <w:t>-4.5</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13.6%</w:t>
            </w:r>
          </w:p>
        </w:tc>
        <w:tc>
          <w:tcPr>
            <w:tcW w:w="0" w:type="dxa"/>
            <w:vAlign w:val="bottom"/>
          </w:tcPr>
          <w:p>
            <w:pPr>
              <w:spacing w:after="0"/>
              <w:rPr>
                <w:sz w:val="1"/>
                <w:szCs w:val="1"/>
                <w:color w:val="auto"/>
              </w:rPr>
            </w:pPr>
          </w:p>
        </w:tc>
      </w:tr>
      <w:tr>
        <w:trPr>
          <w:trHeight w:val="136"/>
        </w:trPr>
        <w:tc>
          <w:tcPr>
            <w:tcW w:w="25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rPr>
              <w:t>Drivers Monetization</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2"/>
                <w:szCs w:val="12"/>
                <w:color w:val="auto"/>
              </w:rPr>
              <w:t xml:space="preserve">Total TPV (S/, billions) </w:t>
            </w:r>
            <w:r>
              <w:rPr>
                <w:rFonts w:ascii="Arial" w:cs="Arial" w:eastAsia="Arial" w:hAnsi="Arial"/>
                <w:sz w:val="18"/>
                <w:szCs w:val="18"/>
                <w:color w:val="auto"/>
                <w:vertAlign w:val="superscript"/>
              </w:rPr>
              <w:t>(6)</w:t>
            </w:r>
          </w:p>
        </w:tc>
        <w:tc>
          <w:tcPr>
            <w:tcW w:w="940" w:type="dxa"/>
            <w:vAlign w:val="bottom"/>
          </w:tcPr>
          <w:p>
            <w:pPr>
              <w:jc w:val="center"/>
              <w:spacing w:after="0"/>
              <w:rPr>
                <w:sz w:val="20"/>
                <w:szCs w:val="20"/>
                <w:color w:val="auto"/>
              </w:rPr>
            </w:pPr>
            <w:r>
              <w:rPr>
                <w:rFonts w:ascii="Arial" w:cs="Arial" w:eastAsia="Arial" w:hAnsi="Arial"/>
                <w:sz w:val="13"/>
                <w:szCs w:val="13"/>
                <w:color w:val="auto"/>
              </w:rPr>
              <w:t>76.9</w:t>
            </w: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103.4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113.9</w:t>
            </w:r>
          </w:p>
        </w:tc>
        <w:tc>
          <w:tcPr>
            <w:tcW w:w="940" w:type="dxa"/>
            <w:vAlign w:val="bottom"/>
          </w:tcPr>
          <w:p>
            <w:pPr>
              <w:jc w:val="center"/>
              <w:spacing w:after="0"/>
              <w:rPr>
                <w:sz w:val="20"/>
                <w:szCs w:val="20"/>
                <w:color w:val="auto"/>
              </w:rPr>
            </w:pPr>
            <w:r>
              <w:rPr>
                <w:rFonts w:ascii="Arial" w:cs="Arial" w:eastAsia="Arial" w:hAnsi="Arial"/>
                <w:sz w:val="13"/>
                <w:szCs w:val="13"/>
                <w:color w:val="auto"/>
              </w:rPr>
              <w:t>10.2%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48.1%</w:t>
            </w:r>
          </w:p>
        </w:tc>
        <w:tc>
          <w:tcPr>
            <w:tcW w:w="720" w:type="dxa"/>
            <w:vAlign w:val="bottom"/>
          </w:tcPr>
          <w:p>
            <w:pPr>
              <w:jc w:val="center"/>
              <w:ind w:left="134"/>
              <w:spacing w:after="0"/>
              <w:rPr>
                <w:sz w:val="20"/>
                <w:szCs w:val="20"/>
                <w:color w:val="auto"/>
              </w:rPr>
            </w:pPr>
            <w:r>
              <w:rPr>
                <w:rFonts w:ascii="Arial" w:cs="Arial" w:eastAsia="Arial" w:hAnsi="Arial"/>
                <w:sz w:val="13"/>
                <w:szCs w:val="13"/>
                <w:color w:val="auto"/>
                <w:w w:val="98"/>
              </w:rPr>
              <w:t>189.5</w:t>
            </w:r>
          </w:p>
        </w:tc>
        <w:tc>
          <w:tcPr>
            <w:tcW w:w="1160" w:type="dxa"/>
            <w:vAlign w:val="bottom"/>
            <w:tcBorders>
              <w:right w:val="single" w:sz="8" w:color="auto"/>
            </w:tcBorders>
          </w:tcPr>
          <w:p>
            <w:pPr>
              <w:jc w:val="center"/>
              <w:ind w:left="134"/>
              <w:spacing w:after="0"/>
              <w:rPr>
                <w:sz w:val="20"/>
                <w:szCs w:val="20"/>
                <w:color w:val="auto"/>
              </w:rPr>
            </w:pPr>
            <w:r>
              <w:rPr>
                <w:rFonts w:ascii="Arial" w:cs="Arial" w:eastAsia="Arial" w:hAnsi="Arial"/>
                <w:sz w:val="13"/>
                <w:szCs w:val="13"/>
                <w:color w:val="auto"/>
                <w:w w:val="98"/>
              </w:rPr>
              <w:t>308.8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63.0%</w:t>
            </w: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Total Revenue Generating TPV (S/,</w:t>
            </w: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2"/>
                <w:szCs w:val="12"/>
                <w:color w:val="auto"/>
              </w:rPr>
              <w:t xml:space="preserve">billions) </w:t>
            </w:r>
            <w:r>
              <w:rPr>
                <w:rFonts w:ascii="Arial" w:cs="Arial" w:eastAsia="Arial" w:hAnsi="Arial"/>
                <w:sz w:val="18"/>
                <w:szCs w:val="18"/>
                <w:color w:val="auto"/>
                <w:vertAlign w:val="superscript"/>
              </w:rPr>
              <w:t>(7)</w:t>
            </w: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Payments</w:t>
            </w:r>
          </w:p>
        </w:tc>
        <w:tc>
          <w:tcPr>
            <w:tcW w:w="940" w:type="dxa"/>
            <w:vAlign w:val="bottom"/>
          </w:tcPr>
          <w:p>
            <w:pPr>
              <w:jc w:val="center"/>
              <w:spacing w:after="0"/>
              <w:rPr>
                <w:sz w:val="20"/>
                <w:szCs w:val="20"/>
                <w:color w:val="auto"/>
              </w:rPr>
            </w:pPr>
            <w:r>
              <w:rPr>
                <w:rFonts w:ascii="Arial" w:cs="Arial" w:eastAsia="Arial" w:hAnsi="Arial"/>
                <w:sz w:val="13"/>
                <w:szCs w:val="13"/>
                <w:color w:val="auto"/>
                <w:w w:val="99"/>
              </w:rPr>
              <w:t>6.3</w:t>
            </w:r>
          </w:p>
        </w:tc>
        <w:tc>
          <w:tcPr>
            <w:tcW w:w="960" w:type="dxa"/>
            <w:vAlign w:val="bottom"/>
          </w:tcPr>
          <w:p>
            <w:pPr>
              <w:jc w:val="center"/>
              <w:spacing w:after="0"/>
              <w:rPr>
                <w:sz w:val="20"/>
                <w:szCs w:val="20"/>
                <w:color w:val="auto"/>
              </w:rPr>
            </w:pPr>
            <w:r>
              <w:rPr>
                <w:rFonts w:ascii="Arial" w:cs="Arial" w:eastAsia="Arial" w:hAnsi="Arial"/>
                <w:sz w:val="13"/>
                <w:szCs w:val="13"/>
                <w:color w:val="auto"/>
              </w:rPr>
              <w:t>10.1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12.0</w:t>
            </w:r>
          </w:p>
        </w:tc>
        <w:tc>
          <w:tcPr>
            <w:tcW w:w="940" w:type="dxa"/>
            <w:vAlign w:val="bottom"/>
          </w:tcPr>
          <w:p>
            <w:pPr>
              <w:jc w:val="center"/>
              <w:spacing w:after="0"/>
              <w:rPr>
                <w:sz w:val="20"/>
                <w:szCs w:val="20"/>
                <w:color w:val="auto"/>
              </w:rPr>
            </w:pPr>
            <w:r>
              <w:rPr>
                <w:rFonts w:ascii="Arial" w:cs="Arial" w:eastAsia="Arial" w:hAnsi="Arial"/>
                <w:sz w:val="13"/>
                <w:szCs w:val="13"/>
                <w:color w:val="auto"/>
              </w:rPr>
              <w:t>18.6%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91.1%</w:t>
            </w:r>
          </w:p>
        </w:tc>
        <w:tc>
          <w:tcPr>
            <w:tcW w:w="720" w:type="dxa"/>
            <w:vAlign w:val="bottom"/>
          </w:tcPr>
          <w:p>
            <w:pPr>
              <w:jc w:val="center"/>
              <w:ind w:left="114"/>
              <w:spacing w:after="0"/>
              <w:rPr>
                <w:sz w:val="20"/>
                <w:szCs w:val="20"/>
                <w:color w:val="auto"/>
              </w:rPr>
            </w:pPr>
            <w:r>
              <w:rPr>
                <w:rFonts w:ascii="Arial" w:cs="Arial" w:eastAsia="Arial" w:hAnsi="Arial"/>
                <w:sz w:val="13"/>
                <w:szCs w:val="13"/>
                <w:color w:val="auto"/>
              </w:rPr>
              <w:t>15.0</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rPr>
              <w:t>30.9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106.6%</w:t>
            </w: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Bill Payments transactions (millions)</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35</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50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56</w:t>
            </w:r>
          </w:p>
        </w:tc>
        <w:tc>
          <w:tcPr>
            <w:tcW w:w="940" w:type="dxa"/>
            <w:vAlign w:val="bottom"/>
          </w:tcPr>
          <w:p>
            <w:pPr>
              <w:jc w:val="center"/>
              <w:spacing w:after="0"/>
              <w:rPr>
                <w:sz w:val="20"/>
                <w:szCs w:val="20"/>
                <w:color w:val="auto"/>
              </w:rPr>
            </w:pPr>
            <w:r>
              <w:rPr>
                <w:rFonts w:ascii="Arial" w:cs="Arial" w:eastAsia="Arial" w:hAnsi="Arial"/>
                <w:sz w:val="13"/>
                <w:szCs w:val="13"/>
                <w:color w:val="auto"/>
              </w:rPr>
              <w:t>12.0%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62.3%</w:t>
            </w:r>
          </w:p>
        </w:tc>
        <w:tc>
          <w:tcPr>
            <w:tcW w:w="720" w:type="dxa"/>
            <w:vAlign w:val="bottom"/>
          </w:tcPr>
          <w:p>
            <w:pPr>
              <w:jc w:val="center"/>
              <w:ind w:left="114"/>
              <w:spacing w:after="0"/>
              <w:rPr>
                <w:sz w:val="20"/>
                <w:szCs w:val="20"/>
                <w:color w:val="auto"/>
              </w:rPr>
            </w:pPr>
            <w:r>
              <w:rPr>
                <w:rFonts w:ascii="Arial" w:cs="Arial" w:eastAsia="Arial" w:hAnsi="Arial"/>
                <w:sz w:val="13"/>
                <w:szCs w:val="13"/>
                <w:color w:val="auto"/>
                <w:w w:val="96"/>
              </w:rPr>
              <w:t>87</w:t>
            </w:r>
          </w:p>
        </w:tc>
        <w:tc>
          <w:tcPr>
            <w:tcW w:w="1160" w:type="dxa"/>
            <w:vAlign w:val="bottom"/>
            <w:tcBorders>
              <w:right w:val="single" w:sz="8" w:color="auto"/>
            </w:tcBorders>
          </w:tcPr>
          <w:p>
            <w:pPr>
              <w:jc w:val="center"/>
              <w:ind w:left="114"/>
              <w:spacing w:after="0"/>
              <w:rPr>
                <w:sz w:val="20"/>
                <w:szCs w:val="20"/>
                <w:color w:val="auto"/>
              </w:rPr>
            </w:pPr>
            <w:r>
              <w:rPr>
                <w:rFonts w:ascii="Arial" w:cs="Arial" w:eastAsia="Arial" w:hAnsi="Arial"/>
                <w:sz w:val="13"/>
                <w:szCs w:val="13"/>
                <w:color w:val="auto"/>
              </w:rPr>
              <w:t>151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74.7%</w:t>
            </w: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Financials</w:t>
            </w: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Loans Disbursements (thousands)</w:t>
            </w:r>
          </w:p>
        </w:tc>
        <w:tc>
          <w:tcPr>
            <w:tcW w:w="940" w:type="dxa"/>
            <w:vAlign w:val="bottom"/>
          </w:tcPr>
          <w:p>
            <w:pPr>
              <w:jc w:val="center"/>
              <w:spacing w:after="0"/>
              <w:rPr>
                <w:sz w:val="20"/>
                <w:szCs w:val="20"/>
                <w:color w:val="auto"/>
              </w:rPr>
            </w:pPr>
            <w:r>
              <w:rPr>
                <w:rFonts w:ascii="Arial" w:cs="Arial" w:eastAsia="Arial" w:hAnsi="Arial"/>
                <w:sz w:val="13"/>
                <w:szCs w:val="13"/>
                <w:color w:val="auto"/>
              </w:rPr>
              <w:t>1,296</w:t>
            </w: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3,855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4,196</w:t>
            </w:r>
          </w:p>
        </w:tc>
        <w:tc>
          <w:tcPr>
            <w:tcW w:w="940" w:type="dxa"/>
            <w:vAlign w:val="bottom"/>
          </w:tcPr>
          <w:p>
            <w:pPr>
              <w:jc w:val="center"/>
              <w:spacing w:after="0"/>
              <w:rPr>
                <w:sz w:val="20"/>
                <w:szCs w:val="20"/>
                <w:color w:val="auto"/>
              </w:rPr>
            </w:pPr>
            <w:r>
              <w:rPr>
                <w:rFonts w:ascii="Arial" w:cs="Arial" w:eastAsia="Arial" w:hAnsi="Arial"/>
                <w:sz w:val="13"/>
                <w:szCs w:val="13"/>
                <w:color w:val="auto"/>
              </w:rPr>
              <w:t>8.8%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223.8%</w:t>
            </w:r>
          </w:p>
        </w:tc>
        <w:tc>
          <w:tcPr>
            <w:tcW w:w="720" w:type="dxa"/>
            <w:vAlign w:val="bottom"/>
          </w:tcPr>
          <w:p>
            <w:pPr>
              <w:jc w:val="center"/>
              <w:ind w:left="134"/>
              <w:spacing w:after="0"/>
              <w:rPr>
                <w:sz w:val="20"/>
                <w:szCs w:val="20"/>
                <w:color w:val="auto"/>
              </w:rPr>
            </w:pPr>
            <w:r>
              <w:rPr>
                <w:rFonts w:ascii="Arial" w:cs="Arial" w:eastAsia="Arial" w:hAnsi="Arial"/>
                <w:sz w:val="13"/>
                <w:szCs w:val="13"/>
                <w:color w:val="auto"/>
                <w:w w:val="98"/>
              </w:rPr>
              <w:t>2,560</w:t>
            </w:r>
          </w:p>
        </w:tc>
        <w:tc>
          <w:tcPr>
            <w:tcW w:w="1160" w:type="dxa"/>
            <w:vAlign w:val="bottom"/>
            <w:tcBorders>
              <w:right w:val="single" w:sz="8" w:color="auto"/>
            </w:tcBorders>
          </w:tcPr>
          <w:p>
            <w:pPr>
              <w:jc w:val="center"/>
              <w:ind w:left="134"/>
              <w:spacing w:after="0"/>
              <w:rPr>
                <w:sz w:val="20"/>
                <w:szCs w:val="20"/>
                <w:color w:val="auto"/>
              </w:rPr>
            </w:pPr>
            <w:r>
              <w:rPr>
                <w:rFonts w:ascii="Arial" w:cs="Arial" w:eastAsia="Arial" w:hAnsi="Arial"/>
                <w:sz w:val="13"/>
                <w:szCs w:val="13"/>
                <w:color w:val="auto"/>
              </w:rPr>
              <w:t>11,151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335.6%</w:t>
            </w:r>
          </w:p>
        </w:tc>
        <w:tc>
          <w:tcPr>
            <w:tcW w:w="0" w:type="dxa"/>
            <w:vAlign w:val="bottom"/>
          </w:tcPr>
          <w:p>
            <w:pPr>
              <w:spacing w:after="0"/>
              <w:rPr>
                <w:sz w:val="1"/>
                <w:szCs w:val="1"/>
                <w:color w:val="auto"/>
              </w:rPr>
            </w:pPr>
          </w:p>
        </w:tc>
      </w:tr>
      <w:tr>
        <w:trPr>
          <w:trHeight w:val="156"/>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E-Commerce</w:t>
            </w: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tcBorders>
              <w:left w:val="single" w:sz="8" w:color="auto"/>
              <w:bottom w:val="single" w:sz="8" w:color="auto"/>
              <w:right w:val="single" w:sz="8" w:color="auto"/>
            </w:tcBorders>
          </w:tcPr>
          <w:p>
            <w:pPr>
              <w:ind w:left="20"/>
              <w:spacing w:after="0" w:line="168" w:lineRule="exact"/>
              <w:rPr>
                <w:sz w:val="20"/>
                <w:szCs w:val="20"/>
                <w:color w:val="auto"/>
              </w:rPr>
            </w:pPr>
            <w:r>
              <w:rPr>
                <w:rFonts w:ascii="Arial" w:cs="Arial" w:eastAsia="Arial" w:hAnsi="Arial"/>
                <w:sz w:val="12"/>
                <w:szCs w:val="12"/>
                <w:color w:val="auto"/>
              </w:rPr>
              <w:t xml:space="preserve">GMV (S/, millions) </w:t>
            </w:r>
            <w:r>
              <w:rPr>
                <w:rFonts w:ascii="Arial" w:cs="Arial" w:eastAsia="Arial" w:hAnsi="Arial"/>
                <w:sz w:val="19"/>
                <w:szCs w:val="19"/>
                <w:color w:val="auto"/>
                <w:vertAlign w:val="superscript"/>
              </w:rPr>
              <w:t>(8)</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111.8</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129.1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168.6</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30.6%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50.8%</w:t>
            </w:r>
          </w:p>
        </w:tc>
        <w:tc>
          <w:tcPr>
            <w:tcW w:w="720" w:type="dxa"/>
            <w:vAlign w:val="bottom"/>
            <w:tcBorders>
              <w:bottom w:val="single" w:sz="8" w:color="auto"/>
            </w:tcBorders>
          </w:tcPr>
          <w:p>
            <w:pPr>
              <w:jc w:val="center"/>
              <w:ind w:left="134"/>
              <w:spacing w:after="0"/>
              <w:rPr>
                <w:sz w:val="20"/>
                <w:szCs w:val="20"/>
                <w:color w:val="auto"/>
              </w:rPr>
            </w:pPr>
            <w:r>
              <w:rPr>
                <w:rFonts w:ascii="Arial" w:cs="Arial" w:eastAsia="Arial" w:hAnsi="Arial"/>
                <w:sz w:val="13"/>
                <w:szCs w:val="13"/>
                <w:color w:val="auto"/>
                <w:w w:val="98"/>
              </w:rPr>
              <w:t>245.8</w:t>
            </w:r>
          </w:p>
        </w:tc>
        <w:tc>
          <w:tcPr>
            <w:tcW w:w="1160" w:type="dxa"/>
            <w:vAlign w:val="bottom"/>
            <w:tcBorders>
              <w:bottom w:val="single" w:sz="8" w:color="auto"/>
              <w:right w:val="single" w:sz="8" w:color="auto"/>
            </w:tcBorders>
          </w:tcPr>
          <w:p>
            <w:pPr>
              <w:jc w:val="center"/>
              <w:ind w:left="134"/>
              <w:spacing w:after="0"/>
              <w:rPr>
                <w:sz w:val="20"/>
                <w:szCs w:val="20"/>
                <w:color w:val="auto"/>
              </w:rPr>
            </w:pPr>
            <w:r>
              <w:rPr>
                <w:rFonts w:ascii="Arial" w:cs="Arial" w:eastAsia="Arial" w:hAnsi="Arial"/>
                <w:sz w:val="13"/>
                <w:szCs w:val="13"/>
                <w:color w:val="auto"/>
                <w:w w:val="98"/>
              </w:rPr>
              <w:t>422.2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71.7%</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160" w:hanging="154"/>
        <w:spacing w:after="0"/>
        <w:tabs>
          <w:tab w:leader="none" w:pos="160" w:val="left"/>
        </w:tabs>
        <w:numPr>
          <w:ilvl w:val="0"/>
          <w:numId w:val="8"/>
        </w:numPr>
        <w:rPr>
          <w:rFonts w:ascii="Arial" w:cs="Arial" w:eastAsia="Arial" w:hAnsi="Arial"/>
          <w:sz w:val="11"/>
          <w:szCs w:val="11"/>
          <w:color w:val="auto"/>
        </w:rPr>
      </w:pPr>
      <w:r>
        <w:rPr>
          <w:rFonts w:ascii="Arial" w:cs="Arial" w:eastAsia="Arial" w:hAnsi="Arial"/>
          <w:sz w:val="11"/>
          <w:szCs w:val="11"/>
          <w:color w:val="auto"/>
        </w:rPr>
        <w:t>Management figures.</w:t>
      </w:r>
    </w:p>
    <w:p>
      <w:pPr>
        <w:spacing w:after="0" w:line="15" w:lineRule="exact"/>
        <w:rPr>
          <w:rFonts w:ascii="Arial" w:cs="Arial" w:eastAsia="Arial" w:hAnsi="Arial"/>
          <w:sz w:val="11"/>
          <w:szCs w:val="11"/>
          <w:color w:val="auto"/>
        </w:rPr>
      </w:pPr>
    </w:p>
    <w:p>
      <w:pPr>
        <w:ind w:left="160" w:hanging="154"/>
        <w:spacing w:after="0"/>
        <w:tabs>
          <w:tab w:leader="none" w:pos="160" w:val="left"/>
        </w:tabs>
        <w:numPr>
          <w:ilvl w:val="0"/>
          <w:numId w:val="8"/>
        </w:numPr>
        <w:rPr>
          <w:rFonts w:ascii="Arial" w:cs="Arial" w:eastAsia="Arial" w:hAnsi="Arial"/>
          <w:sz w:val="11"/>
          <w:szCs w:val="11"/>
          <w:color w:val="auto"/>
        </w:rPr>
      </w:pPr>
      <w:r>
        <w:rPr>
          <w:rFonts w:ascii="Arial" w:cs="Arial" w:eastAsia="Arial" w:hAnsi="Arial"/>
          <w:sz w:val="11"/>
          <w:szCs w:val="11"/>
          <w:color w:val="auto"/>
        </w:rPr>
        <w:t>Yape users that have made at least one outgoing transaction in the measurement month.</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8"/>
        </w:numPr>
        <w:rPr>
          <w:rFonts w:ascii="Arial" w:cs="Arial" w:eastAsia="Arial" w:hAnsi="Arial"/>
          <w:sz w:val="11"/>
          <w:szCs w:val="11"/>
          <w:color w:val="auto"/>
        </w:rPr>
      </w:pPr>
      <w:r>
        <w:rPr>
          <w:rFonts w:ascii="Arial" w:cs="Arial" w:eastAsia="Arial" w:hAnsi="Arial"/>
          <w:sz w:val="11"/>
          <w:szCs w:val="11"/>
          <w:color w:val="auto"/>
        </w:rPr>
        <w:t>Net Promoter Score.</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8"/>
        </w:numPr>
        <w:rPr>
          <w:rFonts w:ascii="Arial" w:cs="Arial" w:eastAsia="Arial" w:hAnsi="Arial"/>
          <w:sz w:val="11"/>
          <w:szCs w:val="11"/>
          <w:color w:val="auto"/>
        </w:rPr>
      </w:pPr>
      <w:r>
        <w:rPr>
          <w:rFonts w:ascii="Arial" w:cs="Arial" w:eastAsia="Arial" w:hAnsi="Arial"/>
          <w:sz w:val="11"/>
          <w:szCs w:val="11"/>
          <w:color w:val="auto"/>
        </w:rPr>
        <w:t>Monthly indicators consider the results of the last month of the quarter for the numerator and denominator.</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8"/>
        </w:numPr>
        <w:rPr>
          <w:rFonts w:ascii="Arial" w:cs="Arial" w:eastAsia="Arial" w:hAnsi="Arial"/>
          <w:sz w:val="10"/>
          <w:szCs w:val="10"/>
          <w:color w:val="auto"/>
        </w:rPr>
      </w:pPr>
      <w:r>
        <w:rPr>
          <w:rFonts w:ascii="Arial" w:cs="Arial" w:eastAsia="Arial" w:hAnsi="Arial"/>
          <w:sz w:val="10"/>
          <w:szCs w:val="10"/>
          <w:color w:val="auto"/>
        </w:rPr>
        <w:t>Quarterly indicators are calculated using the sum of the three months in the period for numerator accounts, and the average of the denominator—based on last month’s data from both the current and previous quarters.</w:t>
      </w:r>
    </w:p>
    <w:p>
      <w:pPr>
        <w:spacing w:after="0" w:line="17" w:lineRule="exact"/>
        <w:rPr>
          <w:rFonts w:ascii="Arial" w:cs="Arial" w:eastAsia="Arial" w:hAnsi="Arial"/>
          <w:sz w:val="10"/>
          <w:szCs w:val="10"/>
          <w:color w:val="auto"/>
        </w:rPr>
      </w:pPr>
    </w:p>
    <w:p>
      <w:pPr>
        <w:ind w:left="160" w:hanging="154"/>
        <w:spacing w:after="0"/>
        <w:tabs>
          <w:tab w:leader="none" w:pos="160" w:val="left"/>
        </w:tabs>
        <w:numPr>
          <w:ilvl w:val="0"/>
          <w:numId w:val="8"/>
        </w:numPr>
        <w:rPr>
          <w:rFonts w:ascii="Arial" w:cs="Arial" w:eastAsia="Arial" w:hAnsi="Arial"/>
          <w:sz w:val="11"/>
          <w:szCs w:val="11"/>
          <w:color w:val="auto"/>
        </w:rPr>
      </w:pPr>
      <w:r>
        <w:rPr>
          <w:rFonts w:ascii="Arial" w:cs="Arial" w:eastAsia="Arial" w:hAnsi="Arial"/>
          <w:sz w:val="11"/>
          <w:szCs w:val="11"/>
          <w:color w:val="auto"/>
        </w:rPr>
        <w:t>Total Payment Volume.</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Revenue Generating Total Payment Volume (TPV).</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8"/>
        </w:numPr>
        <w:rPr>
          <w:rFonts w:ascii="Arial" w:cs="Arial" w:eastAsia="Arial" w:hAnsi="Arial"/>
          <w:sz w:val="11"/>
          <w:szCs w:val="11"/>
          <w:color w:val="auto"/>
        </w:rPr>
      </w:pPr>
      <w:r>
        <w:rPr>
          <w:rFonts w:ascii="Arial" w:cs="Arial" w:eastAsia="Arial" w:hAnsi="Arial"/>
          <w:sz w:val="11"/>
          <w:szCs w:val="11"/>
          <w:color w:val="auto"/>
        </w:rPr>
        <w:t>Gross Merchant Volume includes the following functionalities: Yape Promos, Yape Store, Ticketing, Gaming, Delivery, Buses, Gas, Brand Solutions and Insurance.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Main Financial Results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60" w:type="dxa"/>
            <w:vAlign w:val="bottom"/>
            <w:tcBorders>
              <w:top w:val="single" w:sz="8" w:color="auto"/>
              <w:left w:val="single" w:sz="8" w:color="auto"/>
              <w:right w:val="single" w:sz="8" w:color="auto"/>
            </w:tcBorders>
            <w:shd w:val="clear" w:color="auto" w:fill="33CCCC"/>
          </w:tcPr>
          <w:p>
            <w:pPr>
              <w:ind w:left="20"/>
              <w:spacing w:after="0" w:line="168" w:lineRule="exact"/>
              <w:rPr>
                <w:sz w:val="20"/>
                <w:szCs w:val="20"/>
                <w:color w:val="auto"/>
              </w:rPr>
            </w:pPr>
            <w:r>
              <w:rPr>
                <w:rFonts w:ascii="Arial" w:cs="Arial" w:eastAsia="Arial" w:hAnsi="Arial"/>
                <w:sz w:val="12"/>
                <w:szCs w:val="12"/>
                <w:b w:val="1"/>
                <w:bCs w:val="1"/>
                <w:color w:val="FFFFFF"/>
              </w:rPr>
              <w:t xml:space="preserve">Financial Results </w:t>
            </w:r>
            <w:r>
              <w:rPr>
                <w:rFonts w:ascii="Arial" w:cs="Arial" w:eastAsia="Arial" w:hAnsi="Arial"/>
                <w:sz w:val="19"/>
                <w:szCs w:val="19"/>
                <w:b w:val="1"/>
                <w:bCs w:val="1"/>
                <w:color w:val="FFFFFF"/>
                <w:vertAlign w:val="superscript"/>
              </w:rPr>
              <w:t>(1)</w:t>
            </w:r>
          </w:p>
        </w:tc>
        <w:tc>
          <w:tcPr>
            <w:tcW w:w="800" w:type="dxa"/>
            <w:vAlign w:val="bottom"/>
            <w:tcBorders>
              <w:top w:val="single" w:sz="8" w:color="auto"/>
            </w:tcBorders>
            <w:shd w:val="clear" w:color="auto" w:fill="33CCCC"/>
          </w:tcPr>
          <w:p>
            <w:pPr>
              <w:spacing w:after="0"/>
              <w:rPr>
                <w:sz w:val="14"/>
                <w:szCs w:val="14"/>
                <w:color w:val="auto"/>
              </w:rPr>
            </w:pPr>
          </w:p>
        </w:tc>
        <w:tc>
          <w:tcPr>
            <w:tcW w:w="1080" w:type="dxa"/>
            <w:vAlign w:val="bottom"/>
            <w:tcBorders>
              <w:top w:val="single" w:sz="8" w:color="auto"/>
            </w:tcBorders>
            <w:shd w:val="clear" w:color="auto" w:fill="33CCCC"/>
          </w:tcPr>
          <w:p>
            <w:pPr>
              <w:ind w:left="140"/>
              <w:spacing w:after="0"/>
              <w:rPr>
                <w:sz w:val="20"/>
                <w:szCs w:val="20"/>
                <w:color w:val="auto"/>
              </w:rPr>
            </w:pPr>
            <w:r>
              <w:rPr>
                <w:rFonts w:ascii="Arial" w:cs="Arial" w:eastAsia="Arial" w:hAnsi="Arial"/>
                <w:sz w:val="13"/>
                <w:szCs w:val="13"/>
                <w:b w:val="1"/>
                <w:bCs w:val="1"/>
                <w:color w:val="FFFFFF"/>
              </w:rPr>
              <w:t>Quarter</w:t>
            </w:r>
          </w:p>
        </w:tc>
        <w:tc>
          <w:tcPr>
            <w:tcW w:w="980" w:type="dxa"/>
            <w:vAlign w:val="bottom"/>
            <w:tcBorders>
              <w:top w:val="single" w:sz="8" w:color="auto"/>
              <w:right w:val="single" w:sz="8" w:color="auto"/>
            </w:tcBorders>
            <w:shd w:val="clear" w:color="auto" w:fill="33CCCC"/>
          </w:tcPr>
          <w:p>
            <w:pPr>
              <w:spacing w:after="0"/>
              <w:rPr>
                <w:sz w:val="14"/>
                <w:szCs w:val="14"/>
                <w:color w:val="auto"/>
              </w:rPr>
            </w:pPr>
          </w:p>
        </w:tc>
        <w:tc>
          <w:tcPr>
            <w:tcW w:w="1900" w:type="dxa"/>
            <w:vAlign w:val="bottom"/>
            <w:tcBorders>
              <w:top w:val="single" w:sz="8" w:color="auto"/>
              <w:right w:val="single" w:sz="8" w:color="auto"/>
            </w:tcBorders>
            <w:gridSpan w:val="2"/>
            <w:shd w:val="clear" w:color="auto" w:fill="33CCCC"/>
          </w:tcPr>
          <w:p>
            <w:pPr>
              <w:ind w:left="620"/>
              <w:spacing w:after="0"/>
              <w:rPr>
                <w:sz w:val="20"/>
                <w:szCs w:val="20"/>
                <w:color w:val="auto"/>
              </w:rPr>
            </w:pPr>
            <w:r>
              <w:rPr>
                <w:rFonts w:ascii="Arial" w:cs="Arial" w:eastAsia="Arial" w:hAnsi="Arial"/>
                <w:sz w:val="13"/>
                <w:szCs w:val="13"/>
                <w:b w:val="1"/>
                <w:bCs w:val="1"/>
                <w:color w:val="FFFFFF"/>
              </w:rPr>
              <w:t>Change %</w:t>
            </w:r>
          </w:p>
        </w:tc>
        <w:tc>
          <w:tcPr>
            <w:tcW w:w="720" w:type="dxa"/>
            <w:vAlign w:val="bottom"/>
            <w:tcBorders>
              <w:top w:val="single" w:sz="8" w:color="auto"/>
            </w:tcBorders>
            <w:shd w:val="clear" w:color="auto" w:fill="33CCCC"/>
          </w:tcPr>
          <w:p>
            <w:pPr>
              <w:spacing w:after="0"/>
              <w:rPr>
                <w:sz w:val="14"/>
                <w:szCs w:val="14"/>
                <w:color w:val="auto"/>
              </w:rPr>
            </w:pPr>
          </w:p>
        </w:tc>
        <w:tc>
          <w:tcPr>
            <w:tcW w:w="1160" w:type="dxa"/>
            <w:vAlign w:val="bottom"/>
            <w:tcBorders>
              <w:top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3"/>
                <w:szCs w:val="13"/>
                <w:b w:val="1"/>
                <w:bCs w:val="1"/>
                <w:color w:val="FFFFFF"/>
              </w:rPr>
              <w:t>Up to</w:t>
            </w:r>
          </w:p>
        </w:tc>
        <w:tc>
          <w:tcPr>
            <w:tcW w:w="13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Change %</w:t>
            </w:r>
          </w:p>
        </w:tc>
      </w:tr>
      <w:tr>
        <w:trPr>
          <w:trHeight w:val="156"/>
        </w:trPr>
        <w:tc>
          <w:tcPr>
            <w:tcW w:w="256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3"/>
                <w:szCs w:val="13"/>
                <w:b w:val="1"/>
                <w:bCs w:val="1"/>
                <w:color w:val="FFFFFF"/>
              </w:rPr>
              <w:t>S/ millions</w:t>
            </w:r>
          </w:p>
        </w:tc>
        <w:tc>
          <w:tcPr>
            <w:tcW w:w="800" w:type="dxa"/>
            <w:vAlign w:val="bottom"/>
            <w:tcBorders>
              <w:bottom w:val="single" w:sz="8" w:color="auto"/>
            </w:tcBorders>
            <w:shd w:val="clear" w:color="auto" w:fill="33CCCC"/>
          </w:tcPr>
          <w:p>
            <w:pPr>
              <w:jc w:val="center"/>
              <w:ind w:left="54"/>
              <w:spacing w:after="0"/>
              <w:rPr>
                <w:sz w:val="20"/>
                <w:szCs w:val="20"/>
                <w:color w:val="auto"/>
              </w:rPr>
            </w:pPr>
            <w:r>
              <w:rPr>
                <w:rFonts w:ascii="Arial" w:cs="Arial" w:eastAsia="Arial" w:hAnsi="Arial"/>
                <w:sz w:val="13"/>
                <w:szCs w:val="13"/>
                <w:b w:val="1"/>
                <w:bCs w:val="1"/>
                <w:color w:val="FFFFFF"/>
              </w:rPr>
              <w:t>3Q24</w:t>
            </w:r>
          </w:p>
        </w:tc>
        <w:tc>
          <w:tcPr>
            <w:tcW w:w="1080" w:type="dxa"/>
            <w:vAlign w:val="bottom"/>
            <w:tcBorders>
              <w:bottom w:val="single" w:sz="8" w:color="auto"/>
            </w:tcBorders>
            <w:shd w:val="clear" w:color="auto" w:fill="33CCCC"/>
          </w:tcPr>
          <w:p>
            <w:pPr>
              <w:jc w:val="center"/>
              <w:ind w:left="94"/>
              <w:spacing w:after="0"/>
              <w:rPr>
                <w:sz w:val="20"/>
                <w:szCs w:val="20"/>
                <w:color w:val="auto"/>
              </w:rPr>
            </w:pPr>
            <w:r>
              <w:rPr>
                <w:rFonts w:ascii="Arial" w:cs="Arial" w:eastAsia="Arial" w:hAnsi="Arial"/>
                <w:sz w:val="13"/>
                <w:szCs w:val="13"/>
                <w:b w:val="1"/>
                <w:bCs w:val="1"/>
                <w:color w:val="FFFFFF"/>
              </w:rPr>
              <w:t>2Q25</w:t>
            </w:r>
          </w:p>
        </w:tc>
        <w:tc>
          <w:tcPr>
            <w:tcW w:w="9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3Q25</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00" w:type="dxa"/>
            <w:vAlign w:val="bottom"/>
            <w:tcBorders>
              <w:bottom w:val="single" w:sz="8" w:color="auto"/>
              <w:right w:val="single" w:sz="8" w:color="auto"/>
            </w:tcBorders>
            <w:shd w:val="clear" w:color="auto" w:fill="33CCCC"/>
          </w:tcPr>
          <w:p>
            <w:pPr>
              <w:ind w:left="380"/>
              <w:spacing w:after="0"/>
              <w:rPr>
                <w:sz w:val="20"/>
                <w:szCs w:val="20"/>
                <w:color w:val="auto"/>
              </w:rPr>
            </w:pPr>
            <w:r>
              <w:rPr>
                <w:rFonts w:ascii="Arial" w:cs="Arial" w:eastAsia="Arial" w:hAnsi="Arial"/>
                <w:sz w:val="13"/>
                <w:szCs w:val="13"/>
                <w:b w:val="1"/>
                <w:bCs w:val="1"/>
                <w:color w:val="FFFFFF"/>
              </w:rPr>
              <w:t>YoY</w:t>
            </w:r>
          </w:p>
        </w:tc>
        <w:tc>
          <w:tcPr>
            <w:tcW w:w="720" w:type="dxa"/>
            <w:vAlign w:val="bottom"/>
            <w:tcBorders>
              <w:bottom w:val="single" w:sz="8" w:color="auto"/>
            </w:tcBorders>
            <w:shd w:val="clear" w:color="auto" w:fill="33CCCC"/>
          </w:tcPr>
          <w:p>
            <w:pPr>
              <w:ind w:left="240"/>
              <w:spacing w:after="0"/>
              <w:rPr>
                <w:sz w:val="20"/>
                <w:szCs w:val="20"/>
                <w:color w:val="auto"/>
              </w:rPr>
            </w:pPr>
            <w:r>
              <w:rPr>
                <w:rFonts w:ascii="Arial" w:cs="Arial" w:eastAsia="Arial" w:hAnsi="Arial"/>
                <w:sz w:val="13"/>
                <w:szCs w:val="13"/>
                <w:b w:val="1"/>
                <w:bCs w:val="1"/>
                <w:color w:val="FFFFFF"/>
              </w:rPr>
              <w:t>Sep 24</w:t>
            </w:r>
          </w:p>
        </w:tc>
        <w:tc>
          <w:tcPr>
            <w:tcW w:w="116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Sep 25</w:t>
            </w:r>
          </w:p>
        </w:tc>
        <w:tc>
          <w:tcPr>
            <w:tcW w:w="13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Sep 25 / Sep 24</w:t>
            </w:r>
          </w:p>
        </w:tc>
      </w:tr>
      <w:tr>
        <w:trPr>
          <w:trHeight w:val="136"/>
        </w:trPr>
        <w:tc>
          <w:tcPr>
            <w:tcW w:w="25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0"/>
                <w:szCs w:val="10"/>
                <w:color w:val="auto"/>
              </w:rPr>
              <w:t xml:space="preserve">Net Interest Income after Provisions </w:t>
            </w:r>
            <w:r>
              <w:rPr>
                <w:rFonts w:ascii="Arial" w:cs="Arial" w:eastAsia="Arial" w:hAnsi="Arial"/>
                <w:sz w:val="15"/>
                <w:szCs w:val="15"/>
                <w:color w:val="auto"/>
                <w:vertAlign w:val="superscript"/>
              </w:rPr>
              <w:t>(2)</w:t>
            </w:r>
          </w:p>
        </w:tc>
        <w:tc>
          <w:tcPr>
            <w:tcW w:w="800" w:type="dxa"/>
            <w:vAlign w:val="bottom"/>
          </w:tcPr>
          <w:p>
            <w:pPr>
              <w:jc w:val="center"/>
              <w:ind w:left="74"/>
              <w:spacing w:after="0" w:line="136" w:lineRule="exact"/>
              <w:rPr>
                <w:sz w:val="20"/>
                <w:szCs w:val="20"/>
                <w:color w:val="auto"/>
              </w:rPr>
            </w:pPr>
            <w:r>
              <w:rPr>
                <w:rFonts w:ascii="Arial" w:cs="Arial" w:eastAsia="Arial" w:hAnsi="Arial"/>
                <w:sz w:val="13"/>
                <w:szCs w:val="13"/>
                <w:color w:val="auto"/>
              </w:rPr>
              <w:t>70.2</w:t>
            </w:r>
          </w:p>
        </w:tc>
        <w:tc>
          <w:tcPr>
            <w:tcW w:w="1080" w:type="dxa"/>
            <w:vAlign w:val="bottom"/>
          </w:tcPr>
          <w:p>
            <w:pPr>
              <w:jc w:val="center"/>
              <w:ind w:left="94"/>
              <w:spacing w:after="0" w:line="136" w:lineRule="exact"/>
              <w:rPr>
                <w:sz w:val="20"/>
                <w:szCs w:val="20"/>
                <w:color w:val="auto"/>
              </w:rPr>
            </w:pPr>
            <w:r>
              <w:rPr>
                <w:rFonts w:ascii="Arial" w:cs="Arial" w:eastAsia="Arial" w:hAnsi="Arial"/>
                <w:sz w:val="13"/>
                <w:szCs w:val="13"/>
                <w:color w:val="auto"/>
                <w:w w:val="98"/>
              </w:rPr>
              <w:t>123.9</w:t>
            </w:r>
          </w:p>
        </w:tc>
        <w:tc>
          <w:tcPr>
            <w:tcW w:w="9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8"/>
              </w:rPr>
              <w:t>146.4</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auto"/>
              </w:rPr>
              <w:t>18.1%</w:t>
            </w:r>
          </w:p>
        </w:tc>
        <w:tc>
          <w:tcPr>
            <w:tcW w:w="10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9"/>
              </w:rPr>
              <w:t>108.7%</w:t>
            </w:r>
          </w:p>
        </w:tc>
        <w:tc>
          <w:tcPr>
            <w:tcW w:w="720" w:type="dxa"/>
            <w:vAlign w:val="bottom"/>
          </w:tcPr>
          <w:p>
            <w:pPr>
              <w:jc w:val="center"/>
              <w:ind w:left="134"/>
              <w:spacing w:after="0" w:line="136" w:lineRule="exact"/>
              <w:rPr>
                <w:sz w:val="20"/>
                <w:szCs w:val="20"/>
                <w:color w:val="auto"/>
              </w:rPr>
            </w:pPr>
            <w:r>
              <w:rPr>
                <w:rFonts w:ascii="Arial" w:cs="Arial" w:eastAsia="Arial" w:hAnsi="Arial"/>
                <w:sz w:val="13"/>
                <w:szCs w:val="13"/>
                <w:color w:val="auto"/>
                <w:w w:val="98"/>
              </w:rPr>
              <w:t>106.9</w:t>
            </w:r>
          </w:p>
        </w:tc>
        <w:tc>
          <w:tcPr>
            <w:tcW w:w="1160" w:type="dxa"/>
            <w:vAlign w:val="bottom"/>
            <w:tcBorders>
              <w:right w:val="single" w:sz="8" w:color="auto"/>
            </w:tcBorders>
          </w:tcPr>
          <w:p>
            <w:pPr>
              <w:jc w:val="center"/>
              <w:ind w:left="134"/>
              <w:spacing w:after="0" w:line="136" w:lineRule="exact"/>
              <w:rPr>
                <w:sz w:val="20"/>
                <w:szCs w:val="20"/>
                <w:color w:val="auto"/>
              </w:rPr>
            </w:pPr>
            <w:r>
              <w:rPr>
                <w:rFonts w:ascii="Arial" w:cs="Arial" w:eastAsia="Arial" w:hAnsi="Arial"/>
                <w:sz w:val="13"/>
                <w:szCs w:val="13"/>
                <w:color w:val="auto"/>
                <w:w w:val="98"/>
              </w:rPr>
              <w:t>363.3</w:t>
            </w:r>
          </w:p>
        </w:tc>
        <w:tc>
          <w:tcPr>
            <w:tcW w:w="13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9"/>
              </w:rPr>
              <w:t>239.9%</w:t>
            </w:r>
          </w:p>
        </w:tc>
      </w:tr>
      <w:tr>
        <w:trPr>
          <w:trHeight w:val="168"/>
        </w:trPr>
        <w:tc>
          <w:tcPr>
            <w:tcW w:w="2560" w:type="dxa"/>
            <w:vAlign w:val="bottom"/>
            <w:tcBorders>
              <w:left w:val="single" w:sz="8" w:color="auto"/>
              <w:bottom w:val="single" w:sz="8" w:color="auto"/>
              <w:right w:val="single" w:sz="8" w:color="auto"/>
            </w:tcBorders>
          </w:tcPr>
          <w:p>
            <w:pPr>
              <w:ind w:left="20"/>
              <w:spacing w:after="0" w:line="168" w:lineRule="exact"/>
              <w:rPr>
                <w:sz w:val="20"/>
                <w:szCs w:val="20"/>
                <w:color w:val="auto"/>
              </w:rPr>
            </w:pPr>
            <w:r>
              <w:rPr>
                <w:rFonts w:ascii="Arial" w:cs="Arial" w:eastAsia="Arial" w:hAnsi="Arial"/>
                <w:sz w:val="12"/>
                <w:szCs w:val="12"/>
                <w:color w:val="auto"/>
              </w:rPr>
              <w:t xml:space="preserve">Other Income </w:t>
            </w:r>
            <w:r>
              <w:rPr>
                <w:rFonts w:ascii="Arial" w:cs="Arial" w:eastAsia="Arial" w:hAnsi="Arial"/>
                <w:sz w:val="19"/>
                <w:szCs w:val="19"/>
                <w:color w:val="auto"/>
                <w:vertAlign w:val="superscript"/>
              </w:rPr>
              <w:t>(3)</w:t>
            </w:r>
          </w:p>
        </w:tc>
        <w:tc>
          <w:tcPr>
            <w:tcW w:w="800" w:type="dxa"/>
            <w:vAlign w:val="bottom"/>
            <w:tcBorders>
              <w:bottom w:val="single" w:sz="8" w:color="auto"/>
            </w:tcBorders>
          </w:tcPr>
          <w:p>
            <w:pPr>
              <w:jc w:val="center"/>
              <w:ind w:left="74"/>
              <w:spacing w:after="0"/>
              <w:rPr>
                <w:sz w:val="20"/>
                <w:szCs w:val="20"/>
                <w:color w:val="auto"/>
              </w:rPr>
            </w:pPr>
            <w:r>
              <w:rPr>
                <w:rFonts w:ascii="Arial" w:cs="Arial" w:eastAsia="Arial" w:hAnsi="Arial"/>
                <w:sz w:val="13"/>
                <w:szCs w:val="13"/>
                <w:color w:val="auto"/>
              </w:rPr>
              <w:t>108.2</w:t>
            </w:r>
          </w:p>
        </w:tc>
        <w:tc>
          <w:tcPr>
            <w:tcW w:w="10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color w:val="auto"/>
                <w:w w:val="98"/>
              </w:rPr>
              <w:t>159.0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195.2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22.8%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80.3%</w:t>
            </w:r>
          </w:p>
        </w:tc>
        <w:tc>
          <w:tcPr>
            <w:tcW w:w="720" w:type="dxa"/>
            <w:vAlign w:val="bottom"/>
            <w:tcBorders>
              <w:bottom w:val="single" w:sz="8" w:color="auto"/>
            </w:tcBorders>
          </w:tcPr>
          <w:p>
            <w:pPr>
              <w:jc w:val="center"/>
              <w:ind w:left="134"/>
              <w:spacing w:after="0"/>
              <w:rPr>
                <w:sz w:val="20"/>
                <w:szCs w:val="20"/>
                <w:color w:val="auto"/>
              </w:rPr>
            </w:pPr>
            <w:r>
              <w:rPr>
                <w:rFonts w:ascii="Arial" w:cs="Arial" w:eastAsia="Arial" w:hAnsi="Arial"/>
                <w:sz w:val="13"/>
                <w:szCs w:val="13"/>
                <w:color w:val="auto"/>
                <w:w w:val="98"/>
              </w:rPr>
              <w:t>139.7</w:t>
            </w:r>
          </w:p>
        </w:tc>
        <w:tc>
          <w:tcPr>
            <w:tcW w:w="1160" w:type="dxa"/>
            <w:vAlign w:val="bottom"/>
            <w:tcBorders>
              <w:bottom w:val="single" w:sz="8" w:color="auto"/>
              <w:right w:val="single" w:sz="8" w:color="auto"/>
            </w:tcBorders>
          </w:tcPr>
          <w:p>
            <w:pPr>
              <w:jc w:val="center"/>
              <w:ind w:left="134"/>
              <w:spacing w:after="0"/>
              <w:rPr>
                <w:sz w:val="20"/>
                <w:szCs w:val="20"/>
                <w:color w:val="auto"/>
              </w:rPr>
            </w:pPr>
            <w:r>
              <w:rPr>
                <w:rFonts w:ascii="Arial" w:cs="Arial" w:eastAsia="Arial" w:hAnsi="Arial"/>
                <w:sz w:val="13"/>
                <w:szCs w:val="13"/>
                <w:color w:val="auto"/>
                <w:w w:val="98"/>
              </w:rPr>
              <w:t>495.8</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254.9%</w:t>
            </w:r>
          </w:p>
        </w:tc>
      </w:tr>
      <w:tr>
        <w:trPr>
          <w:trHeight w:val="148"/>
        </w:trPr>
        <w:tc>
          <w:tcPr>
            <w:tcW w:w="256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color w:val="auto"/>
              </w:rPr>
              <w:t>Total Income</w:t>
            </w:r>
          </w:p>
        </w:tc>
        <w:tc>
          <w:tcPr>
            <w:tcW w:w="800" w:type="dxa"/>
            <w:vAlign w:val="bottom"/>
            <w:tcBorders>
              <w:bottom w:val="single" w:sz="8" w:color="auto"/>
            </w:tcBorders>
          </w:tcPr>
          <w:p>
            <w:pPr>
              <w:jc w:val="center"/>
              <w:ind w:left="74"/>
              <w:spacing w:after="0" w:line="148" w:lineRule="exact"/>
              <w:rPr>
                <w:sz w:val="20"/>
                <w:szCs w:val="20"/>
                <w:color w:val="auto"/>
              </w:rPr>
            </w:pPr>
            <w:r>
              <w:rPr>
                <w:rFonts w:ascii="Arial" w:cs="Arial" w:eastAsia="Arial" w:hAnsi="Arial"/>
                <w:sz w:val="13"/>
                <w:szCs w:val="13"/>
                <w:color w:val="auto"/>
              </w:rPr>
              <w:t>178.4</w:t>
            </w:r>
          </w:p>
        </w:tc>
        <w:tc>
          <w:tcPr>
            <w:tcW w:w="1080" w:type="dxa"/>
            <w:vAlign w:val="bottom"/>
            <w:tcBorders>
              <w:bottom w:val="single" w:sz="8" w:color="auto"/>
            </w:tcBorders>
          </w:tcPr>
          <w:p>
            <w:pPr>
              <w:jc w:val="center"/>
              <w:ind w:left="94"/>
              <w:spacing w:after="0" w:line="148" w:lineRule="exact"/>
              <w:rPr>
                <w:sz w:val="20"/>
                <w:szCs w:val="20"/>
                <w:color w:val="auto"/>
              </w:rPr>
            </w:pPr>
            <w:r>
              <w:rPr>
                <w:rFonts w:ascii="Arial" w:cs="Arial" w:eastAsia="Arial" w:hAnsi="Arial"/>
                <w:sz w:val="13"/>
                <w:szCs w:val="13"/>
                <w:color w:val="auto"/>
                <w:w w:val="98"/>
              </w:rPr>
              <w:t>282.9</w:t>
            </w:r>
          </w:p>
        </w:tc>
        <w:tc>
          <w:tcPr>
            <w:tcW w:w="9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8"/>
              </w:rPr>
              <w:t>341.6</w:t>
            </w:r>
          </w:p>
        </w:tc>
        <w:tc>
          <w:tcPr>
            <w:tcW w:w="9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20.7%</w:t>
            </w:r>
          </w:p>
        </w:tc>
        <w:tc>
          <w:tcPr>
            <w:tcW w:w="100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7"/>
              </w:rPr>
              <w:t>91.5%</w:t>
            </w:r>
          </w:p>
        </w:tc>
        <w:tc>
          <w:tcPr>
            <w:tcW w:w="720" w:type="dxa"/>
            <w:vAlign w:val="bottom"/>
            <w:tcBorders>
              <w:bottom w:val="single" w:sz="8" w:color="auto"/>
            </w:tcBorders>
          </w:tcPr>
          <w:p>
            <w:pPr>
              <w:jc w:val="center"/>
              <w:ind w:left="134"/>
              <w:spacing w:after="0" w:line="148" w:lineRule="exact"/>
              <w:rPr>
                <w:sz w:val="20"/>
                <w:szCs w:val="20"/>
                <w:color w:val="auto"/>
              </w:rPr>
            </w:pPr>
            <w:r>
              <w:rPr>
                <w:rFonts w:ascii="Arial" w:cs="Arial" w:eastAsia="Arial" w:hAnsi="Arial"/>
                <w:sz w:val="13"/>
                <w:szCs w:val="13"/>
                <w:color w:val="auto"/>
                <w:w w:val="98"/>
              </w:rPr>
              <w:t>246.6</w:t>
            </w:r>
          </w:p>
        </w:tc>
        <w:tc>
          <w:tcPr>
            <w:tcW w:w="1160" w:type="dxa"/>
            <w:vAlign w:val="bottom"/>
            <w:tcBorders>
              <w:bottom w:val="single" w:sz="8" w:color="auto"/>
              <w:right w:val="single" w:sz="8" w:color="auto"/>
            </w:tcBorders>
          </w:tcPr>
          <w:p>
            <w:pPr>
              <w:jc w:val="center"/>
              <w:ind w:left="134"/>
              <w:spacing w:after="0" w:line="148" w:lineRule="exact"/>
              <w:rPr>
                <w:sz w:val="20"/>
                <w:szCs w:val="20"/>
                <w:color w:val="auto"/>
              </w:rPr>
            </w:pPr>
            <w:r>
              <w:rPr>
                <w:rFonts w:ascii="Arial" w:cs="Arial" w:eastAsia="Arial" w:hAnsi="Arial"/>
                <w:sz w:val="13"/>
                <w:szCs w:val="13"/>
                <w:color w:val="auto"/>
                <w:w w:val="98"/>
              </w:rPr>
              <w:t>859.1</w:t>
            </w:r>
          </w:p>
        </w:tc>
        <w:tc>
          <w:tcPr>
            <w:tcW w:w="13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9"/>
              </w:rPr>
              <w:t>248.4%</w:t>
            </w:r>
          </w:p>
        </w:tc>
      </w:tr>
      <w:tr>
        <w:trPr>
          <w:trHeight w:val="148"/>
        </w:trPr>
        <w:tc>
          <w:tcPr>
            <w:tcW w:w="256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color w:val="auto"/>
              </w:rPr>
              <w:t>Total Operating Expenses</w:t>
            </w:r>
          </w:p>
        </w:tc>
        <w:tc>
          <w:tcPr>
            <w:tcW w:w="800" w:type="dxa"/>
            <w:vAlign w:val="bottom"/>
            <w:tcBorders>
              <w:bottom w:val="single" w:sz="8" w:color="auto"/>
            </w:tcBorders>
          </w:tcPr>
          <w:p>
            <w:pPr>
              <w:jc w:val="center"/>
              <w:ind w:left="74"/>
              <w:spacing w:after="0" w:line="148" w:lineRule="exact"/>
              <w:rPr>
                <w:sz w:val="20"/>
                <w:szCs w:val="20"/>
                <w:color w:val="auto"/>
              </w:rPr>
            </w:pPr>
            <w:r>
              <w:rPr>
                <w:rFonts w:ascii="Arial" w:cs="Arial" w:eastAsia="Arial" w:hAnsi="Arial"/>
                <w:sz w:val="13"/>
                <w:szCs w:val="13"/>
                <w:color w:val="auto"/>
              </w:rPr>
              <w:t>-158.4</w:t>
            </w:r>
          </w:p>
        </w:tc>
        <w:tc>
          <w:tcPr>
            <w:tcW w:w="1080" w:type="dxa"/>
            <w:vAlign w:val="bottom"/>
            <w:tcBorders>
              <w:bottom w:val="single" w:sz="8" w:color="auto"/>
            </w:tcBorders>
          </w:tcPr>
          <w:p>
            <w:pPr>
              <w:jc w:val="center"/>
              <w:ind w:left="74"/>
              <w:spacing w:after="0" w:line="148" w:lineRule="exact"/>
              <w:rPr>
                <w:sz w:val="20"/>
                <w:szCs w:val="20"/>
                <w:color w:val="auto"/>
              </w:rPr>
            </w:pPr>
            <w:r>
              <w:rPr>
                <w:rFonts w:ascii="Arial" w:cs="Arial" w:eastAsia="Arial" w:hAnsi="Arial"/>
                <w:sz w:val="13"/>
                <w:szCs w:val="13"/>
                <w:color w:val="auto"/>
              </w:rPr>
              <w:t>-197.1</w:t>
            </w:r>
          </w:p>
        </w:tc>
        <w:tc>
          <w:tcPr>
            <w:tcW w:w="9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7"/>
              </w:rPr>
              <w:t>-220.1</w:t>
            </w:r>
          </w:p>
        </w:tc>
        <w:tc>
          <w:tcPr>
            <w:tcW w:w="9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11.7%</w:t>
            </w:r>
          </w:p>
        </w:tc>
        <w:tc>
          <w:tcPr>
            <w:tcW w:w="100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7"/>
              </w:rPr>
              <w:t>39.0%</w:t>
            </w:r>
          </w:p>
        </w:tc>
        <w:tc>
          <w:tcPr>
            <w:tcW w:w="720" w:type="dxa"/>
            <w:vAlign w:val="bottom"/>
            <w:tcBorders>
              <w:bottom w:val="single" w:sz="8" w:color="auto"/>
            </w:tcBorders>
          </w:tcPr>
          <w:p>
            <w:pPr>
              <w:jc w:val="center"/>
              <w:ind w:left="114"/>
              <w:spacing w:after="0" w:line="148" w:lineRule="exact"/>
              <w:rPr>
                <w:sz w:val="20"/>
                <w:szCs w:val="20"/>
                <w:color w:val="auto"/>
              </w:rPr>
            </w:pPr>
            <w:r>
              <w:rPr>
                <w:rFonts w:ascii="Arial" w:cs="Arial" w:eastAsia="Arial" w:hAnsi="Arial"/>
                <w:sz w:val="13"/>
                <w:szCs w:val="13"/>
                <w:color w:val="auto"/>
              </w:rPr>
              <w:t>-426.7</w:t>
            </w:r>
          </w:p>
        </w:tc>
        <w:tc>
          <w:tcPr>
            <w:tcW w:w="1160" w:type="dxa"/>
            <w:vAlign w:val="bottom"/>
            <w:tcBorders>
              <w:bottom w:val="single" w:sz="8" w:color="auto"/>
              <w:right w:val="single" w:sz="8" w:color="auto"/>
            </w:tcBorders>
          </w:tcPr>
          <w:p>
            <w:pPr>
              <w:jc w:val="center"/>
              <w:ind w:left="114"/>
              <w:spacing w:after="0" w:line="148" w:lineRule="exact"/>
              <w:rPr>
                <w:sz w:val="20"/>
                <w:szCs w:val="20"/>
                <w:color w:val="auto"/>
              </w:rPr>
            </w:pPr>
            <w:r>
              <w:rPr>
                <w:rFonts w:ascii="Arial" w:cs="Arial" w:eastAsia="Arial" w:hAnsi="Arial"/>
                <w:sz w:val="13"/>
                <w:szCs w:val="13"/>
                <w:color w:val="auto"/>
              </w:rPr>
              <w:t>-596.9</w:t>
            </w:r>
          </w:p>
        </w:tc>
        <w:tc>
          <w:tcPr>
            <w:tcW w:w="13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7"/>
              </w:rPr>
              <w:t>39.9%</w:t>
            </w:r>
          </w:p>
        </w:tc>
      </w:tr>
    </w:tbl>
    <w:p>
      <w:pPr>
        <w:ind w:firstLine="6"/>
        <w:spacing w:after="0" w:line="259" w:lineRule="auto"/>
        <w:tabs>
          <w:tab w:leader="none" w:pos="162" w:val="left"/>
        </w:tabs>
        <w:numPr>
          <w:ilvl w:val="0"/>
          <w:numId w:val="9"/>
        </w:numPr>
        <w:rPr>
          <w:rFonts w:ascii="Arial" w:cs="Arial" w:eastAsia="Arial" w:hAnsi="Arial"/>
          <w:sz w:val="11"/>
          <w:szCs w:val="11"/>
          <w:color w:val="auto"/>
        </w:rPr>
      </w:pPr>
      <w:r>
        <w:rPr>
          <w:rFonts w:ascii="Arial" w:cs="Arial" w:eastAsia="Arial" w:hAnsi="Arial"/>
          <w:sz w:val="11"/>
          <w:szCs w:val="11"/>
          <w:color w:val="auto"/>
        </w:rPr>
        <w:t>Management figures. Beginning in 1Q25, reclassifications between Operating Expenses and Fee Income have been incorporated, along with new accounting allocations, primarily related to interest expenses associated with the Deposit Insurance Fund. Figures for prior periods have been restated for comparability and may differ from those previously reported.</w:t>
      </w:r>
    </w:p>
    <w:p>
      <w:pPr>
        <w:ind w:left="160" w:hanging="154"/>
        <w:spacing w:after="0"/>
        <w:tabs>
          <w:tab w:leader="none" w:pos="16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interest income, interest expense and net provisions.</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Other Income recorded in BCP and in Yape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629920</wp:posOffset>
            </wp:positionV>
            <wp:extent cx="670750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104140</wp:posOffset>
            </wp:positionV>
            <wp:extent cx="5960745" cy="426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0745" cy="426720"/>
                    </a:xfrm>
                    <a:prstGeom prst="rect">
                      <a:avLst/>
                    </a:prstGeom>
                    <a:noFill/>
                  </pic:spPr>
                </pic:pic>
              </a:graphicData>
            </a:graphic>
          </wp:anchor>
        </w:drawing>
      </w:r>
    </w:p>
    <w:p>
      <w:pPr>
        <w:sectPr>
          <w:pgSz w:w="11900" w:h="16840" w:orient="portrait"/>
          <w:cols w:equalWidth="0" w:num="1">
            <w:col w:w="10560"/>
          </w:cols>
          <w:pgMar w:left="660" w:top="893" w:right="680" w:bottom="1440" w:gutter="0" w:footer="0" w:header="0"/>
        </w:sectPr>
      </w:pPr>
    </w:p>
    <w:bookmarkStart w:id="15" w:name="page16"/>
    <w:bookmarkEnd w:id="15"/>
    <w:p>
      <w:pPr>
        <w:ind w:left="256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391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07505" cy="7391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Credicorp’s Strategy Update</w:t>
      </w:r>
    </w:p>
    <w:p>
      <w:pPr>
        <w:spacing w:after="0" w:line="226" w:lineRule="exact"/>
        <w:rPr>
          <w:sz w:val="20"/>
          <w:szCs w:val="20"/>
          <w:color w:val="auto"/>
        </w:rPr>
      </w:pPr>
    </w:p>
    <w:p>
      <w:pPr>
        <w:spacing w:after="0"/>
        <w:tabs>
          <w:tab w:leader="none" w:pos="6680" w:val="left"/>
        </w:tabs>
        <w:rPr>
          <w:sz w:val="20"/>
          <w:szCs w:val="20"/>
          <w:color w:val="auto"/>
        </w:rPr>
      </w:pPr>
      <w:r>
        <w:rPr>
          <w:rFonts w:ascii="Arial" w:cs="Arial" w:eastAsia="Arial" w:hAnsi="Arial"/>
          <w:sz w:val="16"/>
          <w:szCs w:val="16"/>
          <w:b w:val="1"/>
          <w:bCs w:val="1"/>
          <w:color w:val="auto"/>
        </w:rPr>
        <w:t>Main Operating Results</w:t>
      </w:r>
      <w:r>
        <w:rPr>
          <w:sz w:val="20"/>
          <w:szCs w:val="20"/>
          <w:color w:val="auto"/>
        </w:rPr>
        <w:tab/>
      </w:r>
      <w:r>
        <w:rPr>
          <w:rFonts w:ascii="Arial" w:cs="Arial" w:eastAsia="Arial" w:hAnsi="Arial"/>
          <w:sz w:val="14"/>
          <w:szCs w:val="14"/>
          <w:b w:val="1"/>
          <w:bCs w:val="1"/>
          <w:color w:val="auto"/>
        </w:rPr>
        <w:t>Evolution of MAU and Transactions</w:t>
      </w:r>
    </w:p>
    <w:p>
      <w:pPr>
        <w:spacing w:after="0" w:line="46" w:lineRule="exact"/>
        <w:rPr>
          <w:sz w:val="20"/>
          <w:szCs w:val="20"/>
          <w:color w:val="auto"/>
        </w:rPr>
      </w:pPr>
    </w:p>
    <w:p>
      <w:pPr>
        <w:jc w:val="both"/>
        <w:ind w:right="5500"/>
        <w:spacing w:after="0" w:line="238" w:lineRule="auto"/>
        <w:rPr>
          <w:sz w:val="20"/>
          <w:szCs w:val="20"/>
          <w:color w:val="auto"/>
        </w:rPr>
      </w:pPr>
      <w:r>
        <w:rPr>
          <w:rFonts w:ascii="Arial" w:cs="Arial" w:eastAsia="Arial" w:hAnsi="Arial"/>
          <w:sz w:val="16"/>
          <w:szCs w:val="16"/>
          <w:color w:val="auto"/>
        </w:rPr>
        <w:t>In 3Q25, Yape topped the 15.5-million mark for monthly active users (MAU), which is the equivalent of 82% of the EAP. With more than half a million new monthly active users (MAU) this quarter, we are closing in on our goal to reach 16.5 million users in 2026. During Investor Day, we announced a new goal of 18 million MAUs for 2028 as financial inclusion and business formalization advance and broaden our addressable market. Access to new segments will rise accordingly, laying the groundwork for additional avenues of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-842645</wp:posOffset>
            </wp:positionV>
            <wp:extent cx="2378075" cy="1517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78075" cy="1517015"/>
                    </a:xfrm>
                    <a:prstGeom prst="rect">
                      <a:avLst/>
                    </a:prstGeom>
                    <a:noFill/>
                  </pic:spPr>
                </pic:pic>
              </a:graphicData>
            </a:graphic>
          </wp:anchor>
        </w:drawing>
      </w:r>
    </w:p>
    <w:p>
      <w:pPr>
        <w:spacing w:after="0" w:line="129" w:lineRule="exact"/>
        <w:rPr>
          <w:sz w:val="20"/>
          <w:szCs w:val="20"/>
          <w:color w:val="auto"/>
        </w:rPr>
      </w:pPr>
    </w:p>
    <w:p>
      <w:pPr>
        <w:jc w:val="both"/>
        <w:ind w:right="5500"/>
        <w:spacing w:after="0" w:line="238" w:lineRule="auto"/>
        <w:rPr>
          <w:sz w:val="20"/>
          <w:szCs w:val="20"/>
          <w:color w:val="auto"/>
        </w:rPr>
      </w:pPr>
      <w:r>
        <w:rPr>
          <w:rFonts w:ascii="Arial" w:cs="Arial" w:eastAsia="Arial" w:hAnsi="Arial"/>
          <w:sz w:val="16"/>
          <w:szCs w:val="16"/>
          <w:color w:val="auto"/>
        </w:rPr>
        <w:t>Frequency of use has also evolved positively, reaching 58.5 monthly transactions per user, of which 12% generate revenue. Revenue generating transactions have doubled over the last three years, although significant headroom exists to scale monetization even further. Going forward, growth will continue to leverage the power of the Credicorp ecosystem, which integrates engines at BCP, Mibanco and Pacifico. This will generate efficiencies and synergies in infrastructure, financing and risk management as we strengthen our competitive advantages and diversify revenue.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Monetization Drivers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 terms of operating efficiency, the gap between revenue and expenses</w:t>
      </w:r>
    </w:p>
    <w:p>
      <w:pPr>
        <w:ind w:right="700"/>
        <w:spacing w:after="0" w:line="260" w:lineRule="auto"/>
        <w:rPr>
          <w:sz w:val="20"/>
          <w:szCs w:val="20"/>
          <w:color w:val="auto"/>
        </w:rPr>
      </w:pPr>
      <w:r>
        <w:rPr>
          <w:rFonts w:ascii="Arial" w:cs="Arial" w:eastAsia="Arial" w:hAnsi="Arial"/>
          <w:sz w:val="16"/>
          <w:szCs w:val="16"/>
          <w:color w:val="auto"/>
        </w:rPr>
        <w:t xml:space="preserve">per user continues to widen, reaching S/7.4 in revenue and S/5.0 in </w:t>
      </w:r>
      <w:r>
        <w:rPr>
          <w:rFonts w:ascii="Arial" w:cs="Arial" w:eastAsia="Arial" w:hAnsi="Arial"/>
          <w:sz w:val="16"/>
          <w:szCs w:val="16"/>
          <w:b w:val="1"/>
          <w:bCs w:val="1"/>
          <w:color w:val="auto"/>
        </w:rPr>
        <w:t>Evolution of monthly revenue and expenses / MAU</w:t>
      </w:r>
      <w:r>
        <w:rPr>
          <w:rFonts w:ascii="Arial" w:cs="Arial" w:eastAsia="Arial" w:hAnsi="Arial"/>
          <w:sz w:val="16"/>
          <w:szCs w:val="16"/>
          <w:color w:val="auto"/>
        </w:rPr>
        <w:t xml:space="preserve"> expenses per MAU. This attests to both sustained improvements in profitability and scalability.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-33020</wp:posOffset>
            </wp:positionV>
            <wp:extent cx="2431415" cy="1532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31415" cy="1532255"/>
                    </a:xfrm>
                    <a:prstGeom prst="rect">
                      <a:avLst/>
                    </a:prstGeom>
                    <a:noFill/>
                  </pic:spPr>
                </pic:pic>
              </a:graphicData>
            </a:graphic>
          </wp:anchor>
        </w:drawing>
      </w:r>
    </w:p>
    <w:p>
      <w:pPr>
        <w:spacing w:after="0" w:line="300" w:lineRule="exact"/>
        <w:rPr>
          <w:sz w:val="20"/>
          <w:szCs w:val="20"/>
          <w:color w:val="auto"/>
        </w:rPr>
      </w:pPr>
    </w:p>
    <w:p>
      <w:pPr>
        <w:jc w:val="both"/>
        <w:ind w:right="5500"/>
        <w:spacing w:after="0" w:line="237" w:lineRule="auto"/>
        <w:rPr>
          <w:sz w:val="20"/>
          <w:szCs w:val="20"/>
          <w:color w:val="auto"/>
        </w:rPr>
      </w:pPr>
      <w:r>
        <w:rPr>
          <w:rFonts w:ascii="Arial" w:cs="Arial" w:eastAsia="Arial" w:hAnsi="Arial"/>
          <w:sz w:val="16"/>
          <w:szCs w:val="16"/>
          <w:color w:val="auto"/>
        </w:rPr>
        <w:t>The payment business has consolidated as the primary driver of monetization, doubling its Revenue Generating Total Payment Volume (RGTPV) YoY. This growth was propelled by three fronts: (i) payments through QR (POS), which reflected growth in consumption due to statutory bonus payments and commercial campaigns; (ii) bill payments, which hit a record high for active users and average ticket, with a total of 56 million transactions this quarter; and (iii) checkout, which benefitted from the incorporation of new businesses with Yape’s checkout button. Over the next three years, Yape aims to triple its sources of fee income as it leverages an increase in the number of functionalities used per MAU, which currently stands at 2.7.</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financial business, which has the highest potential for long-term growth, maintained solid momentum. This evolution was driven primarily by the lending business, which now exceeds 3.4 million disbursed clients with at least one loan received. 30% of loan borrowers received their first formal loans in the financial system through Yape, which consolidates the app’s fundamental role in financial inclusion. Credicorp aspires to include 8 million people as of 2028 by focusing on penetrating the lowest levels of the socio-economic pyramid. Currently, Yape reports more than 4 million disbursements per quarter with average tickets that range between S/200 and S/2,500 depending on the product. To accelerate lending disbursements, Yape plans to increase its pool of pre-approved loans by 30% by 2028, up from the current 6 million as of 3Q25. The app has begun a pilot for the SME segment, seeking to extend portfolio durations and ticket sizes, where it leverages synergies of Credicorp’s ecosystem to bolster the value proposition. At quarter-end, the loan portfolio is primarily comprised of multi-installment loans, reflecting greater effectiveness in loan conversion. Revenue from floating continues to grow, impacted by inflows from statutory bonus payments.</w:t>
      </w:r>
    </w:p>
    <w:p>
      <w:pPr>
        <w:spacing w:after="0" w:line="15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In e- commerce the monthly GMV reached S/168.5 million, driven mainly by Yape Promos, which registered a signficant rise in visits and transactions over the period. Brand Solutions and Gaming also posted positive results on the back of an uptick in commercial campaigns.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621030</wp:posOffset>
            </wp:positionV>
            <wp:extent cx="670750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87630</wp:posOffset>
            </wp:positionV>
            <wp:extent cx="5968365" cy="434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8365" cy="434340"/>
                    </a:xfrm>
                    <a:prstGeom prst="rect">
                      <a:avLst/>
                    </a:prstGeom>
                    <a:noFill/>
                  </pic:spPr>
                </pic:pic>
              </a:graphicData>
            </a:graphic>
          </wp:anchor>
        </w:drawing>
      </w:r>
    </w:p>
    <w:p>
      <w:pPr>
        <w:sectPr>
          <w:pgSz w:w="11900" w:h="16840" w:orient="portrait"/>
          <w:cols w:equalWidth="0" w:num="1">
            <w:col w:w="10580"/>
          </w:cols>
          <w:pgMar w:left="660" w:top="893" w:right="660" w:bottom="1440" w:gutter="0" w:footer="0" w:header="0"/>
        </w:sectPr>
      </w:pPr>
    </w:p>
    <w:bookmarkStart w:id="16" w:name="page17"/>
    <w:bookmarkEnd w:id="16"/>
    <w:p>
      <w:pPr>
        <w:jc w:val="both"/>
        <w:ind w:left="256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39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7391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Credicorp’s Strategy Update</w:t>
      </w:r>
    </w:p>
    <w:p>
      <w:pPr>
        <w:spacing w:after="0" w:line="226" w:lineRule="exact"/>
        <w:rPr>
          <w:sz w:val="20"/>
          <w:szCs w:val="20"/>
          <w:color w:val="auto"/>
        </w:rPr>
      </w:pPr>
    </w:p>
    <w:p>
      <w:pPr>
        <w:spacing w:after="0"/>
        <w:tabs>
          <w:tab w:leader="none" w:pos="6760" w:val="left"/>
        </w:tabs>
        <w:rPr>
          <w:sz w:val="20"/>
          <w:szCs w:val="20"/>
          <w:color w:val="auto"/>
        </w:rPr>
      </w:pPr>
      <w:r>
        <w:rPr>
          <w:rFonts w:ascii="Arial" w:cs="Arial" w:eastAsia="Arial" w:hAnsi="Arial"/>
          <w:sz w:val="16"/>
          <w:szCs w:val="16"/>
          <w:b w:val="1"/>
          <w:bCs w:val="1"/>
          <w:color w:val="auto"/>
        </w:rPr>
        <w:t>Financial Results</w:t>
      </w:r>
      <w:r>
        <w:rPr>
          <w:sz w:val="20"/>
          <w:szCs w:val="20"/>
          <w:color w:val="auto"/>
        </w:rPr>
        <w:tab/>
      </w:r>
      <w:r>
        <w:rPr>
          <w:rFonts w:ascii="Arial" w:cs="Arial" w:eastAsia="Arial" w:hAnsi="Arial"/>
          <w:sz w:val="14"/>
          <w:szCs w:val="14"/>
          <w:b w:val="1"/>
          <w:bCs w:val="1"/>
          <w:color w:val="auto"/>
        </w:rPr>
        <w:t>Evolution of revenue by business</w:t>
      </w:r>
    </w:p>
    <w:p>
      <w:pPr>
        <w:spacing w:after="0" w:line="31" w:lineRule="exact"/>
        <w:rPr>
          <w:sz w:val="20"/>
          <w:szCs w:val="20"/>
          <w:color w:val="auto"/>
        </w:rPr>
      </w:pPr>
    </w:p>
    <w:p>
      <w:pPr>
        <w:jc w:val="both"/>
        <w:ind w:right="5440"/>
        <w:spacing w:after="0" w:line="236" w:lineRule="auto"/>
        <w:rPr>
          <w:sz w:val="20"/>
          <w:szCs w:val="20"/>
          <w:color w:val="auto"/>
        </w:rPr>
      </w:pPr>
      <w:r>
        <w:rPr>
          <w:rFonts w:ascii="Arial" w:cs="Arial" w:eastAsia="Arial" w:hAnsi="Arial"/>
          <w:sz w:val="16"/>
          <w:szCs w:val="16"/>
          <w:color w:val="auto"/>
        </w:rPr>
        <w:t>This quarter, Yape represented 6.6% of Credicorp’s risk- adjusted revenues, which reflects the positive impact of on-going growth in MAUs that actively contribute to revenue generation. The payment business produced 53% of Yape’s Revenue, led by Service Payments, QR and Top-ups, followed by Checkout, Yape Businesses and Remittances. The financial segment accounted for 43% of total revenue generation, where floating was the main generator, but lending increased its share, weighing in with 20% versus 7% from 3Q24. Finally, the e-commerce business accounted for 4% of total revenue this quarter, driven by the solid performance in Yape Promos. Yape is a strategic motor in Credicorp’s ecosystem and continues to advance its mission to deepen financial inclusion; scale monetization; and strengthen value propositions.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634365</wp:posOffset>
            </wp:positionV>
            <wp:extent cx="670750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-1400175</wp:posOffset>
            </wp:positionV>
            <wp:extent cx="2416175" cy="12807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16175" cy="128079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100965</wp:posOffset>
            </wp:positionV>
            <wp:extent cx="5968365" cy="434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8365" cy="434340"/>
                    </a:xfrm>
                    <a:prstGeom prst="rect">
                      <a:avLst/>
                    </a:prstGeom>
                    <a:noFill/>
                  </pic:spPr>
                </pic:pic>
              </a:graphicData>
            </a:graphic>
          </wp:anchor>
        </w:drawing>
      </w:r>
    </w:p>
    <w:p>
      <w:pPr>
        <w:sectPr>
          <w:pgSz w:w="11900" w:h="16840" w:orient="portrait"/>
          <w:cols w:equalWidth="0" w:num="1">
            <w:col w:w="10520"/>
          </w:cols>
          <w:pgMar w:left="660" w:top="893" w:right="720" w:bottom="1440" w:gutter="0" w:footer="0" w:header="0"/>
        </w:sectPr>
      </w:pPr>
    </w:p>
    <w:bookmarkStart w:id="17" w:name="page18"/>
    <w:bookmarkEnd w:id="17"/>
    <w:p>
      <w:pPr>
        <w:ind w:left="256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391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7391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Credicorp’s Strategy Update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Integrating Sustainability in Our Businesses</w:t>
      </w:r>
    </w:p>
    <w:p>
      <w:pPr>
        <w:spacing w:after="0" w:line="12"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 xml:space="preserve">We continue to successfully roll out our </w:t>
      </w:r>
      <w:r>
        <w:rPr>
          <w:rFonts w:ascii="Arial" w:cs="Arial" w:eastAsia="Arial" w:hAnsi="Arial"/>
          <w:sz w:val="16"/>
          <w:szCs w:val="16"/>
          <w:u w:val="single" w:color="auto"/>
          <w:color w:val="auto"/>
        </w:rPr>
        <w:t>Sustainability Strategy 2025–2030</w:t>
      </w:r>
      <w:r>
        <w:rPr>
          <w:rFonts w:ascii="Arial" w:cs="Arial" w:eastAsia="Arial" w:hAnsi="Arial"/>
          <w:sz w:val="16"/>
          <w:szCs w:val="16"/>
          <w:color w:val="auto"/>
        </w:rPr>
        <w:t>, which has an impact plan with three pillars (Inclusion Finances for the Future and Trust) and a transversal axis known as Visión País. Noteworthy milestones in 3Q25 include: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Inclusion</w:t>
      </w:r>
    </w:p>
    <w:p>
      <w:pPr>
        <w:spacing w:after="0" w:line="12" w:lineRule="exact"/>
        <w:rPr>
          <w:sz w:val="20"/>
          <w:szCs w:val="20"/>
          <w:color w:val="auto"/>
        </w:rPr>
      </w:pPr>
    </w:p>
    <w:p>
      <w:pPr>
        <w:ind w:left="200" w:right="60" w:hanging="194"/>
        <w:spacing w:after="0" w:line="234" w:lineRule="auto"/>
        <w:tabs>
          <w:tab w:leader="none" w:pos="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BCP and Yape financially included 200 thousand people in 3Q25, to reach a total of 6.3 million since 2020 (+11% vs 4Q24). More than 3.4 million people have disbursed at least one loan through Yape to date, 30% of which were first-time borrowers in the formal financial system.</w:t>
      </w:r>
    </w:p>
    <w:p>
      <w:pPr>
        <w:spacing w:after="0" w:line="1" w:lineRule="exact"/>
        <w:rPr>
          <w:rFonts w:ascii="Arial" w:cs="Arial" w:eastAsia="Arial" w:hAnsi="Arial"/>
          <w:sz w:val="16"/>
          <w:szCs w:val="16"/>
          <w:color w:val="auto"/>
        </w:rPr>
      </w:pPr>
    </w:p>
    <w:p>
      <w:pPr>
        <w:jc w:val="both"/>
        <w:ind w:left="200" w:right="20" w:hanging="194"/>
        <w:spacing w:after="0" w:line="203" w:lineRule="auto"/>
        <w:tabs>
          <w:tab w:leader="none" w:pos="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At the end of 3Q25, Pacifico reported over 3.3 million clients protected by inclusive insurance products </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of which more than 2.9 million belong to mass-market segments, distributed through BCP, Mibanco, Yape, and third-party partnerships. In August, the company launched </w:t>
      </w:r>
      <w:r>
        <w:rPr>
          <w:rFonts w:ascii="Arial" w:cs="Arial" w:eastAsia="Arial" w:hAnsi="Arial"/>
          <w:sz w:val="16"/>
          <w:szCs w:val="16"/>
          <w:i w:val="1"/>
          <w:iCs w:val="1"/>
          <w:color w:val="auto"/>
        </w:rPr>
        <w:t>Compra Segura</w:t>
      </w:r>
      <w:r>
        <w:rPr>
          <w:rFonts w:ascii="Arial" w:cs="Arial" w:eastAsia="Arial" w:hAnsi="Arial"/>
          <w:sz w:val="16"/>
          <w:szCs w:val="16"/>
          <w:color w:val="auto"/>
        </w:rPr>
        <w:t xml:space="preserve"> (in partnership with Falabella) to cover theft or accidental damage of purchases of S/ 50 and above; these policies also offer online medical consultations. Meanwhile, Pacífico Salud insured more than 416,000 individuals with inclusive health insurance plans YTD.</w:t>
      </w:r>
    </w:p>
    <w:p>
      <w:pPr>
        <w:jc w:val="both"/>
        <w:ind w:left="200" w:right="20" w:hanging="194"/>
        <w:spacing w:after="0" w:line="234" w:lineRule="auto"/>
        <w:tabs>
          <w:tab w:leader="none" w:pos="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To jump-start financial inclusion in peri-urban and rural areas, we are conducting pilots to develop innovative ways to generate trust and be closer to people. For example, Yape’s Financial Inclusion Project in Cuzco and Mibanco’s </w:t>
      </w:r>
      <w:r>
        <w:rPr>
          <w:rFonts w:ascii="Arial" w:cs="Arial" w:eastAsia="Arial" w:hAnsi="Arial"/>
          <w:sz w:val="16"/>
          <w:szCs w:val="16"/>
          <w:i w:val="1"/>
          <w:iCs w:val="1"/>
          <w:color w:val="auto"/>
        </w:rPr>
        <w:t>Sobre Ruedas</w:t>
      </w:r>
      <w:r>
        <w:rPr>
          <w:rFonts w:ascii="Arial" w:cs="Arial" w:eastAsia="Arial" w:hAnsi="Arial"/>
          <w:sz w:val="16"/>
          <w:szCs w:val="16"/>
          <w:color w:val="auto"/>
        </w:rPr>
        <w:t xml:space="preserve"> aim to drive banking penetration in underserved areas in Lambayeque.</w:t>
      </w:r>
    </w:p>
    <w:p>
      <w:pPr>
        <w:spacing w:after="0" w:line="1" w:lineRule="exact"/>
        <w:rPr>
          <w:rFonts w:ascii="Arial" w:cs="Arial" w:eastAsia="Arial" w:hAnsi="Arial"/>
          <w:sz w:val="16"/>
          <w:szCs w:val="16"/>
          <w:color w:val="auto"/>
        </w:rPr>
      </w:pPr>
    </w:p>
    <w:p>
      <w:pPr>
        <w:jc w:val="both"/>
        <w:ind w:left="200" w:right="40" w:hanging="194"/>
        <w:spacing w:after="0" w:line="239" w:lineRule="auto"/>
        <w:tabs>
          <w:tab w:leader="none" w:pos="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We have broadened the scope our financial education programs. Thus far this year, the following initiatives have been particularly noteworthy: i) </w:t>
      </w:r>
      <w:r>
        <w:rPr>
          <w:rFonts w:ascii="Arial" w:cs="Arial" w:eastAsia="Arial" w:hAnsi="Arial"/>
          <w:sz w:val="16"/>
          <w:szCs w:val="16"/>
          <w:i w:val="1"/>
          <w:iCs w:val="1"/>
          <w:color w:val="auto"/>
        </w:rPr>
        <w:t xml:space="preserve">Academia del Progreso </w:t>
      </w:r>
      <w:r>
        <w:rPr>
          <w:rFonts w:ascii="Arial" w:cs="Arial" w:eastAsia="Arial" w:hAnsi="Arial"/>
          <w:sz w:val="16"/>
          <w:szCs w:val="16"/>
          <w:color w:val="auto"/>
        </w:rPr>
        <w:t>at Mibanco, which trained +372 thousand clients; ii) ABC at BCP, which improved the financial behavior of +491 thousand</w:t>
      </w:r>
      <w:r>
        <w:rPr>
          <w:rFonts w:ascii="Arial" w:cs="Arial" w:eastAsia="Arial" w:hAnsi="Arial"/>
          <w:sz w:val="16"/>
          <w:szCs w:val="16"/>
          <w:i w:val="1"/>
          <w:iCs w:val="1"/>
          <w:color w:val="auto"/>
        </w:rPr>
        <w:t xml:space="preserve"> </w:t>
      </w:r>
      <w:r>
        <w:rPr>
          <w:rFonts w:ascii="Arial" w:cs="Arial" w:eastAsia="Arial" w:hAnsi="Arial"/>
          <w:sz w:val="16"/>
          <w:szCs w:val="16"/>
          <w:color w:val="auto"/>
        </w:rPr>
        <w:t>people; and iii) “Aprende con Yape”, which offers financial education modules through the app, imparted 146 thousand courses.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for the future</w:t>
      </w:r>
    </w:p>
    <w:p>
      <w:pPr>
        <w:spacing w:after="0" w:line="8" w:lineRule="exact"/>
        <w:rPr>
          <w:sz w:val="20"/>
          <w:szCs w:val="20"/>
          <w:color w:val="auto"/>
        </w:rPr>
      </w:pPr>
    </w:p>
    <w:p>
      <w:pPr>
        <w:ind w:left="200" w:hanging="194"/>
        <w:spacing w:after="0"/>
        <w:tabs>
          <w:tab w:leader="none" w:pos="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On the front </w:t>
      </w:r>
      <w:r>
        <w:rPr>
          <w:rFonts w:ascii="Arial" w:cs="Arial" w:eastAsia="Arial" w:hAnsi="Arial"/>
          <w:sz w:val="16"/>
          <w:szCs w:val="16"/>
          <w:b w:val="1"/>
          <w:bCs w:val="1"/>
          <w:color w:val="auto"/>
        </w:rPr>
        <w:t>Support to Micro, Small and Medium Enterprises</w:t>
      </w:r>
      <w:r>
        <w:rPr>
          <w:rFonts w:ascii="Arial" w:cs="Arial" w:eastAsia="Arial" w:hAnsi="Arial"/>
          <w:sz w:val="16"/>
          <w:szCs w:val="16"/>
          <w:color w:val="auto"/>
        </w:rPr>
        <w:t xml:space="preserve"> (MSMEs), our main initiatives achieved the following:</w:t>
      </w:r>
    </w:p>
    <w:p>
      <w:pPr>
        <w:ind w:left="160" w:right="140" w:hanging="10"/>
        <w:spacing w:after="0" w:line="234" w:lineRule="auto"/>
        <w:tabs>
          <w:tab w:leader="none" w:pos="504" w:val="left"/>
        </w:tabs>
        <w:numPr>
          <w:ilvl w:val="1"/>
          <w:numId w:val="11"/>
        </w:numPr>
        <w:rPr>
          <w:rFonts w:ascii="Arial" w:cs="Arial" w:eastAsia="Arial" w:hAnsi="Arial"/>
          <w:sz w:val="13"/>
          <w:szCs w:val="13"/>
          <w:color w:val="auto"/>
        </w:rPr>
      </w:pPr>
      <w:r>
        <w:rPr>
          <w:rFonts w:ascii="Arial" w:cs="Arial" w:eastAsia="Arial" w:hAnsi="Arial"/>
          <w:sz w:val="16"/>
          <w:szCs w:val="16"/>
          <w:color w:val="auto"/>
        </w:rPr>
        <w:t>Mibanco disbursed loans to more than 729 thousand SME clients, totaling S/ 11,812 million, while BCP served over 1 million SME clients with an accumulated amount of S/ 14,309 million.</w:t>
      </w:r>
    </w:p>
    <w:p>
      <w:pPr>
        <w:spacing w:after="0" w:line="1" w:lineRule="exact"/>
        <w:rPr>
          <w:rFonts w:ascii="Arial" w:cs="Arial" w:eastAsia="Arial" w:hAnsi="Arial"/>
          <w:sz w:val="13"/>
          <w:szCs w:val="13"/>
          <w:color w:val="auto"/>
        </w:rPr>
      </w:pPr>
    </w:p>
    <w:p>
      <w:pPr>
        <w:ind w:left="160" w:right="300" w:hanging="10"/>
        <w:spacing w:after="0" w:line="234" w:lineRule="auto"/>
        <w:tabs>
          <w:tab w:leader="none" w:pos="504" w:val="left"/>
        </w:tabs>
        <w:numPr>
          <w:ilvl w:val="1"/>
          <w:numId w:val="11"/>
        </w:numPr>
        <w:rPr>
          <w:rFonts w:ascii="Arial" w:cs="Arial" w:eastAsia="Arial" w:hAnsi="Arial"/>
          <w:sz w:val="13"/>
          <w:szCs w:val="13"/>
          <w:color w:val="auto"/>
        </w:rPr>
      </w:pPr>
      <w:r>
        <w:rPr>
          <w:rFonts w:ascii="Arial" w:cs="Arial" w:eastAsia="Arial" w:hAnsi="Arial"/>
          <w:sz w:val="16"/>
          <w:szCs w:val="16"/>
          <w:color w:val="auto"/>
        </w:rPr>
        <w:t>Through the program “Contigo Emprendedor,” BCP had accompanied more than 190 thousand MSME clients as of the end of the third quarter through the advisory programs it offers on Whatsapp to strengthen financial management skills.</w:t>
      </w:r>
    </w:p>
    <w:p>
      <w:pPr>
        <w:spacing w:after="0" w:line="1" w:lineRule="exact"/>
        <w:rPr>
          <w:rFonts w:ascii="Arial" w:cs="Arial" w:eastAsia="Arial" w:hAnsi="Arial"/>
          <w:sz w:val="13"/>
          <w:szCs w:val="13"/>
          <w:color w:val="auto"/>
        </w:rPr>
      </w:pPr>
    </w:p>
    <w:p>
      <w:pPr>
        <w:ind w:left="200" w:hanging="194"/>
        <w:spacing w:after="0" w:line="234" w:lineRule="auto"/>
        <w:tabs>
          <w:tab w:leader="none" w:pos="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On the </w:t>
      </w:r>
      <w:r>
        <w:rPr>
          <w:rFonts w:ascii="Arial" w:cs="Arial" w:eastAsia="Arial" w:hAnsi="Arial"/>
          <w:sz w:val="16"/>
          <w:szCs w:val="16"/>
          <w:b w:val="1"/>
          <w:bCs w:val="1"/>
          <w:color w:val="auto"/>
        </w:rPr>
        <w:t>Sustainable Finances</w:t>
      </w:r>
      <w:r>
        <w:rPr>
          <w:rFonts w:ascii="Arial" w:cs="Arial" w:eastAsia="Arial" w:hAnsi="Arial"/>
          <w:sz w:val="16"/>
          <w:szCs w:val="16"/>
          <w:color w:val="auto"/>
        </w:rPr>
        <w:t xml:space="preserve"> front, our subsidiaries advance as follows:</w:t>
      </w:r>
    </w:p>
    <w:p>
      <w:pPr>
        <w:ind w:left="160" w:right="200" w:hanging="10"/>
        <w:spacing w:after="0" w:line="234" w:lineRule="auto"/>
        <w:tabs>
          <w:tab w:leader="none" w:pos="504" w:val="left"/>
        </w:tabs>
        <w:numPr>
          <w:ilvl w:val="1"/>
          <w:numId w:val="11"/>
        </w:numPr>
        <w:rPr>
          <w:rFonts w:ascii="Arial" w:cs="Arial" w:eastAsia="Arial" w:hAnsi="Arial"/>
          <w:sz w:val="13"/>
          <w:szCs w:val="13"/>
          <w:color w:val="auto"/>
        </w:rPr>
      </w:pPr>
      <w:r>
        <w:rPr>
          <w:rFonts w:ascii="Arial" w:cs="Arial" w:eastAsia="Arial" w:hAnsi="Arial"/>
          <w:sz w:val="16"/>
          <w:szCs w:val="16"/>
          <w:color w:val="auto"/>
        </w:rPr>
        <w:t>Mibanco, through its Crediagua product, which expands access to drinking water and sewage connections, disbursed S/ 617 million thus far this year, benefiting +37 thousand people. In 3Q25, disbursements were up 46% QoQ.</w:t>
      </w:r>
    </w:p>
    <w:p>
      <w:pPr>
        <w:spacing w:after="0" w:line="1" w:lineRule="exact"/>
        <w:rPr>
          <w:rFonts w:ascii="Arial" w:cs="Arial" w:eastAsia="Arial" w:hAnsi="Arial"/>
          <w:sz w:val="13"/>
          <w:szCs w:val="13"/>
          <w:color w:val="auto"/>
        </w:rPr>
      </w:pPr>
    </w:p>
    <w:p>
      <w:pPr>
        <w:ind w:left="160" w:right="580" w:hanging="10"/>
        <w:spacing w:after="0" w:line="234" w:lineRule="auto"/>
        <w:tabs>
          <w:tab w:leader="none" w:pos="504" w:val="left"/>
        </w:tabs>
        <w:numPr>
          <w:ilvl w:val="1"/>
          <w:numId w:val="11"/>
        </w:numPr>
        <w:rPr>
          <w:rFonts w:ascii="Arial" w:cs="Arial" w:eastAsia="Arial" w:hAnsi="Arial"/>
          <w:sz w:val="13"/>
          <w:szCs w:val="13"/>
          <w:color w:val="auto"/>
        </w:rPr>
      </w:pPr>
      <w:r>
        <w:rPr>
          <w:rFonts w:ascii="Arial" w:cs="Arial" w:eastAsia="Arial" w:hAnsi="Arial"/>
          <w:sz w:val="16"/>
          <w:szCs w:val="16"/>
          <w:color w:val="auto"/>
        </w:rPr>
        <w:t>Mibanco Colombia placed sustainable term certificates of deposit for US$ 13 million. These funds are for loans that comply with the bank’s Sustainable Financing Framework.</w:t>
      </w:r>
    </w:p>
    <w:p>
      <w:pPr>
        <w:spacing w:after="0" w:line="1" w:lineRule="exact"/>
        <w:rPr>
          <w:rFonts w:ascii="Arial" w:cs="Arial" w:eastAsia="Arial" w:hAnsi="Arial"/>
          <w:sz w:val="13"/>
          <w:szCs w:val="13"/>
          <w:color w:val="auto"/>
        </w:rPr>
      </w:pPr>
    </w:p>
    <w:p>
      <w:pPr>
        <w:ind w:left="500" w:hanging="350"/>
        <w:spacing w:after="0" w:line="234" w:lineRule="auto"/>
        <w:tabs>
          <w:tab w:leader="none" w:pos="500" w:val="left"/>
        </w:tabs>
        <w:numPr>
          <w:ilvl w:val="1"/>
          <w:numId w:val="11"/>
        </w:numPr>
        <w:rPr>
          <w:rFonts w:ascii="Arial" w:cs="Arial" w:eastAsia="Arial" w:hAnsi="Arial"/>
          <w:sz w:val="13"/>
          <w:szCs w:val="13"/>
          <w:color w:val="auto"/>
        </w:rPr>
      </w:pPr>
      <w:r>
        <w:rPr>
          <w:rFonts w:ascii="Arial" w:cs="Arial" w:eastAsia="Arial" w:hAnsi="Arial"/>
          <w:sz w:val="16"/>
          <w:szCs w:val="16"/>
          <w:color w:val="auto"/>
        </w:rPr>
        <w:t>BCP has disbursed US$ 2,130 million in sustainable financing (environmental and social).</w:t>
      </w:r>
    </w:p>
    <w:p>
      <w:pPr>
        <w:jc w:val="both"/>
        <w:ind w:left="200" w:right="20" w:hanging="194"/>
        <w:spacing w:after="0" w:line="239" w:lineRule="auto"/>
        <w:tabs>
          <w:tab w:leader="none" w:pos="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Finally, we continue to strengthen the </w:t>
      </w:r>
      <w:r>
        <w:rPr>
          <w:rFonts w:ascii="Arial" w:cs="Arial" w:eastAsia="Arial" w:hAnsi="Arial"/>
          <w:sz w:val="16"/>
          <w:szCs w:val="16"/>
          <w:b w:val="1"/>
          <w:bCs w:val="1"/>
          <w:color w:val="auto"/>
        </w:rPr>
        <w:t>Resilience</w:t>
      </w:r>
      <w:r>
        <w:rPr>
          <w:rFonts w:ascii="Arial" w:cs="Arial" w:eastAsia="Arial" w:hAnsi="Arial"/>
          <w:sz w:val="16"/>
          <w:szCs w:val="16"/>
          <w:color w:val="auto"/>
        </w:rPr>
        <w:t xml:space="preserve"> of individuals and businesses through risk prevention training. On this front, Pacifico has reached 315 thousand people thus far this year (including clients, non-clients and employees at businesses) through programs such as “ABC de Pacífico,” “Comunidad Segura” and “Protege365”.</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Trust</w:t>
      </w:r>
    </w:p>
    <w:p>
      <w:pPr>
        <w:spacing w:after="0" w:line="12" w:lineRule="exact"/>
        <w:rPr>
          <w:sz w:val="20"/>
          <w:szCs w:val="20"/>
          <w:color w:val="auto"/>
        </w:rPr>
      </w:pPr>
    </w:p>
    <w:p>
      <w:pPr>
        <w:ind w:left="200" w:right="40" w:hanging="194"/>
        <w:spacing w:after="0" w:line="244" w:lineRule="auto"/>
        <w:tabs>
          <w:tab w:leader="none" w:pos="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the trust front, we advanced the “OrguYO” initiative at BCP, which aims to generate civic-mindedness and integrity through personal examples. We value the ripple effect that our employees can generate when they promote these values.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summaries some of our main results:</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5300" w:type="dxa"/>
            <w:vAlign w:val="bottom"/>
            <w:tcBorders>
              <w:top w:val="single" w:sz="8" w:color="auto"/>
              <w:left w:val="single" w:sz="8" w:color="auto"/>
              <w:bottom w:val="single" w:sz="8" w:color="auto"/>
              <w:right w:val="single" w:sz="8" w:color="auto"/>
            </w:tcBorders>
            <w:shd w:val="clear" w:color="auto" w:fill="33CCCC"/>
          </w:tcPr>
          <w:p>
            <w:pPr>
              <w:ind w:left="2400"/>
              <w:spacing w:after="0"/>
              <w:rPr>
                <w:sz w:val="20"/>
                <w:szCs w:val="20"/>
                <w:color w:val="auto"/>
              </w:rPr>
            </w:pPr>
            <w:r>
              <w:rPr>
                <w:rFonts w:ascii="Arial" w:cs="Arial" w:eastAsia="Arial" w:hAnsi="Arial"/>
                <w:sz w:val="14"/>
                <w:szCs w:val="14"/>
                <w:b w:val="1"/>
                <w:bCs w:val="1"/>
                <w:color w:val="FFFFFF"/>
              </w:rPr>
              <w:t>Indicator</w:t>
            </w:r>
          </w:p>
        </w:tc>
        <w:tc>
          <w:tcPr>
            <w:tcW w:w="148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Company</w:t>
            </w:r>
          </w:p>
        </w:tc>
        <w:tc>
          <w:tcPr>
            <w:tcW w:w="96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Unit</w:t>
            </w:r>
          </w:p>
        </w:tc>
        <w:tc>
          <w:tcPr>
            <w:tcW w:w="94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3Q24</w:t>
            </w:r>
          </w:p>
        </w:tc>
        <w:tc>
          <w:tcPr>
            <w:tcW w:w="94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2Q25</w:t>
            </w:r>
          </w:p>
        </w:tc>
        <w:tc>
          <w:tcPr>
            <w:tcW w:w="96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w w:val="99"/>
              </w:rPr>
              <w:t>3Q25</w:t>
            </w:r>
          </w:p>
        </w:tc>
      </w:tr>
      <w:tr>
        <w:trPr>
          <w:trHeight w:val="172"/>
        </w:trPr>
        <w:tc>
          <w:tcPr>
            <w:tcW w:w="53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Inclusion</w:t>
            </w:r>
          </w:p>
        </w:tc>
        <w:tc>
          <w:tcPr>
            <w:tcW w:w="1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r>
      <w:tr>
        <w:trPr>
          <w:trHeight w:val="172"/>
        </w:trPr>
        <w:tc>
          <w:tcPr>
            <w:tcW w:w="5300" w:type="dxa"/>
            <w:vAlign w:val="bottom"/>
            <w:tcBorders>
              <w:left w:val="single" w:sz="8" w:color="auto"/>
              <w:bottom w:val="single" w:sz="8" w:color="auto"/>
              <w:right w:val="single" w:sz="8" w:color="auto"/>
            </w:tcBorders>
          </w:tcPr>
          <w:p>
            <w:pPr>
              <w:ind w:left="120"/>
              <w:spacing w:after="0" w:line="172" w:lineRule="exact"/>
              <w:rPr>
                <w:sz w:val="20"/>
                <w:szCs w:val="20"/>
                <w:color w:val="auto"/>
              </w:rPr>
            </w:pPr>
            <w:r>
              <w:rPr>
                <w:rFonts w:ascii="Arial" w:cs="Arial" w:eastAsia="Arial" w:hAnsi="Arial"/>
                <w:sz w:val="12"/>
                <w:szCs w:val="12"/>
                <w:color w:val="auto"/>
              </w:rPr>
              <w:t>People included financially through BCP and Yape – cumulative since 2020</w:t>
            </w:r>
            <w:r>
              <w:rPr>
                <w:rFonts w:ascii="Arial" w:cs="Arial" w:eastAsia="Arial" w:hAnsi="Arial"/>
                <w:sz w:val="19"/>
                <w:szCs w:val="19"/>
                <w:color w:val="auto"/>
                <w:vertAlign w:val="superscript"/>
              </w:rPr>
              <w:t>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BCP Peru and Yape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Millions</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5.3</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6.3</w:t>
            </w:r>
          </w:p>
        </w:tc>
      </w:tr>
      <w:tr>
        <w:trPr>
          <w:trHeight w:val="172"/>
        </w:trPr>
        <w:tc>
          <w:tcPr>
            <w:tcW w:w="5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Clients included in inclusive insurance services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Pacifico</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Millions</w:t>
            </w:r>
          </w:p>
        </w:tc>
        <w:tc>
          <w:tcPr>
            <w:tcW w:w="9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N.D.</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2.9</w:t>
            </w:r>
          </w:p>
        </w:tc>
      </w:tr>
      <w:tr>
        <w:trPr>
          <w:trHeight w:val="172"/>
        </w:trPr>
        <w:tc>
          <w:tcPr>
            <w:tcW w:w="53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Finance for the Future</w:t>
            </w:r>
          </w:p>
        </w:tc>
        <w:tc>
          <w:tcPr>
            <w:tcW w:w="1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r>
      <w:tr>
        <w:trPr>
          <w:trHeight w:val="172"/>
        </w:trPr>
        <w:tc>
          <w:tcPr>
            <w:tcW w:w="5300" w:type="dxa"/>
            <w:vAlign w:val="bottom"/>
            <w:tcBorders>
              <w:left w:val="single" w:sz="8" w:color="auto"/>
              <w:bottom w:val="single" w:sz="8" w:color="auto"/>
              <w:right w:val="single" w:sz="8" w:color="auto"/>
            </w:tcBorders>
          </w:tcPr>
          <w:p>
            <w:pPr>
              <w:ind w:left="120"/>
              <w:spacing w:after="0" w:line="172" w:lineRule="exact"/>
              <w:rPr>
                <w:sz w:val="20"/>
                <w:szCs w:val="20"/>
                <w:color w:val="auto"/>
              </w:rPr>
            </w:pPr>
            <w:r>
              <w:rPr>
                <w:rFonts w:ascii="Arial" w:cs="Arial" w:eastAsia="Arial" w:hAnsi="Arial"/>
                <w:sz w:val="12"/>
                <w:szCs w:val="12"/>
                <w:color w:val="auto"/>
              </w:rPr>
              <w:t>Total loan disbursements for MSMEs</w:t>
            </w:r>
            <w:r>
              <w:rPr>
                <w:rFonts w:ascii="Arial" w:cs="Arial" w:eastAsia="Arial" w:hAnsi="Arial"/>
                <w:sz w:val="19"/>
                <w:szCs w:val="19"/>
                <w:color w:val="auto"/>
                <w:vertAlign w:val="superscript"/>
              </w:rPr>
              <w:t>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Mibanco Peru</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 Millions</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10,059</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7,757</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11,812</w:t>
            </w:r>
          </w:p>
        </w:tc>
      </w:tr>
      <w:tr>
        <w:trPr>
          <w:trHeight w:val="172"/>
        </w:trPr>
        <w:tc>
          <w:tcPr>
            <w:tcW w:w="5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Disbursements of sustainable financings - YTD</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BCP Peru</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Millions</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1,110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1,517</w:t>
            </w:r>
          </w:p>
        </w:tc>
        <w:tc>
          <w:tcPr>
            <w:tcW w:w="96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2"/>
                <w:szCs w:val="12"/>
                <w:color w:val="auto"/>
              </w:rPr>
              <w:t>2,130</w:t>
            </w:r>
            <w:r>
              <w:rPr>
                <w:rFonts w:ascii="Arial" w:cs="Arial" w:eastAsia="Arial" w:hAnsi="Arial"/>
                <w:sz w:val="19"/>
                <w:szCs w:val="19"/>
                <w:color w:val="auto"/>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167703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0"/>
          <w:szCs w:val="10"/>
          <w:color w:val="auto"/>
        </w:rPr>
        <w:t>1 Simple and affordable optional insurance products with single or monthly payments of S/40 or less</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10"/>
          <w:szCs w:val="10"/>
          <w:color w:val="auto"/>
        </w:rPr>
        <w:t>2 Stock of financially included clients through BCP since 2020: (i) New clients with savings accounts or affiliated to Yape. (ii) New clients without debt in the financial system or BCP products in the last twelve months. (iii) Clients with 3 monthly average transactions in the last three months.</w:t>
      </w:r>
    </w:p>
    <w:p>
      <w:pPr>
        <w:spacing w:after="0" w:line="226" w:lineRule="auto"/>
        <w:rPr>
          <w:sz w:val="20"/>
          <w:szCs w:val="20"/>
          <w:color w:val="auto"/>
        </w:rPr>
      </w:pPr>
      <w:r>
        <w:rPr>
          <w:rFonts w:ascii="Arial" w:cs="Arial" w:eastAsia="Arial" w:hAnsi="Arial"/>
          <w:sz w:val="10"/>
          <w:szCs w:val="10"/>
          <w:color w:val="auto"/>
        </w:rPr>
        <w:t>3 Includes MSMEs and individuals with businesses</w:t>
      </w:r>
    </w:p>
    <w:p>
      <w:pPr>
        <w:spacing w:after="0"/>
        <w:rPr>
          <w:sz w:val="20"/>
          <w:szCs w:val="20"/>
          <w:color w:val="auto"/>
        </w:rPr>
      </w:pPr>
      <w:r>
        <w:rPr>
          <w:rFonts w:ascii="Arial" w:cs="Arial" w:eastAsia="Arial" w:hAnsi="Arial"/>
          <w:sz w:val="10"/>
          <w:szCs w:val="10"/>
          <w:color w:val="auto"/>
        </w:rPr>
        <w:t>4 Up to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668020</wp:posOffset>
            </wp:positionV>
            <wp:extent cx="670750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111760</wp:posOffset>
            </wp:positionV>
            <wp:extent cx="5991225" cy="4572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91225" cy="457200"/>
                    </a:xfrm>
                    <a:prstGeom prst="rect">
                      <a:avLst/>
                    </a:prstGeom>
                    <a:noFill/>
                  </pic:spPr>
                </pic:pic>
              </a:graphicData>
            </a:graphic>
          </wp:anchor>
        </w:drawing>
      </w:r>
    </w:p>
    <w:p>
      <w:pPr>
        <w:sectPr>
          <w:pgSz w:w="11900" w:h="16840" w:orient="portrait"/>
          <w:cols w:equalWidth="0" w:num="1">
            <w:col w:w="10600"/>
          </w:cols>
          <w:pgMar w:left="660" w:top="893" w:right="640" w:bottom="1440" w:gutter="0" w:footer="0" w:header="0"/>
        </w:sectPr>
      </w:pPr>
    </w:p>
    <w:bookmarkStart w:id="18" w:name="page19"/>
    <w:bookmarkEnd w:id="18"/>
    <w:p>
      <w:pPr>
        <w:ind w:left="256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33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07505" cy="53340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01 </w:t>
      </w:r>
      <w:r>
        <w:rPr>
          <w:rFonts w:ascii="Arial" w:cs="Arial" w:eastAsia="Arial" w:hAnsi="Arial"/>
          <w:sz w:val="28"/>
          <w:szCs w:val="28"/>
          <w:color w:val="E93BAC"/>
        </w:rPr>
        <w:t>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6707505" cy="1372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07505" cy="1372235"/>
                    </a:xfrm>
                    <a:prstGeom prst="rect">
                      <a:avLst/>
                    </a:prstGeom>
                    <a:noFill/>
                  </pic:spPr>
                </pic:pic>
              </a:graphicData>
            </a:graphic>
          </wp:anchor>
        </w:drawing>
      </w:r>
    </w:p>
    <w:p>
      <w:pPr>
        <w:spacing w:after="0" w:line="85" w:lineRule="exact"/>
        <w:rPr>
          <w:sz w:val="20"/>
          <w:szCs w:val="20"/>
          <w:color w:val="auto"/>
        </w:rPr>
      </w:pPr>
    </w:p>
    <w:p>
      <w:pPr>
        <w:jc w:val="both"/>
        <w:ind w:left="120" w:right="120"/>
        <w:spacing w:after="0" w:line="255" w:lineRule="auto"/>
        <w:rPr>
          <w:sz w:val="20"/>
          <w:szCs w:val="20"/>
          <w:color w:val="auto"/>
        </w:rPr>
      </w:pPr>
      <w:r>
        <w:rPr>
          <w:rFonts w:ascii="Arial" w:cs="Arial" w:eastAsia="Arial" w:hAnsi="Arial"/>
          <w:sz w:val="16"/>
          <w:szCs w:val="16"/>
          <w:color w:val="FFFFFF"/>
        </w:rPr>
        <w:t>This quarter, total loans were once again impacted by the asset revaluation at BCP Bolivia. If we exclude this impact, total loans in quarter-end balances increased 1.6% QoQ and 4.4% YoY, on track to meeting our guidance by year-end.</w:t>
      </w:r>
    </w:p>
    <w:p>
      <w:pPr>
        <w:spacing w:after="0" w:line="180" w:lineRule="exact"/>
        <w:rPr>
          <w:sz w:val="20"/>
          <w:szCs w:val="20"/>
          <w:color w:val="auto"/>
        </w:rPr>
      </w:pPr>
    </w:p>
    <w:p>
      <w:pPr>
        <w:jc w:val="both"/>
        <w:ind w:left="120" w:right="100"/>
        <w:spacing w:after="0" w:line="248" w:lineRule="auto"/>
        <w:rPr>
          <w:sz w:val="20"/>
          <w:szCs w:val="20"/>
          <w:color w:val="auto"/>
        </w:rPr>
      </w:pPr>
      <w:r>
        <w:rPr>
          <w:rFonts w:ascii="Arial" w:cs="Arial" w:eastAsia="Arial" w:hAnsi="Arial"/>
          <w:sz w:val="16"/>
          <w:szCs w:val="16"/>
          <w:color w:val="FFFFFF"/>
        </w:rPr>
        <w:t>Excluding the impact of the USD devaluation against PEN, total loans in quarter-end balances grew 2.4% QoQ in FX neutral terms. The main dynamics that drove this evolution were (i) growth in disbursements in Small Businesses, (ii) growth in demand for loans in Mortgage and (iii) record-high disbursements in the month of September at Mibanco.</w:t>
      </w:r>
    </w:p>
    <w:p>
      <w:pPr>
        <w:spacing w:after="0" w:line="186" w:lineRule="exact"/>
        <w:rPr>
          <w:sz w:val="20"/>
          <w:szCs w:val="20"/>
          <w:color w:val="auto"/>
        </w:rPr>
      </w:pPr>
    </w:p>
    <w:p>
      <w:pPr>
        <w:jc w:val="both"/>
        <w:ind w:left="120" w:right="100"/>
        <w:spacing w:after="0" w:line="248" w:lineRule="auto"/>
        <w:rPr>
          <w:sz w:val="20"/>
          <w:szCs w:val="20"/>
          <w:color w:val="auto"/>
        </w:rPr>
      </w:pPr>
      <w:r>
        <w:rPr>
          <w:rFonts w:ascii="Arial" w:cs="Arial" w:eastAsia="Arial" w:hAnsi="Arial"/>
          <w:sz w:val="16"/>
          <w:szCs w:val="16"/>
          <w:color w:val="FFFFFF"/>
        </w:rPr>
        <w:t>YoY, total loans in quarter-end balances rose 7.0% in FX neutral terms. The main drivers of this result were (i) growth in disbursements in Mortgage and an increase in the appetite for risk in Consumer (ii) an increase in the demand for short-term financing in Middle Market Banking and (iii) an upswing in the dynamism of disbursements at Mibanco.</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Evolution of Loans in Quarter-end Balances</w:t>
      </w:r>
    </w:p>
    <w:p>
      <w:pPr>
        <w:spacing w:after="0" w:line="164" w:lineRule="exact"/>
        <w:rPr>
          <w:sz w:val="20"/>
          <w:szCs w:val="20"/>
          <w:color w:val="auto"/>
        </w:rPr>
      </w:pPr>
    </w:p>
    <w:p>
      <w:pPr>
        <w:jc w:val="both"/>
        <w:spacing w:after="0" w:line="207" w:lineRule="auto"/>
        <w:rPr>
          <w:sz w:val="20"/>
          <w:szCs w:val="20"/>
          <w:color w:val="auto"/>
        </w:rPr>
      </w:pPr>
      <w:r>
        <w:rPr>
          <w:rFonts w:ascii="Arial" w:cs="Arial" w:eastAsia="Arial" w:hAnsi="Arial"/>
          <w:sz w:val="16"/>
          <w:szCs w:val="16"/>
          <w:color w:val="auto"/>
        </w:rPr>
        <w:t xml:space="preserve">This quarter, total loans in quarter-end balances rose 2.7% and 1.5%, </w:t>
      </w:r>
      <w:r>
        <w:rPr>
          <w:rFonts w:ascii="Arial" w:cs="Arial" w:eastAsia="Arial" w:hAnsi="Arial"/>
          <w:sz w:val="16"/>
          <w:szCs w:val="16"/>
          <w:b w:val="1"/>
          <w:bCs w:val="1"/>
          <w:color w:val="auto"/>
        </w:rPr>
        <w:t>QoQ and YoY</w:t>
      </w:r>
      <w:r>
        <w:rPr>
          <w:rFonts w:ascii="Arial" w:cs="Arial" w:eastAsia="Arial" w:hAnsi="Arial"/>
          <w:sz w:val="16"/>
          <w:szCs w:val="16"/>
          <w:color w:val="auto"/>
        </w:rPr>
        <w:t xml:space="preserve"> , respectively. These evolutions were impacted by asset revaluation at </w:t>
      </w:r>
      <w:r>
        <w:rPr>
          <w:rFonts w:ascii="Arial" w:cs="Arial" w:eastAsia="Arial" w:hAnsi="Arial"/>
          <w:sz w:val="16"/>
          <w:szCs w:val="16"/>
          <w:b w:val="1"/>
          <w:bCs w:val="1"/>
          <w:color w:val="auto"/>
        </w:rPr>
        <w:t>BCP Bolivia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If we exclude this impact, loans grew 1.6% </w:t>
      </w:r>
      <w:r>
        <w:rPr>
          <w:rFonts w:ascii="Arial" w:cs="Arial" w:eastAsia="Arial" w:hAnsi="Arial"/>
          <w:sz w:val="16"/>
          <w:szCs w:val="16"/>
          <w:b w:val="1"/>
          <w:bCs w:val="1"/>
          <w:color w:val="auto"/>
        </w:rPr>
        <w:t>QoQ</w:t>
      </w:r>
      <w:r>
        <w:rPr>
          <w:rFonts w:ascii="Arial" w:cs="Arial" w:eastAsia="Arial" w:hAnsi="Arial"/>
          <w:sz w:val="16"/>
          <w:szCs w:val="16"/>
          <w:color w:val="auto"/>
        </w:rPr>
        <w:t xml:space="preserve"> and 4.4% </w:t>
      </w:r>
      <w:r>
        <w:rPr>
          <w:rFonts w:ascii="Arial" w:cs="Arial" w:eastAsia="Arial" w:hAnsi="Arial"/>
          <w:sz w:val="16"/>
          <w:szCs w:val="16"/>
          <w:b w:val="1"/>
          <w:bCs w:val="1"/>
          <w:color w:val="auto"/>
        </w:rPr>
        <w:t>YoY.</w:t>
      </w:r>
      <w:r>
        <w:rPr>
          <w:rFonts w:ascii="Arial" w:cs="Arial" w:eastAsia="Arial" w:hAnsi="Arial"/>
          <w:sz w:val="16"/>
          <w:szCs w:val="16"/>
          <w:color w:val="auto"/>
        </w:rPr>
        <w:t xml:space="preserve"> If we analyze trends with USD/PEN neutral exchange rate, which paints a more focused picture of the state of commercial management, loans in quarter-end balances rose 2.4% </w:t>
      </w:r>
      <w:r>
        <w:rPr>
          <w:rFonts w:ascii="Arial" w:cs="Arial" w:eastAsia="Arial" w:hAnsi="Arial"/>
          <w:sz w:val="16"/>
          <w:szCs w:val="16"/>
          <w:b w:val="1"/>
          <w:bCs w:val="1"/>
          <w:color w:val="auto"/>
        </w:rPr>
        <w:t>QoQ</w:t>
      </w:r>
      <w:r>
        <w:rPr>
          <w:rFonts w:ascii="Arial" w:cs="Arial" w:eastAsia="Arial" w:hAnsi="Arial"/>
          <w:sz w:val="16"/>
          <w:szCs w:val="16"/>
          <w:color w:val="auto"/>
        </w:rPr>
        <w:t xml:space="preserve"> and 7.0% </w:t>
      </w:r>
      <w:r>
        <w:rPr>
          <w:rFonts w:ascii="Arial" w:cs="Arial" w:eastAsia="Arial" w:hAnsi="Arial"/>
          <w:sz w:val="16"/>
          <w:szCs w:val="16"/>
          <w:b w:val="1"/>
          <w:bCs w:val="1"/>
          <w:color w:val="auto"/>
        </w:rPr>
        <w:t>YoY</w:t>
      </w:r>
      <w:r>
        <w:rPr>
          <w:rFonts w:ascii="Arial" w:cs="Arial" w:eastAsia="Arial" w:hAnsi="Arial"/>
          <w:sz w:val="16"/>
          <w:szCs w:val="16"/>
          <w:color w:val="auto"/>
        </w:rPr>
        <w:t>.</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Total Loans (in Quarter-end Balances)</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24"/>
        </w:trPr>
        <w:tc>
          <w:tcPr>
            <w:tcW w:w="2900" w:type="dxa"/>
            <w:vAlign w:val="bottom"/>
            <w:tcBorders>
              <w:top w:val="single" w:sz="8" w:color="auto"/>
              <w:left w:val="single" w:sz="8" w:color="auto"/>
              <w:right w:val="single" w:sz="8" w:color="auto"/>
            </w:tcBorders>
            <w:vMerge w:val="restart"/>
            <w:shd w:val="clear" w:color="auto" w:fill="33CCCC"/>
          </w:tcPr>
          <w:p>
            <w:pPr>
              <w:ind w:left="20"/>
              <w:spacing w:after="0"/>
              <w:rPr>
                <w:sz w:val="20"/>
                <w:szCs w:val="20"/>
                <w:color w:val="auto"/>
              </w:rPr>
            </w:pPr>
            <w:r>
              <w:rPr>
                <w:rFonts w:ascii="Arial" w:cs="Arial" w:eastAsia="Arial" w:hAnsi="Arial"/>
                <w:sz w:val="11"/>
                <w:szCs w:val="11"/>
                <w:b w:val="1"/>
                <w:bCs w:val="1"/>
                <w:color w:val="FFFFFF"/>
              </w:rPr>
              <w:t>Total Loans</w:t>
            </w:r>
          </w:p>
        </w:tc>
        <w:tc>
          <w:tcPr>
            <w:tcW w:w="820" w:type="dxa"/>
            <w:vAlign w:val="bottom"/>
            <w:tcBorders>
              <w:top w:val="single" w:sz="8" w:color="auto"/>
            </w:tcBorders>
            <w:shd w:val="clear" w:color="auto" w:fill="33CCCC"/>
          </w:tcPr>
          <w:p>
            <w:pPr>
              <w:spacing w:after="0"/>
              <w:rPr>
                <w:sz w:val="10"/>
                <w:szCs w:val="10"/>
                <w:color w:val="auto"/>
              </w:rPr>
            </w:pPr>
          </w:p>
        </w:tc>
        <w:tc>
          <w:tcPr>
            <w:tcW w:w="860" w:type="dxa"/>
            <w:vAlign w:val="bottom"/>
            <w:tcBorders>
              <w:top w:val="single" w:sz="8" w:color="auto"/>
            </w:tcBorders>
            <w:vMerge w:val="restart"/>
            <w:shd w:val="clear" w:color="auto" w:fill="33CCCC"/>
          </w:tcPr>
          <w:p>
            <w:pPr>
              <w:jc w:val="center"/>
              <w:spacing w:after="0"/>
              <w:rPr>
                <w:sz w:val="20"/>
                <w:szCs w:val="20"/>
                <w:color w:val="auto"/>
              </w:rPr>
            </w:pPr>
            <w:r>
              <w:rPr>
                <w:rFonts w:ascii="Arial" w:cs="Arial" w:eastAsia="Arial" w:hAnsi="Arial"/>
                <w:sz w:val="11"/>
                <w:szCs w:val="11"/>
                <w:b w:val="1"/>
                <w:bCs w:val="1"/>
                <w:color w:val="FFFFFF"/>
              </w:rPr>
              <w:t>As of</w:t>
            </w:r>
          </w:p>
        </w:tc>
        <w:tc>
          <w:tcPr>
            <w:tcW w:w="880" w:type="dxa"/>
            <w:vAlign w:val="bottom"/>
            <w:tcBorders>
              <w:top w:val="single" w:sz="8" w:color="auto"/>
              <w:right w:val="single" w:sz="8" w:color="auto"/>
            </w:tcBorders>
            <w:shd w:val="clear" w:color="auto" w:fill="33CCCC"/>
          </w:tcPr>
          <w:p>
            <w:pPr>
              <w:spacing w:after="0"/>
              <w:rPr>
                <w:sz w:val="10"/>
                <w:szCs w:val="10"/>
                <w:color w:val="auto"/>
              </w:rPr>
            </w:pPr>
          </w:p>
        </w:tc>
        <w:tc>
          <w:tcPr>
            <w:tcW w:w="1700" w:type="dxa"/>
            <w:vAlign w:val="bottom"/>
            <w:tcBorders>
              <w:top w:val="single" w:sz="8" w:color="auto"/>
              <w:right w:val="single" w:sz="8" w:color="auto"/>
            </w:tcBorders>
            <w:gridSpan w:val="2"/>
            <w:vMerge w:val="restart"/>
            <w:shd w:val="clear" w:color="auto" w:fill="33CCCC"/>
          </w:tcPr>
          <w:p>
            <w:pPr>
              <w:ind w:left="440"/>
              <w:spacing w:after="0"/>
              <w:rPr>
                <w:sz w:val="20"/>
                <w:szCs w:val="20"/>
                <w:color w:val="auto"/>
              </w:rPr>
            </w:pPr>
            <w:r>
              <w:rPr>
                <w:rFonts w:ascii="Arial" w:cs="Arial" w:eastAsia="Arial" w:hAnsi="Arial"/>
                <w:sz w:val="11"/>
                <w:szCs w:val="11"/>
                <w:b w:val="1"/>
                <w:bCs w:val="1"/>
                <w:color w:val="FFFFFF"/>
              </w:rPr>
              <w:t>Volume change</w:t>
            </w:r>
          </w:p>
        </w:tc>
        <w:tc>
          <w:tcPr>
            <w:tcW w:w="1700" w:type="dxa"/>
            <w:vAlign w:val="bottom"/>
            <w:tcBorders>
              <w:top w:val="single" w:sz="8" w:color="auto"/>
              <w:right w:val="single" w:sz="8" w:color="auto"/>
            </w:tcBorders>
            <w:gridSpan w:val="2"/>
            <w:shd w:val="clear" w:color="auto" w:fill="33CCCC"/>
          </w:tcPr>
          <w:p>
            <w:pPr>
              <w:jc w:val="center"/>
              <w:spacing w:after="0" w:line="124" w:lineRule="exact"/>
              <w:rPr>
                <w:sz w:val="20"/>
                <w:szCs w:val="20"/>
                <w:color w:val="auto"/>
              </w:rPr>
            </w:pPr>
            <w:r>
              <w:rPr>
                <w:rFonts w:ascii="Arial" w:cs="Arial" w:eastAsia="Arial" w:hAnsi="Arial"/>
                <w:sz w:val="11"/>
                <w:szCs w:val="11"/>
                <w:b w:val="1"/>
                <w:bCs w:val="1"/>
                <w:color w:val="FFFFFF"/>
                <w:w w:val="97"/>
              </w:rPr>
              <w:t>USD/PEN Neutral</w:t>
            </w:r>
          </w:p>
        </w:tc>
        <w:tc>
          <w:tcPr>
            <w:tcW w:w="1720" w:type="dxa"/>
            <w:vAlign w:val="bottom"/>
            <w:tcBorders>
              <w:top w:val="single" w:sz="8" w:color="auto"/>
              <w:right w:val="single" w:sz="8" w:color="auto"/>
            </w:tcBorders>
            <w:gridSpan w:val="2"/>
            <w:shd w:val="clear" w:color="auto" w:fill="33CCCC"/>
          </w:tcPr>
          <w:p>
            <w:pPr>
              <w:jc w:val="center"/>
              <w:spacing w:after="0" w:line="124" w:lineRule="exact"/>
              <w:rPr>
                <w:sz w:val="20"/>
                <w:szCs w:val="20"/>
                <w:color w:val="auto"/>
              </w:rPr>
            </w:pPr>
            <w:r>
              <w:rPr>
                <w:rFonts w:ascii="Arial" w:cs="Arial" w:eastAsia="Arial" w:hAnsi="Arial"/>
                <w:sz w:val="11"/>
                <w:szCs w:val="11"/>
                <w:b w:val="1"/>
                <w:bCs w:val="1"/>
                <w:color w:val="FFFFFF"/>
                <w:w w:val="97"/>
              </w:rPr>
              <w:t>USD/PEN Neutral</w:t>
            </w:r>
          </w:p>
        </w:tc>
        <w:tc>
          <w:tcPr>
            <w:tcW w:w="0" w:type="dxa"/>
            <w:vAlign w:val="bottom"/>
          </w:tcPr>
          <w:p>
            <w:pPr>
              <w:spacing w:after="0"/>
              <w:rPr>
                <w:sz w:val="1"/>
                <w:szCs w:val="1"/>
                <w:color w:val="auto"/>
              </w:rPr>
            </w:pPr>
          </w:p>
        </w:tc>
      </w:tr>
      <w:tr>
        <w:trPr>
          <w:trHeight w:val="60"/>
        </w:trPr>
        <w:tc>
          <w:tcPr>
            <w:tcW w:w="2900" w:type="dxa"/>
            <w:vAlign w:val="bottom"/>
            <w:tcBorders>
              <w:left w:val="single" w:sz="8" w:color="auto"/>
              <w:right w:val="single" w:sz="8" w:color="auto"/>
            </w:tcBorders>
            <w:vMerge w:val="continue"/>
            <w:shd w:val="clear" w:color="auto" w:fill="33CCCC"/>
          </w:tcPr>
          <w:p>
            <w:pPr>
              <w:spacing w:after="0"/>
              <w:rPr>
                <w:sz w:val="5"/>
                <w:szCs w:val="5"/>
                <w:color w:val="auto"/>
              </w:rPr>
            </w:pPr>
          </w:p>
        </w:tc>
        <w:tc>
          <w:tcPr>
            <w:tcW w:w="820" w:type="dxa"/>
            <w:vAlign w:val="bottom"/>
            <w:shd w:val="clear" w:color="auto" w:fill="33CCCC"/>
          </w:tcPr>
          <w:p>
            <w:pPr>
              <w:spacing w:after="0"/>
              <w:rPr>
                <w:sz w:val="5"/>
                <w:szCs w:val="5"/>
                <w:color w:val="auto"/>
              </w:rPr>
            </w:pPr>
          </w:p>
        </w:tc>
        <w:tc>
          <w:tcPr>
            <w:tcW w:w="860" w:type="dxa"/>
            <w:vAlign w:val="bottom"/>
            <w:vMerge w:val="continue"/>
            <w:shd w:val="clear" w:color="auto" w:fill="33CCCC"/>
          </w:tcPr>
          <w:p>
            <w:pPr>
              <w:spacing w:after="0"/>
              <w:rPr>
                <w:sz w:val="5"/>
                <w:szCs w:val="5"/>
                <w:color w:val="auto"/>
              </w:rPr>
            </w:pPr>
          </w:p>
        </w:tc>
        <w:tc>
          <w:tcPr>
            <w:tcW w:w="880" w:type="dxa"/>
            <w:vAlign w:val="bottom"/>
            <w:tcBorders>
              <w:right w:val="single" w:sz="8" w:color="auto"/>
            </w:tcBorders>
            <w:shd w:val="clear" w:color="auto" w:fill="33CCCC"/>
          </w:tcPr>
          <w:p>
            <w:pPr>
              <w:spacing w:after="0"/>
              <w:rPr>
                <w:sz w:val="5"/>
                <w:szCs w:val="5"/>
                <w:color w:val="auto"/>
              </w:rPr>
            </w:pPr>
          </w:p>
        </w:tc>
        <w:tc>
          <w:tcPr>
            <w:tcW w:w="1700" w:type="dxa"/>
            <w:vAlign w:val="bottom"/>
            <w:tcBorders>
              <w:right w:val="single" w:sz="8" w:color="auto"/>
            </w:tcBorders>
            <w:gridSpan w:val="2"/>
            <w:vMerge w:val="continue"/>
            <w:shd w:val="clear" w:color="auto" w:fill="33CCCC"/>
          </w:tcPr>
          <w:p>
            <w:pPr>
              <w:spacing w:after="0"/>
              <w:rPr>
                <w:sz w:val="5"/>
                <w:szCs w:val="5"/>
                <w:color w:val="auto"/>
              </w:rPr>
            </w:pPr>
          </w:p>
        </w:tc>
        <w:tc>
          <w:tcPr>
            <w:tcW w:w="1700" w:type="dxa"/>
            <w:vAlign w:val="bottom"/>
            <w:tcBorders>
              <w:right w:val="single" w:sz="8" w:color="auto"/>
            </w:tcBorders>
            <w:gridSpan w:val="2"/>
            <w:vMerge w:val="restart"/>
            <w:shd w:val="clear" w:color="auto" w:fill="33CCCC"/>
          </w:tcPr>
          <w:p>
            <w:pPr>
              <w:jc w:val="center"/>
              <w:spacing w:after="0"/>
              <w:rPr>
                <w:sz w:val="20"/>
                <w:szCs w:val="20"/>
                <w:color w:val="auto"/>
              </w:rPr>
            </w:pPr>
            <w:r>
              <w:rPr>
                <w:rFonts w:ascii="Arial" w:cs="Arial" w:eastAsia="Arial" w:hAnsi="Arial"/>
                <w:sz w:val="11"/>
                <w:szCs w:val="11"/>
                <w:b w:val="1"/>
                <w:bCs w:val="1"/>
                <w:color w:val="FFFFFF"/>
                <w:w w:val="98"/>
              </w:rPr>
              <w:t>Volume change</w:t>
            </w:r>
          </w:p>
        </w:tc>
        <w:tc>
          <w:tcPr>
            <w:tcW w:w="580" w:type="dxa"/>
            <w:vAlign w:val="bottom"/>
            <w:shd w:val="clear" w:color="auto" w:fill="33CCCC"/>
          </w:tcPr>
          <w:p>
            <w:pPr>
              <w:spacing w:after="0"/>
              <w:rPr>
                <w:sz w:val="5"/>
                <w:szCs w:val="5"/>
                <w:color w:val="auto"/>
              </w:rPr>
            </w:pPr>
          </w:p>
        </w:tc>
        <w:tc>
          <w:tcPr>
            <w:tcW w:w="1140" w:type="dxa"/>
            <w:vAlign w:val="bottom"/>
            <w:tcBorders>
              <w:right w:val="single" w:sz="8" w:color="auto"/>
            </w:tcBorders>
            <w:vMerge w:val="restart"/>
            <w:shd w:val="clear" w:color="auto" w:fill="33CCCC"/>
          </w:tcPr>
          <w:p>
            <w:pPr>
              <w:jc w:val="center"/>
              <w:ind w:right="566"/>
              <w:spacing w:after="0"/>
              <w:rPr>
                <w:sz w:val="20"/>
                <w:szCs w:val="20"/>
                <w:color w:val="auto"/>
              </w:rPr>
            </w:pPr>
            <w:r>
              <w:rPr>
                <w:rFonts w:ascii="Arial" w:cs="Arial" w:eastAsia="Arial" w:hAnsi="Arial"/>
                <w:sz w:val="11"/>
                <w:szCs w:val="11"/>
                <w:b w:val="1"/>
                <w:bCs w:val="1"/>
                <w:color w:val="FFFFFF"/>
                <w:w w:val="97"/>
              </w:rPr>
              <w:t>% Change</w:t>
            </w:r>
          </w:p>
        </w:tc>
        <w:tc>
          <w:tcPr>
            <w:tcW w:w="0" w:type="dxa"/>
            <w:vAlign w:val="bottom"/>
          </w:tcPr>
          <w:p>
            <w:pPr>
              <w:spacing w:after="0"/>
              <w:rPr>
                <w:sz w:val="1"/>
                <w:szCs w:val="1"/>
                <w:color w:val="auto"/>
              </w:rPr>
            </w:pPr>
          </w:p>
        </w:tc>
      </w:tr>
      <w:tr>
        <w:trPr>
          <w:trHeight w:val="72"/>
        </w:trPr>
        <w:tc>
          <w:tcPr>
            <w:tcW w:w="2900" w:type="dxa"/>
            <w:vAlign w:val="bottom"/>
            <w:tcBorders>
              <w:left w:val="single" w:sz="8" w:color="auto"/>
              <w:right w:val="single" w:sz="8" w:color="auto"/>
            </w:tcBorders>
            <w:vMerge w:val="restart"/>
            <w:shd w:val="clear" w:color="auto" w:fill="33CCCC"/>
          </w:tcPr>
          <w:p>
            <w:pPr>
              <w:ind w:left="20"/>
              <w:spacing w:after="0"/>
              <w:rPr>
                <w:sz w:val="20"/>
                <w:szCs w:val="20"/>
                <w:color w:val="auto"/>
              </w:rPr>
            </w:pPr>
            <w:r>
              <w:rPr>
                <w:rFonts w:ascii="Arial" w:cs="Arial" w:eastAsia="Arial" w:hAnsi="Arial"/>
                <w:sz w:val="11"/>
                <w:szCs w:val="11"/>
                <w:color w:val="FFFFFF"/>
              </w:rPr>
              <w:t>(S/ Millions)</w:t>
            </w:r>
          </w:p>
        </w:tc>
        <w:tc>
          <w:tcPr>
            <w:tcW w:w="820" w:type="dxa"/>
            <w:vAlign w:val="bottom"/>
            <w:shd w:val="clear" w:color="auto" w:fill="33CCCC"/>
          </w:tcPr>
          <w:p>
            <w:pPr>
              <w:spacing w:after="0"/>
              <w:rPr>
                <w:sz w:val="6"/>
                <w:szCs w:val="6"/>
                <w:color w:val="auto"/>
              </w:rPr>
            </w:pPr>
          </w:p>
        </w:tc>
        <w:tc>
          <w:tcPr>
            <w:tcW w:w="860" w:type="dxa"/>
            <w:vAlign w:val="bottom"/>
            <w:shd w:val="clear" w:color="auto" w:fill="33CCCC"/>
          </w:tcPr>
          <w:p>
            <w:pPr>
              <w:spacing w:after="0"/>
              <w:rPr>
                <w:sz w:val="6"/>
                <w:szCs w:val="6"/>
                <w:color w:val="auto"/>
              </w:rPr>
            </w:pPr>
          </w:p>
        </w:tc>
        <w:tc>
          <w:tcPr>
            <w:tcW w:w="880" w:type="dxa"/>
            <w:vAlign w:val="bottom"/>
            <w:tcBorders>
              <w:right w:val="single" w:sz="8" w:color="auto"/>
            </w:tcBorders>
            <w:shd w:val="clear" w:color="auto" w:fill="33CCCC"/>
          </w:tcPr>
          <w:p>
            <w:pPr>
              <w:spacing w:after="0"/>
              <w:rPr>
                <w:sz w:val="6"/>
                <w:szCs w:val="6"/>
                <w:color w:val="auto"/>
              </w:rPr>
            </w:pPr>
          </w:p>
        </w:tc>
        <w:tc>
          <w:tcPr>
            <w:tcW w:w="820" w:type="dxa"/>
            <w:vAlign w:val="bottom"/>
            <w:shd w:val="clear" w:color="auto" w:fill="33CCCC"/>
          </w:tcPr>
          <w:p>
            <w:pPr>
              <w:spacing w:after="0"/>
              <w:rPr>
                <w:sz w:val="6"/>
                <w:szCs w:val="6"/>
                <w:color w:val="auto"/>
              </w:rPr>
            </w:pPr>
          </w:p>
        </w:tc>
        <w:tc>
          <w:tcPr>
            <w:tcW w:w="880" w:type="dxa"/>
            <w:vAlign w:val="bottom"/>
            <w:tcBorders>
              <w:right w:val="single" w:sz="8" w:color="auto"/>
            </w:tcBorders>
            <w:shd w:val="clear" w:color="auto" w:fill="33CCCC"/>
          </w:tcPr>
          <w:p>
            <w:pPr>
              <w:spacing w:after="0"/>
              <w:rPr>
                <w:sz w:val="6"/>
                <w:szCs w:val="6"/>
                <w:color w:val="auto"/>
              </w:rPr>
            </w:pPr>
          </w:p>
        </w:tc>
        <w:tc>
          <w:tcPr>
            <w:tcW w:w="1700" w:type="dxa"/>
            <w:vAlign w:val="bottom"/>
            <w:tcBorders>
              <w:right w:val="single" w:sz="8" w:color="auto"/>
            </w:tcBorders>
            <w:gridSpan w:val="2"/>
            <w:vMerge w:val="continue"/>
            <w:shd w:val="clear" w:color="auto" w:fill="33CCCC"/>
          </w:tcPr>
          <w:p>
            <w:pPr>
              <w:spacing w:after="0"/>
              <w:rPr>
                <w:sz w:val="6"/>
                <w:szCs w:val="6"/>
                <w:color w:val="auto"/>
              </w:rPr>
            </w:pPr>
          </w:p>
        </w:tc>
        <w:tc>
          <w:tcPr>
            <w:tcW w:w="580" w:type="dxa"/>
            <w:vAlign w:val="bottom"/>
            <w:shd w:val="clear" w:color="auto" w:fill="33CCCC"/>
          </w:tcPr>
          <w:p>
            <w:pPr>
              <w:spacing w:after="0"/>
              <w:rPr>
                <w:sz w:val="6"/>
                <w:szCs w:val="6"/>
                <w:color w:val="auto"/>
              </w:rPr>
            </w:pPr>
          </w:p>
        </w:tc>
        <w:tc>
          <w:tcPr>
            <w:tcW w:w="1140" w:type="dxa"/>
            <w:vAlign w:val="bottom"/>
            <w:tcBorders>
              <w:right w:val="single" w:sz="8" w:color="auto"/>
            </w:tcBorders>
            <w:vMerge w:val="continue"/>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900" w:type="dxa"/>
            <w:vAlign w:val="bottom"/>
            <w:tcBorders>
              <w:left w:val="single" w:sz="8" w:color="auto"/>
              <w:right w:val="single" w:sz="8" w:color="auto"/>
            </w:tcBorders>
            <w:vMerge w:val="continue"/>
            <w:shd w:val="clear" w:color="auto" w:fill="33CCCC"/>
          </w:tcPr>
          <w:p>
            <w:pPr>
              <w:spacing w:after="0"/>
              <w:rPr>
                <w:sz w:val="6"/>
                <w:szCs w:val="6"/>
                <w:color w:val="auto"/>
              </w:rPr>
            </w:pPr>
          </w:p>
        </w:tc>
        <w:tc>
          <w:tcPr>
            <w:tcW w:w="820" w:type="dxa"/>
            <w:vAlign w:val="bottom"/>
            <w:vMerge w:val="restart"/>
            <w:shd w:val="clear" w:color="auto" w:fill="33CCCC"/>
          </w:tcPr>
          <w:p>
            <w:pPr>
              <w:ind w:left="240"/>
              <w:spacing w:after="0"/>
              <w:rPr>
                <w:sz w:val="20"/>
                <w:szCs w:val="20"/>
                <w:color w:val="auto"/>
              </w:rPr>
            </w:pPr>
            <w:r>
              <w:rPr>
                <w:rFonts w:ascii="Arial" w:cs="Arial" w:eastAsia="Arial" w:hAnsi="Arial"/>
                <w:sz w:val="11"/>
                <w:szCs w:val="11"/>
                <w:b w:val="1"/>
                <w:bCs w:val="1"/>
                <w:color w:val="FFFFFF"/>
              </w:rPr>
              <w:t>Sep 24</w:t>
            </w:r>
          </w:p>
        </w:tc>
        <w:tc>
          <w:tcPr>
            <w:tcW w:w="860" w:type="dxa"/>
            <w:vAlign w:val="bottom"/>
            <w:vMerge w:val="restart"/>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Jun 25</w:t>
            </w:r>
          </w:p>
        </w:tc>
        <w:tc>
          <w:tcPr>
            <w:tcW w:w="880" w:type="dxa"/>
            <w:vAlign w:val="bottom"/>
            <w:tcBorders>
              <w:right w:val="single" w:sz="8" w:color="auto"/>
            </w:tcBorders>
            <w:vMerge w:val="restart"/>
            <w:shd w:val="clear" w:color="auto" w:fill="33CCCC"/>
          </w:tcPr>
          <w:p>
            <w:pPr>
              <w:ind w:left="260"/>
              <w:spacing w:after="0"/>
              <w:rPr>
                <w:sz w:val="20"/>
                <w:szCs w:val="20"/>
                <w:color w:val="auto"/>
              </w:rPr>
            </w:pPr>
            <w:r>
              <w:rPr>
                <w:rFonts w:ascii="Arial" w:cs="Arial" w:eastAsia="Arial" w:hAnsi="Arial"/>
                <w:sz w:val="11"/>
                <w:szCs w:val="11"/>
                <w:b w:val="1"/>
                <w:bCs w:val="1"/>
                <w:color w:val="FFFFFF"/>
              </w:rPr>
              <w:t>Sep 25</w:t>
            </w:r>
          </w:p>
        </w:tc>
        <w:tc>
          <w:tcPr>
            <w:tcW w:w="820" w:type="dxa"/>
            <w:vAlign w:val="bottom"/>
            <w:vMerge w:val="restart"/>
            <w:shd w:val="clear" w:color="auto" w:fill="33CCCC"/>
          </w:tcPr>
          <w:p>
            <w:pPr>
              <w:ind w:left="280"/>
              <w:spacing w:after="0"/>
              <w:rPr>
                <w:sz w:val="20"/>
                <w:szCs w:val="20"/>
                <w:color w:val="auto"/>
              </w:rPr>
            </w:pPr>
            <w:r>
              <w:rPr>
                <w:rFonts w:ascii="Arial" w:cs="Arial" w:eastAsia="Arial" w:hAnsi="Arial"/>
                <w:sz w:val="11"/>
                <w:szCs w:val="11"/>
                <w:b w:val="1"/>
                <w:bCs w:val="1"/>
                <w:color w:val="FFFFFF"/>
              </w:rPr>
              <w:t>QoQ</w:t>
            </w:r>
          </w:p>
        </w:tc>
        <w:tc>
          <w:tcPr>
            <w:tcW w:w="880" w:type="dxa"/>
            <w:vAlign w:val="bottom"/>
            <w:tcBorders>
              <w:right w:val="single" w:sz="8" w:color="auto"/>
            </w:tcBorders>
            <w:vMerge w:val="restart"/>
            <w:shd w:val="clear" w:color="auto" w:fill="33CCCC"/>
          </w:tcPr>
          <w:p>
            <w:pPr>
              <w:ind w:left="320"/>
              <w:spacing w:after="0"/>
              <w:rPr>
                <w:sz w:val="20"/>
                <w:szCs w:val="20"/>
                <w:color w:val="auto"/>
              </w:rPr>
            </w:pPr>
            <w:r>
              <w:rPr>
                <w:rFonts w:ascii="Arial" w:cs="Arial" w:eastAsia="Arial" w:hAnsi="Arial"/>
                <w:sz w:val="11"/>
                <w:szCs w:val="11"/>
                <w:b w:val="1"/>
                <w:bCs w:val="1"/>
                <w:color w:val="FFFFFF"/>
              </w:rPr>
              <w:t>YoY</w:t>
            </w:r>
          </w:p>
        </w:tc>
        <w:tc>
          <w:tcPr>
            <w:tcW w:w="820" w:type="dxa"/>
            <w:vAlign w:val="bottom"/>
            <w:vMerge w:val="restart"/>
            <w:shd w:val="clear" w:color="auto" w:fill="33CCCC"/>
          </w:tcPr>
          <w:p>
            <w:pPr>
              <w:jc w:val="center"/>
              <w:spacing w:after="0"/>
              <w:rPr>
                <w:sz w:val="20"/>
                <w:szCs w:val="20"/>
                <w:color w:val="auto"/>
              </w:rPr>
            </w:pPr>
            <w:r>
              <w:rPr>
                <w:rFonts w:ascii="Arial" w:cs="Arial" w:eastAsia="Arial" w:hAnsi="Arial"/>
                <w:sz w:val="11"/>
                <w:szCs w:val="11"/>
                <w:b w:val="1"/>
                <w:bCs w:val="1"/>
                <w:color w:val="FFFFFF"/>
                <w:w w:val="92"/>
              </w:rPr>
              <w:t>QoQ</w:t>
            </w:r>
          </w:p>
        </w:tc>
        <w:tc>
          <w:tcPr>
            <w:tcW w:w="880" w:type="dxa"/>
            <w:vAlign w:val="bottom"/>
            <w:tcBorders>
              <w:right w:val="single" w:sz="8" w:color="auto"/>
            </w:tcBorders>
            <w:vMerge w:val="restart"/>
            <w:shd w:val="clear" w:color="auto" w:fill="33CCCC"/>
          </w:tcPr>
          <w:p>
            <w:pPr>
              <w:ind w:left="340"/>
              <w:spacing w:after="0"/>
              <w:rPr>
                <w:sz w:val="20"/>
                <w:szCs w:val="20"/>
                <w:color w:val="auto"/>
              </w:rPr>
            </w:pPr>
            <w:r>
              <w:rPr>
                <w:rFonts w:ascii="Arial" w:cs="Arial" w:eastAsia="Arial" w:hAnsi="Arial"/>
                <w:sz w:val="11"/>
                <w:szCs w:val="11"/>
                <w:b w:val="1"/>
                <w:bCs w:val="1"/>
                <w:color w:val="FFFFFF"/>
              </w:rPr>
              <w:t>YoY</w:t>
            </w:r>
          </w:p>
        </w:tc>
        <w:tc>
          <w:tcPr>
            <w:tcW w:w="580" w:type="dxa"/>
            <w:vAlign w:val="bottom"/>
            <w:vMerge w:val="restart"/>
            <w:shd w:val="clear" w:color="auto" w:fill="33CCCC"/>
          </w:tcPr>
          <w:p>
            <w:pPr>
              <w:jc w:val="center"/>
              <w:ind w:left="206"/>
              <w:spacing w:after="0"/>
              <w:rPr>
                <w:sz w:val="20"/>
                <w:szCs w:val="20"/>
                <w:color w:val="auto"/>
              </w:rPr>
            </w:pPr>
            <w:r>
              <w:rPr>
                <w:rFonts w:ascii="Arial" w:cs="Arial" w:eastAsia="Arial" w:hAnsi="Arial"/>
                <w:sz w:val="11"/>
                <w:szCs w:val="11"/>
                <w:b w:val="1"/>
                <w:bCs w:val="1"/>
                <w:color w:val="FFFFFF"/>
              </w:rPr>
              <w:t>QoQ</w:t>
            </w:r>
          </w:p>
        </w:tc>
        <w:tc>
          <w:tcPr>
            <w:tcW w:w="1140" w:type="dxa"/>
            <w:vAlign w:val="bottom"/>
            <w:tcBorders>
              <w:right w:val="single" w:sz="8" w:color="auto"/>
            </w:tcBorders>
            <w:vMerge w:val="restart"/>
            <w:shd w:val="clear" w:color="auto" w:fill="33CCCC"/>
          </w:tcPr>
          <w:p>
            <w:pPr>
              <w:ind w:left="580"/>
              <w:spacing w:after="0"/>
              <w:rPr>
                <w:sz w:val="20"/>
                <w:szCs w:val="20"/>
                <w:color w:val="auto"/>
              </w:rPr>
            </w:pPr>
            <w:r>
              <w:rPr>
                <w:rFonts w:ascii="Arial" w:cs="Arial" w:eastAsia="Arial" w:hAnsi="Arial"/>
                <w:sz w:val="11"/>
                <w:szCs w:val="11"/>
                <w:b w:val="1"/>
                <w:bCs w:val="1"/>
                <w:color w:val="FFFFFF"/>
              </w:rPr>
              <w:t>YoY</w:t>
            </w:r>
          </w:p>
        </w:tc>
        <w:tc>
          <w:tcPr>
            <w:tcW w:w="0" w:type="dxa"/>
            <w:vAlign w:val="bottom"/>
          </w:tcPr>
          <w:p>
            <w:pPr>
              <w:spacing w:after="0"/>
              <w:rPr>
                <w:sz w:val="1"/>
                <w:szCs w:val="1"/>
                <w:color w:val="auto"/>
              </w:rPr>
            </w:pPr>
          </w:p>
        </w:tc>
      </w:tr>
      <w:tr>
        <w:trPr>
          <w:trHeight w:val="62"/>
        </w:trPr>
        <w:tc>
          <w:tcPr>
            <w:tcW w:w="2900" w:type="dxa"/>
            <w:vAlign w:val="bottom"/>
            <w:tcBorders>
              <w:left w:val="single" w:sz="8" w:color="auto"/>
              <w:bottom w:val="single" w:sz="8" w:color="auto"/>
              <w:right w:val="single" w:sz="8" w:color="auto"/>
            </w:tcBorders>
            <w:shd w:val="clear" w:color="auto" w:fill="33CCCC"/>
          </w:tcPr>
          <w:p>
            <w:pPr>
              <w:spacing w:after="0"/>
              <w:rPr>
                <w:sz w:val="5"/>
                <w:szCs w:val="5"/>
                <w:color w:val="auto"/>
              </w:rPr>
            </w:pPr>
          </w:p>
        </w:tc>
        <w:tc>
          <w:tcPr>
            <w:tcW w:w="820" w:type="dxa"/>
            <w:vAlign w:val="bottom"/>
            <w:tcBorders>
              <w:bottom w:val="single" w:sz="8" w:color="auto"/>
            </w:tcBorders>
            <w:vMerge w:val="continue"/>
            <w:shd w:val="clear" w:color="auto" w:fill="33CCCC"/>
          </w:tcPr>
          <w:p>
            <w:pPr>
              <w:spacing w:after="0"/>
              <w:rPr>
                <w:sz w:val="5"/>
                <w:szCs w:val="5"/>
                <w:color w:val="auto"/>
              </w:rPr>
            </w:pPr>
          </w:p>
        </w:tc>
        <w:tc>
          <w:tcPr>
            <w:tcW w:w="860" w:type="dxa"/>
            <w:vAlign w:val="bottom"/>
            <w:tcBorders>
              <w:bottom w:val="single" w:sz="8" w:color="auto"/>
            </w:tcBorders>
            <w:vMerge w:val="continue"/>
            <w:shd w:val="clear" w:color="auto" w:fill="33CCCC"/>
          </w:tcPr>
          <w:p>
            <w:pPr>
              <w:spacing w:after="0"/>
              <w:rPr>
                <w:sz w:val="5"/>
                <w:szCs w:val="5"/>
                <w:color w:val="auto"/>
              </w:rPr>
            </w:pPr>
          </w:p>
        </w:tc>
        <w:tc>
          <w:tcPr>
            <w:tcW w:w="88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820" w:type="dxa"/>
            <w:vAlign w:val="bottom"/>
            <w:tcBorders>
              <w:bottom w:val="single" w:sz="8" w:color="auto"/>
            </w:tcBorders>
            <w:vMerge w:val="continue"/>
            <w:shd w:val="clear" w:color="auto" w:fill="33CCCC"/>
          </w:tcPr>
          <w:p>
            <w:pPr>
              <w:spacing w:after="0"/>
              <w:rPr>
                <w:sz w:val="5"/>
                <w:szCs w:val="5"/>
                <w:color w:val="auto"/>
              </w:rPr>
            </w:pPr>
          </w:p>
        </w:tc>
        <w:tc>
          <w:tcPr>
            <w:tcW w:w="88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820" w:type="dxa"/>
            <w:vAlign w:val="bottom"/>
            <w:tcBorders>
              <w:bottom w:val="single" w:sz="8" w:color="auto"/>
            </w:tcBorders>
            <w:vMerge w:val="continue"/>
            <w:shd w:val="clear" w:color="auto" w:fill="33CCCC"/>
          </w:tcPr>
          <w:p>
            <w:pPr>
              <w:spacing w:after="0"/>
              <w:rPr>
                <w:sz w:val="5"/>
                <w:szCs w:val="5"/>
                <w:color w:val="auto"/>
              </w:rPr>
            </w:pPr>
          </w:p>
        </w:tc>
        <w:tc>
          <w:tcPr>
            <w:tcW w:w="88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580" w:type="dxa"/>
            <w:vAlign w:val="bottom"/>
            <w:tcBorders>
              <w:bottom w:val="single" w:sz="8" w:color="auto"/>
            </w:tcBorders>
            <w:vMerge w:val="continue"/>
            <w:shd w:val="clear" w:color="auto" w:fill="33CCCC"/>
          </w:tcPr>
          <w:p>
            <w:pPr>
              <w:spacing w:after="0"/>
              <w:rPr>
                <w:sz w:val="5"/>
                <w:szCs w:val="5"/>
                <w:color w:val="auto"/>
              </w:rPr>
            </w:pPr>
          </w:p>
        </w:tc>
        <w:tc>
          <w:tcPr>
            <w:tcW w:w="114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90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BCP Stand-alone</w:t>
            </w:r>
          </w:p>
        </w:tc>
        <w:tc>
          <w:tcPr>
            <w:tcW w:w="820" w:type="dxa"/>
            <w:vAlign w:val="bottom"/>
          </w:tcPr>
          <w:p>
            <w:pPr>
              <w:jc w:val="center"/>
              <w:spacing w:after="0" w:line="124" w:lineRule="exact"/>
              <w:rPr>
                <w:sz w:val="20"/>
                <w:szCs w:val="20"/>
                <w:color w:val="auto"/>
              </w:rPr>
            </w:pPr>
            <w:r>
              <w:rPr>
                <w:rFonts w:ascii="Arial" w:cs="Arial" w:eastAsia="Arial" w:hAnsi="Arial"/>
                <w:sz w:val="11"/>
                <w:szCs w:val="11"/>
                <w:color w:val="auto"/>
              </w:rPr>
              <w:t>117,687</w:t>
            </w:r>
          </w:p>
        </w:tc>
        <w:tc>
          <w:tcPr>
            <w:tcW w:w="860" w:type="dxa"/>
            <w:vAlign w:val="bottom"/>
          </w:tcPr>
          <w:p>
            <w:pPr>
              <w:jc w:val="center"/>
              <w:spacing w:after="0" w:line="124" w:lineRule="exact"/>
              <w:rPr>
                <w:sz w:val="20"/>
                <w:szCs w:val="20"/>
                <w:color w:val="auto"/>
              </w:rPr>
            </w:pPr>
            <w:r>
              <w:rPr>
                <w:rFonts w:ascii="Arial" w:cs="Arial" w:eastAsia="Arial" w:hAnsi="Arial"/>
                <w:sz w:val="11"/>
                <w:szCs w:val="11"/>
                <w:color w:val="auto"/>
                <w:w w:val="95"/>
              </w:rPr>
              <w:t>120,999</w:t>
            </w:r>
          </w:p>
        </w:tc>
        <w:tc>
          <w:tcPr>
            <w:tcW w:w="8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123,089</w:t>
            </w:r>
          </w:p>
        </w:tc>
        <w:tc>
          <w:tcPr>
            <w:tcW w:w="820" w:type="dxa"/>
            <w:vAlign w:val="bottom"/>
          </w:tcPr>
          <w:p>
            <w:pPr>
              <w:jc w:val="center"/>
              <w:spacing w:after="0" w:line="124" w:lineRule="exact"/>
              <w:rPr>
                <w:sz w:val="20"/>
                <w:szCs w:val="20"/>
                <w:color w:val="auto"/>
              </w:rPr>
            </w:pPr>
            <w:r>
              <w:rPr>
                <w:rFonts w:ascii="Arial" w:cs="Arial" w:eastAsia="Arial" w:hAnsi="Arial"/>
                <w:sz w:val="11"/>
                <w:szCs w:val="11"/>
                <w:color w:val="auto"/>
                <w:w w:val="95"/>
              </w:rPr>
              <w:t>1.7%</w:t>
            </w:r>
          </w:p>
        </w:tc>
        <w:tc>
          <w:tcPr>
            <w:tcW w:w="8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4.6%</w:t>
            </w:r>
          </w:p>
        </w:tc>
        <w:tc>
          <w:tcPr>
            <w:tcW w:w="820" w:type="dxa"/>
            <w:vAlign w:val="bottom"/>
          </w:tcPr>
          <w:p>
            <w:pPr>
              <w:jc w:val="center"/>
              <w:spacing w:after="0" w:line="124" w:lineRule="exact"/>
              <w:rPr>
                <w:sz w:val="20"/>
                <w:szCs w:val="20"/>
                <w:color w:val="auto"/>
              </w:rPr>
            </w:pPr>
            <w:r>
              <w:rPr>
                <w:rFonts w:ascii="Arial" w:cs="Arial" w:eastAsia="Arial" w:hAnsi="Arial"/>
                <w:sz w:val="11"/>
                <w:szCs w:val="11"/>
                <w:color w:val="auto"/>
                <w:w w:val="94"/>
              </w:rPr>
              <w:t>2,929</w:t>
            </w:r>
          </w:p>
        </w:tc>
        <w:tc>
          <w:tcPr>
            <w:tcW w:w="8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4"/>
              </w:rPr>
              <w:t>8,186</w:t>
            </w:r>
          </w:p>
        </w:tc>
        <w:tc>
          <w:tcPr>
            <w:tcW w:w="580" w:type="dxa"/>
            <w:vAlign w:val="bottom"/>
          </w:tcPr>
          <w:p>
            <w:pPr>
              <w:jc w:val="center"/>
              <w:ind w:left="186"/>
              <w:spacing w:after="0" w:line="124" w:lineRule="exact"/>
              <w:rPr>
                <w:sz w:val="20"/>
                <w:szCs w:val="20"/>
                <w:color w:val="auto"/>
              </w:rPr>
            </w:pPr>
            <w:r>
              <w:rPr>
                <w:rFonts w:ascii="Arial" w:cs="Arial" w:eastAsia="Arial" w:hAnsi="Arial"/>
                <w:sz w:val="11"/>
                <w:szCs w:val="11"/>
                <w:color w:val="auto"/>
              </w:rPr>
              <w:t>2.4%</w:t>
            </w:r>
          </w:p>
        </w:tc>
        <w:tc>
          <w:tcPr>
            <w:tcW w:w="114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w w:val="95"/>
              </w:rPr>
              <w:t>7.0%</w:t>
            </w:r>
          </w:p>
        </w:tc>
        <w:tc>
          <w:tcPr>
            <w:tcW w:w="0" w:type="dxa"/>
            <w:vAlign w:val="bottom"/>
          </w:tcPr>
          <w:p>
            <w:pPr>
              <w:spacing w:after="0"/>
              <w:rPr>
                <w:sz w:val="1"/>
                <w:szCs w:val="1"/>
                <w:color w:val="auto"/>
              </w:rPr>
            </w:pPr>
          </w:p>
        </w:tc>
      </w:tr>
      <w:tr>
        <w:trPr>
          <w:trHeight w:val="132"/>
        </w:trPr>
        <w:tc>
          <w:tcPr>
            <w:tcW w:w="2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Mibanco</w:t>
            </w:r>
          </w:p>
        </w:tc>
        <w:tc>
          <w:tcPr>
            <w:tcW w:w="820" w:type="dxa"/>
            <w:vAlign w:val="bottom"/>
          </w:tcPr>
          <w:p>
            <w:pPr>
              <w:jc w:val="center"/>
              <w:spacing w:after="0"/>
              <w:rPr>
                <w:sz w:val="20"/>
                <w:szCs w:val="20"/>
                <w:color w:val="auto"/>
              </w:rPr>
            </w:pPr>
            <w:r>
              <w:rPr>
                <w:rFonts w:ascii="Arial" w:cs="Arial" w:eastAsia="Arial" w:hAnsi="Arial"/>
                <w:sz w:val="11"/>
                <w:szCs w:val="11"/>
                <w:color w:val="auto"/>
                <w:w w:val="94"/>
              </w:rPr>
              <w:t>12,119</w:t>
            </w:r>
          </w:p>
        </w:tc>
        <w:tc>
          <w:tcPr>
            <w:tcW w:w="860" w:type="dxa"/>
            <w:vAlign w:val="bottom"/>
          </w:tcPr>
          <w:p>
            <w:pPr>
              <w:jc w:val="center"/>
              <w:spacing w:after="0"/>
              <w:rPr>
                <w:sz w:val="20"/>
                <w:szCs w:val="20"/>
                <w:color w:val="auto"/>
              </w:rPr>
            </w:pPr>
            <w:r>
              <w:rPr>
                <w:rFonts w:ascii="Arial" w:cs="Arial" w:eastAsia="Arial" w:hAnsi="Arial"/>
                <w:sz w:val="11"/>
                <w:szCs w:val="11"/>
                <w:color w:val="auto"/>
              </w:rPr>
              <w:t>12,785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13,096</w:t>
            </w:r>
          </w:p>
        </w:tc>
        <w:tc>
          <w:tcPr>
            <w:tcW w:w="820" w:type="dxa"/>
            <w:vAlign w:val="bottom"/>
          </w:tcPr>
          <w:p>
            <w:pPr>
              <w:jc w:val="center"/>
              <w:spacing w:after="0"/>
              <w:rPr>
                <w:sz w:val="20"/>
                <w:szCs w:val="20"/>
                <w:color w:val="auto"/>
              </w:rPr>
            </w:pPr>
            <w:r>
              <w:rPr>
                <w:rFonts w:ascii="Arial" w:cs="Arial" w:eastAsia="Arial" w:hAnsi="Arial"/>
                <w:sz w:val="11"/>
                <w:szCs w:val="11"/>
                <w:color w:val="auto"/>
                <w:w w:val="95"/>
              </w:rPr>
              <w:t>2.4%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8.1%</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311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977</w:t>
            </w:r>
          </w:p>
        </w:tc>
        <w:tc>
          <w:tcPr>
            <w:tcW w:w="580" w:type="dxa"/>
            <w:vAlign w:val="bottom"/>
          </w:tcPr>
          <w:p>
            <w:pPr>
              <w:jc w:val="center"/>
              <w:ind w:left="186"/>
              <w:spacing w:after="0"/>
              <w:rPr>
                <w:sz w:val="20"/>
                <w:szCs w:val="20"/>
                <w:color w:val="auto"/>
              </w:rPr>
            </w:pPr>
            <w:r>
              <w:rPr>
                <w:rFonts w:ascii="Arial" w:cs="Arial" w:eastAsia="Arial" w:hAnsi="Arial"/>
                <w:sz w:val="11"/>
                <w:szCs w:val="11"/>
                <w:color w:val="auto"/>
              </w:rPr>
              <w:t>2.4%</w:t>
            </w:r>
          </w:p>
        </w:tc>
        <w:tc>
          <w:tcPr>
            <w:tcW w:w="11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8.1%</w:t>
            </w:r>
          </w:p>
        </w:tc>
        <w:tc>
          <w:tcPr>
            <w:tcW w:w="0" w:type="dxa"/>
            <w:vAlign w:val="bottom"/>
          </w:tcPr>
          <w:p>
            <w:pPr>
              <w:spacing w:after="0"/>
              <w:rPr>
                <w:sz w:val="1"/>
                <w:szCs w:val="1"/>
                <w:color w:val="auto"/>
              </w:rPr>
            </w:pPr>
          </w:p>
        </w:tc>
      </w:tr>
      <w:tr>
        <w:trPr>
          <w:trHeight w:val="132"/>
        </w:trPr>
        <w:tc>
          <w:tcPr>
            <w:tcW w:w="2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Mibanco Colombia</w:t>
            </w:r>
          </w:p>
        </w:tc>
        <w:tc>
          <w:tcPr>
            <w:tcW w:w="820" w:type="dxa"/>
            <w:vAlign w:val="bottom"/>
          </w:tcPr>
          <w:p>
            <w:pPr>
              <w:jc w:val="center"/>
              <w:spacing w:after="0"/>
              <w:rPr>
                <w:sz w:val="20"/>
                <w:szCs w:val="20"/>
                <w:color w:val="auto"/>
              </w:rPr>
            </w:pPr>
            <w:r>
              <w:rPr>
                <w:rFonts w:ascii="Arial" w:cs="Arial" w:eastAsia="Arial" w:hAnsi="Arial"/>
                <w:sz w:val="11"/>
                <w:szCs w:val="11"/>
                <w:color w:val="auto"/>
              </w:rPr>
              <w:t>1,774</w:t>
            </w:r>
          </w:p>
        </w:tc>
        <w:tc>
          <w:tcPr>
            <w:tcW w:w="860" w:type="dxa"/>
            <w:vAlign w:val="bottom"/>
          </w:tcPr>
          <w:p>
            <w:pPr>
              <w:jc w:val="center"/>
              <w:spacing w:after="0"/>
              <w:rPr>
                <w:sz w:val="20"/>
                <w:szCs w:val="20"/>
                <w:color w:val="auto"/>
              </w:rPr>
            </w:pPr>
            <w:r>
              <w:rPr>
                <w:rFonts w:ascii="Arial" w:cs="Arial" w:eastAsia="Arial" w:hAnsi="Arial"/>
                <w:sz w:val="11"/>
                <w:szCs w:val="11"/>
                <w:color w:val="auto"/>
                <w:w w:val="94"/>
              </w:rPr>
              <w:t>1,976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2,158</w:t>
            </w:r>
          </w:p>
        </w:tc>
        <w:tc>
          <w:tcPr>
            <w:tcW w:w="820" w:type="dxa"/>
            <w:vAlign w:val="bottom"/>
          </w:tcPr>
          <w:p>
            <w:pPr>
              <w:jc w:val="center"/>
              <w:spacing w:after="0"/>
              <w:rPr>
                <w:sz w:val="20"/>
                <w:szCs w:val="20"/>
                <w:color w:val="auto"/>
              </w:rPr>
            </w:pPr>
            <w:r>
              <w:rPr>
                <w:rFonts w:ascii="Arial" w:cs="Arial" w:eastAsia="Arial" w:hAnsi="Arial"/>
                <w:sz w:val="11"/>
                <w:szCs w:val="11"/>
                <w:color w:val="auto"/>
                <w:w w:val="95"/>
              </w:rPr>
              <w:t>9.2%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21.7%</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227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533</w:t>
            </w:r>
          </w:p>
        </w:tc>
        <w:tc>
          <w:tcPr>
            <w:tcW w:w="580" w:type="dxa"/>
            <w:vAlign w:val="bottom"/>
          </w:tcPr>
          <w:p>
            <w:pPr>
              <w:jc w:val="center"/>
              <w:ind w:left="186"/>
              <w:spacing w:after="0"/>
              <w:rPr>
                <w:sz w:val="20"/>
                <w:szCs w:val="20"/>
                <w:color w:val="auto"/>
              </w:rPr>
            </w:pPr>
            <w:r>
              <w:rPr>
                <w:rFonts w:ascii="Arial" w:cs="Arial" w:eastAsia="Arial" w:hAnsi="Arial"/>
                <w:sz w:val="11"/>
                <w:szCs w:val="11"/>
                <w:color w:val="auto"/>
                <w:w w:val="96"/>
              </w:rPr>
              <w:t>11.5%</w:t>
            </w:r>
          </w:p>
        </w:tc>
        <w:tc>
          <w:tcPr>
            <w:tcW w:w="11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rPr>
              <w:t>30.1%</w:t>
            </w:r>
          </w:p>
        </w:tc>
        <w:tc>
          <w:tcPr>
            <w:tcW w:w="0" w:type="dxa"/>
            <w:vAlign w:val="bottom"/>
          </w:tcPr>
          <w:p>
            <w:pPr>
              <w:spacing w:after="0"/>
              <w:rPr>
                <w:sz w:val="1"/>
                <w:szCs w:val="1"/>
                <w:color w:val="auto"/>
              </w:rPr>
            </w:pPr>
          </w:p>
        </w:tc>
      </w:tr>
      <w:tr>
        <w:trPr>
          <w:trHeight w:val="132"/>
        </w:trPr>
        <w:tc>
          <w:tcPr>
            <w:tcW w:w="2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BCP Bolivia</w:t>
            </w:r>
          </w:p>
        </w:tc>
        <w:tc>
          <w:tcPr>
            <w:tcW w:w="820" w:type="dxa"/>
            <w:vAlign w:val="bottom"/>
          </w:tcPr>
          <w:p>
            <w:pPr>
              <w:jc w:val="center"/>
              <w:spacing w:after="0"/>
              <w:rPr>
                <w:sz w:val="20"/>
                <w:szCs w:val="20"/>
                <w:color w:val="auto"/>
              </w:rPr>
            </w:pPr>
            <w:r>
              <w:rPr>
                <w:rFonts w:ascii="Arial" w:cs="Arial" w:eastAsia="Arial" w:hAnsi="Arial"/>
                <w:sz w:val="11"/>
                <w:szCs w:val="11"/>
                <w:color w:val="auto"/>
              </w:rPr>
              <w:t>9,830</w:t>
            </w:r>
          </w:p>
        </w:tc>
        <w:tc>
          <w:tcPr>
            <w:tcW w:w="860" w:type="dxa"/>
            <w:vAlign w:val="bottom"/>
          </w:tcPr>
          <w:p>
            <w:pPr>
              <w:jc w:val="center"/>
              <w:spacing w:after="0"/>
              <w:rPr>
                <w:sz w:val="20"/>
                <w:szCs w:val="20"/>
                <w:color w:val="auto"/>
              </w:rPr>
            </w:pPr>
            <w:r>
              <w:rPr>
                <w:rFonts w:ascii="Arial" w:cs="Arial" w:eastAsia="Arial" w:hAnsi="Arial"/>
                <w:sz w:val="11"/>
                <w:szCs w:val="11"/>
                <w:color w:val="auto"/>
                <w:w w:val="94"/>
              </w:rPr>
              <w:t>4,189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5,505</w:t>
            </w:r>
          </w:p>
        </w:tc>
        <w:tc>
          <w:tcPr>
            <w:tcW w:w="820" w:type="dxa"/>
            <w:vAlign w:val="bottom"/>
          </w:tcPr>
          <w:p>
            <w:pPr>
              <w:jc w:val="center"/>
              <w:spacing w:after="0"/>
              <w:rPr>
                <w:sz w:val="20"/>
                <w:szCs w:val="20"/>
                <w:color w:val="auto"/>
              </w:rPr>
            </w:pPr>
            <w:r>
              <w:rPr>
                <w:rFonts w:ascii="Arial" w:cs="Arial" w:eastAsia="Arial" w:hAnsi="Arial"/>
                <w:sz w:val="11"/>
                <w:szCs w:val="11"/>
                <w:color w:val="auto"/>
              </w:rPr>
              <w:t>31.4%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-44.0%</w:t>
            </w: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n.a.</w:t>
            </w:r>
          </w:p>
        </w:tc>
        <w:tc>
          <w:tcPr>
            <w:tcW w:w="8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n.a.</w:t>
            </w:r>
          </w:p>
        </w:tc>
        <w:tc>
          <w:tcPr>
            <w:tcW w:w="580" w:type="dxa"/>
            <w:vAlign w:val="bottom"/>
          </w:tcPr>
          <w:p>
            <w:pPr>
              <w:jc w:val="center"/>
              <w:ind w:left="186"/>
              <w:spacing w:after="0"/>
              <w:rPr>
                <w:sz w:val="20"/>
                <w:szCs w:val="20"/>
                <w:color w:val="auto"/>
              </w:rPr>
            </w:pPr>
            <w:r>
              <w:rPr>
                <w:rFonts w:ascii="Arial" w:cs="Arial" w:eastAsia="Arial" w:hAnsi="Arial"/>
                <w:sz w:val="11"/>
                <w:szCs w:val="11"/>
                <w:color w:val="auto"/>
                <w:w w:val="97"/>
              </w:rPr>
              <w:t>n.a.</w:t>
            </w:r>
          </w:p>
        </w:tc>
        <w:tc>
          <w:tcPr>
            <w:tcW w:w="1140" w:type="dxa"/>
            <w:vAlign w:val="bottom"/>
            <w:tcBorders>
              <w:right w:val="single" w:sz="8" w:color="auto"/>
            </w:tcBorders>
          </w:tcPr>
          <w:p>
            <w:pPr>
              <w:ind w:left="600"/>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21"/>
        </w:trPr>
        <w:tc>
          <w:tcPr>
            <w:tcW w:w="2900" w:type="dxa"/>
            <w:vAlign w:val="bottom"/>
            <w:tcBorders>
              <w:left w:val="single" w:sz="8" w:color="auto"/>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ASB Bank Corp.</w:t>
            </w:r>
          </w:p>
        </w:tc>
        <w:tc>
          <w:tcPr>
            <w:tcW w:w="820" w:type="dxa"/>
            <w:vAlign w:val="bottom"/>
          </w:tcPr>
          <w:p>
            <w:pPr>
              <w:jc w:val="center"/>
              <w:spacing w:after="0" w:line="121" w:lineRule="exact"/>
              <w:rPr>
                <w:sz w:val="20"/>
                <w:szCs w:val="20"/>
                <w:color w:val="auto"/>
              </w:rPr>
            </w:pPr>
            <w:r>
              <w:rPr>
                <w:rFonts w:ascii="Arial" w:cs="Arial" w:eastAsia="Arial" w:hAnsi="Arial"/>
                <w:sz w:val="11"/>
                <w:szCs w:val="11"/>
                <w:color w:val="auto"/>
              </w:rPr>
              <w:t>1,928</w:t>
            </w:r>
          </w:p>
        </w:tc>
        <w:tc>
          <w:tcPr>
            <w:tcW w:w="860" w:type="dxa"/>
            <w:vAlign w:val="bottom"/>
          </w:tcPr>
          <w:p>
            <w:pPr>
              <w:jc w:val="center"/>
              <w:spacing w:after="0" w:line="121" w:lineRule="exact"/>
              <w:rPr>
                <w:sz w:val="20"/>
                <w:szCs w:val="20"/>
                <w:color w:val="auto"/>
              </w:rPr>
            </w:pPr>
            <w:r>
              <w:rPr>
                <w:rFonts w:ascii="Arial" w:cs="Arial" w:eastAsia="Arial" w:hAnsi="Arial"/>
                <w:sz w:val="11"/>
                <w:szCs w:val="11"/>
                <w:color w:val="auto"/>
                <w:w w:val="94"/>
              </w:rPr>
              <w:t>1,559</w:t>
            </w:r>
          </w:p>
        </w:tc>
        <w:tc>
          <w:tcPr>
            <w:tcW w:w="8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rPr>
              <w:t>1,422</w:t>
            </w:r>
          </w:p>
        </w:tc>
        <w:tc>
          <w:tcPr>
            <w:tcW w:w="820" w:type="dxa"/>
            <w:vAlign w:val="bottom"/>
          </w:tcPr>
          <w:p>
            <w:pPr>
              <w:jc w:val="center"/>
              <w:spacing w:after="0" w:line="121" w:lineRule="exact"/>
              <w:rPr>
                <w:sz w:val="20"/>
                <w:szCs w:val="20"/>
                <w:color w:val="auto"/>
              </w:rPr>
            </w:pPr>
            <w:r>
              <w:rPr>
                <w:rFonts w:ascii="Arial" w:cs="Arial" w:eastAsia="Arial" w:hAnsi="Arial"/>
                <w:sz w:val="11"/>
                <w:szCs w:val="11"/>
                <w:color w:val="auto"/>
                <w:w w:val="97"/>
              </w:rPr>
              <w:t>-8.8%</w:t>
            </w:r>
          </w:p>
        </w:tc>
        <w:tc>
          <w:tcPr>
            <w:tcW w:w="8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7"/>
              </w:rPr>
              <w:t>-26.3%</w:t>
            </w:r>
          </w:p>
        </w:tc>
        <w:tc>
          <w:tcPr>
            <w:tcW w:w="820" w:type="dxa"/>
            <w:vAlign w:val="bottom"/>
          </w:tcPr>
          <w:p>
            <w:pPr>
              <w:jc w:val="center"/>
              <w:spacing w:after="0" w:line="121" w:lineRule="exact"/>
              <w:rPr>
                <w:sz w:val="20"/>
                <w:szCs w:val="20"/>
                <w:color w:val="auto"/>
              </w:rPr>
            </w:pPr>
            <w:r>
              <w:rPr>
                <w:rFonts w:ascii="Arial" w:cs="Arial" w:eastAsia="Arial" w:hAnsi="Arial"/>
                <w:sz w:val="11"/>
                <w:szCs w:val="11"/>
                <w:color w:val="auto"/>
                <w:w w:val="99"/>
              </w:rPr>
              <w:t>-108</w:t>
            </w:r>
          </w:p>
        </w:tc>
        <w:tc>
          <w:tcPr>
            <w:tcW w:w="8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9"/>
              </w:rPr>
              <w:t>-408</w:t>
            </w:r>
          </w:p>
        </w:tc>
        <w:tc>
          <w:tcPr>
            <w:tcW w:w="580" w:type="dxa"/>
            <w:vAlign w:val="bottom"/>
          </w:tcPr>
          <w:p>
            <w:pPr>
              <w:jc w:val="center"/>
              <w:ind w:left="166"/>
              <w:spacing w:after="0" w:line="121" w:lineRule="exact"/>
              <w:rPr>
                <w:sz w:val="20"/>
                <w:szCs w:val="20"/>
                <w:color w:val="auto"/>
              </w:rPr>
            </w:pPr>
            <w:r>
              <w:rPr>
                <w:rFonts w:ascii="Arial" w:cs="Arial" w:eastAsia="Arial" w:hAnsi="Arial"/>
                <w:sz w:val="11"/>
                <w:szCs w:val="11"/>
                <w:color w:val="auto"/>
                <w:w w:val="97"/>
              </w:rPr>
              <w:t>-6.9%</w:t>
            </w:r>
          </w:p>
        </w:tc>
        <w:tc>
          <w:tcPr>
            <w:tcW w:w="1140" w:type="dxa"/>
            <w:vAlign w:val="bottom"/>
            <w:tcBorders>
              <w:right w:val="single" w:sz="8" w:color="auto"/>
            </w:tcBorders>
          </w:tcPr>
          <w:p>
            <w:pPr>
              <w:jc w:val="center"/>
              <w:ind w:left="186"/>
              <w:spacing w:after="0" w:line="121" w:lineRule="exact"/>
              <w:rPr>
                <w:sz w:val="20"/>
                <w:szCs w:val="20"/>
                <w:color w:val="auto"/>
              </w:rPr>
            </w:pPr>
            <w:r>
              <w:rPr>
                <w:rFonts w:ascii="Arial" w:cs="Arial" w:eastAsia="Arial" w:hAnsi="Arial"/>
                <w:sz w:val="11"/>
                <w:szCs w:val="11"/>
                <w:color w:val="auto"/>
                <w:w w:val="97"/>
              </w:rPr>
              <w:t>-21.2%</w:t>
            </w:r>
          </w:p>
        </w:tc>
        <w:tc>
          <w:tcPr>
            <w:tcW w:w="0" w:type="dxa"/>
            <w:vAlign w:val="bottom"/>
          </w:tcPr>
          <w:p>
            <w:pPr>
              <w:spacing w:after="0"/>
              <w:rPr>
                <w:sz w:val="1"/>
                <w:szCs w:val="1"/>
                <w:color w:val="auto"/>
              </w:rPr>
            </w:pPr>
          </w:p>
        </w:tc>
      </w:tr>
      <w:tr>
        <w:trPr>
          <w:trHeight w:val="143"/>
        </w:trPr>
        <w:tc>
          <w:tcPr>
            <w:tcW w:w="2900" w:type="dxa"/>
            <w:vAlign w:val="bottom"/>
            <w:tcBorders>
              <w:left w:val="single" w:sz="8" w:color="auto"/>
              <w:bottom w:val="single" w:sz="8" w:color="auto"/>
              <w:right w:val="single" w:sz="8" w:color="auto"/>
            </w:tcBorders>
          </w:tcPr>
          <w:p>
            <w:pPr>
              <w:ind w:left="20"/>
              <w:spacing w:after="0" w:line="143" w:lineRule="exact"/>
              <w:rPr>
                <w:sz w:val="20"/>
                <w:szCs w:val="20"/>
                <w:color w:val="auto"/>
              </w:rPr>
            </w:pPr>
            <w:r>
              <w:rPr>
                <w:rFonts w:ascii="Arial" w:cs="Arial" w:eastAsia="Arial" w:hAnsi="Arial"/>
                <w:sz w:val="9"/>
                <w:szCs w:val="9"/>
                <w:color w:val="auto"/>
              </w:rPr>
              <w:t xml:space="preserve">Others </w:t>
            </w:r>
            <w:r>
              <w:rPr>
                <w:rFonts w:ascii="Arial" w:cs="Arial" w:eastAsia="Arial" w:hAnsi="Arial"/>
                <w:sz w:val="16"/>
                <w:szCs w:val="16"/>
                <w:color w:val="auto"/>
                <w:vertAlign w:val="superscript"/>
              </w:rPr>
              <w:t>(1)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9"/>
              </w:rPr>
              <w:t>-768</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9"/>
              </w:rPr>
              <w:t>-546</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9"/>
              </w:rPr>
              <w:t>-519</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-5.1%</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-32.5%</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28</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251</w:t>
            </w:r>
          </w:p>
        </w:tc>
        <w:tc>
          <w:tcPr>
            <w:tcW w:w="580" w:type="dxa"/>
            <w:vAlign w:val="bottom"/>
            <w:tcBorders>
              <w:bottom w:val="single" w:sz="8" w:color="auto"/>
            </w:tcBorders>
          </w:tcPr>
          <w:p>
            <w:pPr>
              <w:jc w:val="center"/>
              <w:ind w:left="166"/>
              <w:spacing w:after="0"/>
              <w:rPr>
                <w:sz w:val="20"/>
                <w:szCs w:val="20"/>
                <w:color w:val="auto"/>
              </w:rPr>
            </w:pPr>
            <w:r>
              <w:rPr>
                <w:rFonts w:ascii="Arial" w:cs="Arial" w:eastAsia="Arial" w:hAnsi="Arial"/>
                <w:sz w:val="11"/>
                <w:szCs w:val="11"/>
                <w:color w:val="auto"/>
                <w:w w:val="97"/>
              </w:rPr>
              <w:t>-5.2%</w:t>
            </w:r>
          </w:p>
        </w:tc>
        <w:tc>
          <w:tcPr>
            <w:tcW w:w="1140" w:type="dxa"/>
            <w:vAlign w:val="bottom"/>
            <w:tcBorders>
              <w:bottom w:val="single" w:sz="8" w:color="auto"/>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-32.6%</w:t>
            </w:r>
          </w:p>
        </w:tc>
        <w:tc>
          <w:tcPr>
            <w:tcW w:w="0" w:type="dxa"/>
            <w:vAlign w:val="bottom"/>
          </w:tcPr>
          <w:p>
            <w:pPr>
              <w:spacing w:after="0"/>
              <w:rPr>
                <w:sz w:val="1"/>
                <w:szCs w:val="1"/>
                <w:color w:val="auto"/>
              </w:rPr>
            </w:pPr>
          </w:p>
        </w:tc>
      </w:tr>
      <w:tr>
        <w:trPr>
          <w:trHeight w:val="124"/>
        </w:trPr>
        <w:tc>
          <w:tcPr>
            <w:tcW w:w="290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Total Loans BAP</w:t>
            </w:r>
          </w:p>
        </w:tc>
        <w:tc>
          <w:tcPr>
            <w:tcW w:w="8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142,569</w:t>
            </w:r>
          </w:p>
        </w:tc>
        <w:tc>
          <w:tcPr>
            <w:tcW w:w="8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5"/>
              </w:rPr>
              <w:t>140,962</w:t>
            </w:r>
          </w:p>
        </w:tc>
        <w:tc>
          <w:tcPr>
            <w:tcW w:w="8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144,752</w:t>
            </w:r>
          </w:p>
        </w:tc>
        <w:tc>
          <w:tcPr>
            <w:tcW w:w="8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5"/>
              </w:rPr>
              <w:t>2.7%</w:t>
            </w:r>
          </w:p>
        </w:tc>
        <w:tc>
          <w:tcPr>
            <w:tcW w:w="8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5"/>
              </w:rPr>
              <w:t>1.5%</w:t>
            </w:r>
          </w:p>
        </w:tc>
        <w:tc>
          <w:tcPr>
            <w:tcW w:w="8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4"/>
              </w:rPr>
              <w:t>n.a.</w:t>
            </w:r>
          </w:p>
        </w:tc>
        <w:tc>
          <w:tcPr>
            <w:tcW w:w="880" w:type="dxa"/>
            <w:vAlign w:val="bottom"/>
            <w:tcBorders>
              <w:bottom w:val="single" w:sz="8" w:color="auto"/>
              <w:right w:val="single" w:sz="8" w:color="auto"/>
            </w:tcBorders>
          </w:tcPr>
          <w:p>
            <w:pPr>
              <w:ind w:left="340"/>
              <w:spacing w:after="0" w:line="124" w:lineRule="exact"/>
              <w:rPr>
                <w:sz w:val="20"/>
                <w:szCs w:val="20"/>
                <w:color w:val="auto"/>
              </w:rPr>
            </w:pPr>
            <w:r>
              <w:rPr>
                <w:rFonts w:ascii="Arial" w:cs="Arial" w:eastAsia="Arial" w:hAnsi="Arial"/>
                <w:sz w:val="11"/>
                <w:szCs w:val="11"/>
                <w:b w:val="1"/>
                <w:bCs w:val="1"/>
                <w:color w:val="auto"/>
              </w:rPr>
              <w:t>n.a.</w:t>
            </w:r>
          </w:p>
        </w:tc>
        <w:tc>
          <w:tcPr>
            <w:tcW w:w="580" w:type="dxa"/>
            <w:vAlign w:val="bottom"/>
            <w:tcBorders>
              <w:bottom w:val="single" w:sz="8" w:color="auto"/>
            </w:tcBorders>
          </w:tcPr>
          <w:p>
            <w:pPr>
              <w:jc w:val="center"/>
              <w:ind w:left="186"/>
              <w:spacing w:after="0" w:line="124" w:lineRule="exact"/>
              <w:rPr>
                <w:sz w:val="20"/>
                <w:szCs w:val="20"/>
                <w:color w:val="auto"/>
              </w:rPr>
            </w:pPr>
            <w:r>
              <w:rPr>
                <w:rFonts w:ascii="Arial" w:cs="Arial" w:eastAsia="Arial" w:hAnsi="Arial"/>
                <w:sz w:val="11"/>
                <w:szCs w:val="11"/>
                <w:b w:val="1"/>
                <w:bCs w:val="1"/>
                <w:color w:val="auto"/>
                <w:w w:val="94"/>
              </w:rPr>
              <w:t>n.a.</w:t>
            </w:r>
          </w:p>
        </w:tc>
        <w:tc>
          <w:tcPr>
            <w:tcW w:w="1140" w:type="dxa"/>
            <w:vAlign w:val="bottom"/>
            <w:tcBorders>
              <w:bottom w:val="single" w:sz="8" w:color="auto"/>
              <w:right w:val="single" w:sz="8" w:color="auto"/>
            </w:tcBorders>
          </w:tcPr>
          <w:p>
            <w:pPr>
              <w:ind w:left="600"/>
              <w:spacing w:after="0" w:line="124" w:lineRule="exact"/>
              <w:rPr>
                <w:sz w:val="20"/>
                <w:szCs w:val="20"/>
                <w:color w:val="auto"/>
              </w:rPr>
            </w:pPr>
            <w:r>
              <w:rPr>
                <w:rFonts w:ascii="Arial" w:cs="Arial" w:eastAsia="Arial" w:hAnsi="Arial"/>
                <w:sz w:val="11"/>
                <w:szCs w:val="11"/>
                <w:b w:val="1"/>
                <w:bCs w:val="1"/>
                <w:color w:val="auto"/>
              </w:rPr>
              <w:t>n.a.</w:t>
            </w:r>
          </w:p>
        </w:tc>
        <w:tc>
          <w:tcPr>
            <w:tcW w:w="0" w:type="dxa"/>
            <w:vAlign w:val="bottom"/>
          </w:tcPr>
          <w:p>
            <w:pPr>
              <w:spacing w:after="0"/>
              <w:rPr>
                <w:sz w:val="1"/>
                <w:szCs w:val="1"/>
                <w:color w:val="auto"/>
              </w:rPr>
            </w:pPr>
          </w:p>
        </w:tc>
      </w:tr>
      <w:tr>
        <w:trPr>
          <w:trHeight w:val="124"/>
        </w:trPr>
        <w:tc>
          <w:tcPr>
            <w:tcW w:w="290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BCP Bolivia (Adjusted for Asset Revaluation)</w:t>
            </w:r>
          </w:p>
        </w:tc>
        <w:tc>
          <w:tcPr>
            <w:tcW w:w="820" w:type="dxa"/>
            <w:vAlign w:val="bottom"/>
          </w:tcPr>
          <w:p>
            <w:pPr>
              <w:jc w:val="center"/>
              <w:spacing w:after="0" w:line="124" w:lineRule="exact"/>
              <w:rPr>
                <w:sz w:val="20"/>
                <w:szCs w:val="20"/>
                <w:color w:val="auto"/>
              </w:rPr>
            </w:pPr>
            <w:r>
              <w:rPr>
                <w:rFonts w:ascii="Arial" w:cs="Arial" w:eastAsia="Arial" w:hAnsi="Arial"/>
                <w:sz w:val="11"/>
                <w:szCs w:val="11"/>
                <w:color w:val="auto"/>
              </w:rPr>
              <w:t>9,830</w:t>
            </w:r>
          </w:p>
        </w:tc>
        <w:tc>
          <w:tcPr>
            <w:tcW w:w="860" w:type="dxa"/>
            <w:vAlign w:val="bottom"/>
          </w:tcPr>
          <w:p>
            <w:pPr>
              <w:jc w:val="center"/>
              <w:spacing w:after="0" w:line="124" w:lineRule="exact"/>
              <w:rPr>
                <w:sz w:val="20"/>
                <w:szCs w:val="20"/>
                <w:color w:val="auto"/>
              </w:rPr>
            </w:pPr>
            <w:r>
              <w:rPr>
                <w:rFonts w:ascii="Arial" w:cs="Arial" w:eastAsia="Arial" w:hAnsi="Arial"/>
                <w:sz w:val="11"/>
                <w:szCs w:val="11"/>
                <w:color w:val="auto"/>
                <w:w w:val="94"/>
              </w:rPr>
              <w:t>9,684</w:t>
            </w:r>
          </w:p>
        </w:tc>
        <w:tc>
          <w:tcPr>
            <w:tcW w:w="8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9,554</w:t>
            </w:r>
          </w:p>
        </w:tc>
        <w:tc>
          <w:tcPr>
            <w:tcW w:w="820" w:type="dxa"/>
            <w:vAlign w:val="bottom"/>
          </w:tcPr>
          <w:p>
            <w:pPr>
              <w:jc w:val="center"/>
              <w:spacing w:after="0" w:line="124" w:lineRule="exact"/>
              <w:rPr>
                <w:sz w:val="20"/>
                <w:szCs w:val="20"/>
                <w:color w:val="auto"/>
              </w:rPr>
            </w:pPr>
            <w:r>
              <w:rPr>
                <w:rFonts w:ascii="Arial" w:cs="Arial" w:eastAsia="Arial" w:hAnsi="Arial"/>
                <w:sz w:val="11"/>
                <w:szCs w:val="11"/>
                <w:color w:val="auto"/>
                <w:w w:val="97"/>
              </w:rPr>
              <w:t>-1.3%</w:t>
            </w:r>
          </w:p>
        </w:tc>
        <w:tc>
          <w:tcPr>
            <w:tcW w:w="8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-2.8%</w:t>
            </w:r>
          </w:p>
        </w:tc>
        <w:tc>
          <w:tcPr>
            <w:tcW w:w="820" w:type="dxa"/>
            <w:vAlign w:val="bottom"/>
          </w:tcPr>
          <w:p>
            <w:pPr>
              <w:jc w:val="center"/>
              <w:spacing w:after="0" w:line="124" w:lineRule="exact"/>
              <w:rPr>
                <w:sz w:val="20"/>
                <w:szCs w:val="20"/>
                <w:color w:val="auto"/>
              </w:rPr>
            </w:pPr>
            <w:r>
              <w:rPr>
                <w:rFonts w:ascii="Arial" w:cs="Arial" w:eastAsia="Arial" w:hAnsi="Arial"/>
                <w:sz w:val="11"/>
                <w:szCs w:val="11"/>
                <w:color w:val="auto"/>
                <w:w w:val="97"/>
              </w:rPr>
              <w:t>68</w:t>
            </w:r>
          </w:p>
        </w:tc>
        <w:tc>
          <w:tcPr>
            <w:tcW w:w="8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382</w:t>
            </w:r>
          </w:p>
        </w:tc>
        <w:tc>
          <w:tcPr>
            <w:tcW w:w="580" w:type="dxa"/>
            <w:vAlign w:val="bottom"/>
          </w:tcPr>
          <w:p>
            <w:pPr>
              <w:jc w:val="center"/>
              <w:ind w:left="186"/>
              <w:spacing w:after="0" w:line="124" w:lineRule="exact"/>
              <w:rPr>
                <w:sz w:val="20"/>
                <w:szCs w:val="20"/>
                <w:color w:val="auto"/>
              </w:rPr>
            </w:pPr>
            <w:r>
              <w:rPr>
                <w:rFonts w:ascii="Arial" w:cs="Arial" w:eastAsia="Arial" w:hAnsi="Arial"/>
                <w:sz w:val="11"/>
                <w:szCs w:val="11"/>
                <w:color w:val="auto"/>
              </w:rPr>
              <w:t>0.7%</w:t>
            </w:r>
          </w:p>
        </w:tc>
        <w:tc>
          <w:tcPr>
            <w:tcW w:w="114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w w:val="95"/>
              </w:rPr>
              <w:t>3.9%</w:t>
            </w:r>
          </w:p>
        </w:tc>
        <w:tc>
          <w:tcPr>
            <w:tcW w:w="0" w:type="dxa"/>
            <w:vAlign w:val="bottom"/>
          </w:tcPr>
          <w:p>
            <w:pPr>
              <w:spacing w:after="0"/>
              <w:rPr>
                <w:sz w:val="1"/>
                <w:szCs w:val="1"/>
                <w:color w:val="auto"/>
              </w:rPr>
            </w:pPr>
          </w:p>
        </w:tc>
      </w:tr>
      <w:tr>
        <w:trPr>
          <w:trHeight w:val="132"/>
        </w:trPr>
        <w:tc>
          <w:tcPr>
            <w:tcW w:w="2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Loans BAP (Adjusted for Asset Revaluation)</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142,569</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146,457</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148,801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1.6%</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4.4%</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3,455</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9,921</w:t>
            </w:r>
          </w:p>
        </w:tc>
        <w:tc>
          <w:tcPr>
            <w:tcW w:w="58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b w:val="1"/>
                <w:bCs w:val="1"/>
                <w:color w:val="auto"/>
              </w:rPr>
              <w:t>2.4%</w:t>
            </w:r>
          </w:p>
        </w:tc>
        <w:tc>
          <w:tcPr>
            <w:tcW w:w="1140" w:type="dxa"/>
            <w:vAlign w:val="bottom"/>
            <w:tcBorders>
              <w:bottom w:val="single" w:sz="8" w:color="auto"/>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5"/>
              </w:rPr>
              <w:t>7.0%</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For consolidation purposes, loans generated in Foreign Currency (FC) are converted into Local Currency (LC).</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(1) Includes eliminations for intercompany transactions.</w:t>
      </w:r>
    </w:p>
    <w:p>
      <w:pPr>
        <w:spacing w:after="0" w:line="150"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b w:val="1"/>
          <w:bCs w:val="1"/>
          <w:color w:val="auto"/>
        </w:rPr>
        <w:t xml:space="preserve">QoQ, </w:t>
      </w:r>
      <w:r>
        <w:rPr>
          <w:rFonts w:ascii="Arial" w:cs="Arial" w:eastAsia="Arial" w:hAnsi="Arial"/>
          <w:sz w:val="16"/>
          <w:szCs w:val="16"/>
          <w:color w:val="auto"/>
        </w:rPr>
        <w:t>the FX neutral evolution of loans was mainly driven by</w:t>
      </w:r>
      <w:r>
        <w:rPr>
          <w:rFonts w:ascii="Arial" w:cs="Arial" w:eastAsia="Arial" w:hAnsi="Arial"/>
          <w:sz w:val="16"/>
          <w:szCs w:val="16"/>
          <w:b w:val="1"/>
          <w:bCs w:val="1"/>
          <w:color w:val="auto"/>
        </w:rPr>
        <w:t xml:space="preserve"> BCP Stand -alone (+2.4%), </w:t>
      </w:r>
      <w:r>
        <w:rPr>
          <w:rFonts w:ascii="Arial" w:cs="Arial" w:eastAsia="Arial" w:hAnsi="Arial"/>
          <w:sz w:val="16"/>
          <w:szCs w:val="16"/>
          <w:color w:val="auto"/>
        </w:rPr>
        <w:t>followed by</w:t>
      </w:r>
      <w:r>
        <w:rPr>
          <w:rFonts w:ascii="Arial" w:cs="Arial" w:eastAsia="Arial" w:hAnsi="Arial"/>
          <w:sz w:val="16"/>
          <w:szCs w:val="16"/>
          <w:b w:val="1"/>
          <w:bCs w:val="1"/>
          <w:color w:val="auto"/>
        </w:rPr>
        <w:t xml:space="preserve"> Mibanco (+2.4%). </w:t>
      </w:r>
      <w:r>
        <w:rPr>
          <w:rFonts w:ascii="Arial" w:cs="Arial" w:eastAsia="Arial" w:hAnsi="Arial"/>
          <w:sz w:val="16"/>
          <w:szCs w:val="16"/>
          <w:color w:val="auto"/>
        </w:rPr>
        <w:t>At</w:t>
      </w:r>
      <w:r>
        <w:rPr>
          <w:rFonts w:ascii="Arial" w:cs="Arial" w:eastAsia="Arial" w:hAnsi="Arial"/>
          <w:sz w:val="16"/>
          <w:szCs w:val="16"/>
          <w:b w:val="1"/>
          <w:bCs w:val="1"/>
          <w:color w:val="auto"/>
        </w:rPr>
        <w:t xml:space="preserve"> Mibanco</w:t>
      </w:r>
      <w:r>
        <w:rPr>
          <w:rFonts w:ascii="Arial" w:cs="Arial" w:eastAsia="Arial" w:hAnsi="Arial"/>
          <w:sz w:val="16"/>
          <w:szCs w:val="16"/>
          <w:color w:val="auto"/>
        </w:rPr>
        <w:t>, loan growth was</w:t>
      </w:r>
      <w:r>
        <w:rPr>
          <w:rFonts w:ascii="Arial" w:cs="Arial" w:eastAsia="Arial" w:hAnsi="Arial"/>
          <w:sz w:val="16"/>
          <w:szCs w:val="16"/>
          <w:b w:val="1"/>
          <w:bCs w:val="1"/>
          <w:color w:val="auto"/>
        </w:rPr>
        <w:t xml:space="preserve"> </w:t>
      </w:r>
      <w:r>
        <w:rPr>
          <w:rFonts w:ascii="Arial" w:cs="Arial" w:eastAsia="Arial" w:hAnsi="Arial"/>
          <w:sz w:val="16"/>
          <w:szCs w:val="16"/>
          <w:color w:val="auto"/>
        </w:rPr>
        <w:t>mainly fueled by an upswing in the dynamism of disbursements, which hit a record high in the month of September, led primarily by smaller and higher-yield tickets.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 xml:space="preserve">YoY, </w:t>
      </w:r>
      <w:r>
        <w:rPr>
          <w:rFonts w:ascii="Arial" w:cs="Arial" w:eastAsia="Arial" w:hAnsi="Arial"/>
          <w:sz w:val="16"/>
          <w:szCs w:val="16"/>
          <w:color w:val="auto"/>
        </w:rPr>
        <w:t>the FX neutral evolution of loans was mainly propelled by</w:t>
      </w:r>
      <w:r>
        <w:rPr>
          <w:rFonts w:ascii="Arial" w:cs="Arial" w:eastAsia="Arial" w:hAnsi="Arial"/>
          <w:sz w:val="16"/>
          <w:szCs w:val="16"/>
          <w:b w:val="1"/>
          <w:bCs w:val="1"/>
          <w:color w:val="auto"/>
        </w:rPr>
        <w:t xml:space="preserve"> BCP Stand -alone (+7.0%)</w:t>
      </w:r>
      <w:r>
        <w:rPr>
          <w:rFonts w:ascii="Arial" w:cs="Arial" w:eastAsia="Arial" w:hAnsi="Arial"/>
          <w:sz w:val="16"/>
          <w:szCs w:val="16"/>
          <w:color w:val="auto"/>
        </w:rPr>
        <w:t>, followed by</w:t>
      </w:r>
      <w:r>
        <w:rPr>
          <w:rFonts w:ascii="Arial" w:cs="Arial" w:eastAsia="Arial" w:hAnsi="Arial"/>
          <w:sz w:val="16"/>
          <w:szCs w:val="16"/>
          <w:b w:val="1"/>
          <w:bCs w:val="1"/>
          <w:color w:val="auto"/>
        </w:rPr>
        <w:t xml:space="preserve"> Mibanco (+8.1%) </w:t>
      </w:r>
      <w:r>
        <w:rPr>
          <w:rFonts w:ascii="Arial" w:cs="Arial" w:eastAsia="Arial" w:hAnsi="Arial"/>
          <w:sz w:val="16"/>
          <w:szCs w:val="16"/>
          <w:color w:val="auto"/>
        </w:rPr>
        <w:t>and</w:t>
      </w:r>
      <w:r>
        <w:rPr>
          <w:rFonts w:ascii="Arial" w:cs="Arial" w:eastAsia="Arial" w:hAnsi="Arial"/>
          <w:sz w:val="16"/>
          <w:szCs w:val="16"/>
          <w:b w:val="1"/>
          <w:bCs w:val="1"/>
          <w:color w:val="auto"/>
        </w:rPr>
        <w:t xml:space="preserve"> Mibanco Colombia (+30.1%)</w:t>
      </w:r>
      <w:r>
        <w:rPr>
          <w:rFonts w:ascii="Arial" w:cs="Arial" w:eastAsia="Arial" w:hAnsi="Arial"/>
          <w:sz w:val="16"/>
          <w:szCs w:val="16"/>
          <w:color w:val="auto"/>
        </w:rPr>
        <w:t>. At</w:t>
      </w:r>
      <w:r>
        <w:rPr>
          <w:rFonts w:ascii="Arial" w:cs="Arial" w:eastAsia="Arial" w:hAnsi="Arial"/>
          <w:sz w:val="16"/>
          <w:szCs w:val="16"/>
          <w:b w:val="1"/>
          <w:bCs w:val="1"/>
          <w:color w:val="auto"/>
        </w:rPr>
        <w:t xml:space="preserve"> Mibanco</w:t>
      </w:r>
      <w:r>
        <w:rPr>
          <w:rFonts w:ascii="Arial" w:cs="Arial" w:eastAsia="Arial" w:hAnsi="Arial"/>
          <w:sz w:val="16"/>
          <w:szCs w:val="16"/>
          <w:color w:val="auto"/>
        </w:rPr>
        <w:t>, loan growth was spurred primarily by an uptick in the dynamism of disbursements, whose pace picked up visibly as of the last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 2024. At </w:t>
      </w:r>
      <w:r>
        <w:rPr>
          <w:rFonts w:ascii="Arial" w:cs="Arial" w:eastAsia="Arial" w:hAnsi="Arial"/>
          <w:sz w:val="16"/>
          <w:szCs w:val="16"/>
          <w:b w:val="1"/>
          <w:bCs w:val="1"/>
          <w:color w:val="auto"/>
        </w:rPr>
        <w:t>Mibanco Colombia,</w:t>
      </w:r>
      <w:r>
        <w:rPr>
          <w:rFonts w:ascii="Arial" w:cs="Arial" w:eastAsia="Arial" w:hAnsi="Arial"/>
          <w:sz w:val="16"/>
          <w:szCs w:val="16"/>
          <w:color w:val="auto"/>
        </w:rPr>
        <w:t xml:space="preserve"> loans continued to recover significantly on the back of measures implemented last year to improve origination; in this context, </w:t>
      </w:r>
      <w:r>
        <w:rPr>
          <w:rFonts w:ascii="Arial" w:cs="Arial" w:eastAsia="Arial" w:hAnsi="Arial"/>
          <w:sz w:val="16"/>
          <w:szCs w:val="16"/>
          <w:b w:val="1"/>
          <w:bCs w:val="1"/>
          <w:color w:val="auto"/>
        </w:rPr>
        <w:t>YoY</w:t>
      </w:r>
      <w:r>
        <w:rPr>
          <w:rFonts w:ascii="Arial" w:cs="Arial" w:eastAsia="Arial" w:hAnsi="Arial"/>
          <w:sz w:val="16"/>
          <w:szCs w:val="16"/>
          <w:color w:val="auto"/>
        </w:rPr>
        <w:t xml:space="preserve"> growth has been robust.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67703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42" w:lineRule="exact"/>
        <w:rPr>
          <w:sz w:val="20"/>
          <w:szCs w:val="20"/>
          <w:color w:val="auto"/>
        </w:rPr>
      </w:pPr>
    </w:p>
    <w:p>
      <w:pPr>
        <w:ind w:left="100" w:hanging="94"/>
        <w:spacing w:after="0"/>
        <w:tabs>
          <w:tab w:leader="none" w:pos="100" w:val="left"/>
        </w:tabs>
        <w:numPr>
          <w:ilvl w:val="0"/>
          <w:numId w:val="13"/>
        </w:numPr>
        <w:rPr>
          <w:rFonts w:ascii="Arial" w:cs="Arial" w:eastAsia="Arial" w:hAnsi="Arial"/>
          <w:sz w:val="22"/>
          <w:szCs w:val="22"/>
          <w:color w:val="auto"/>
          <w:vertAlign w:val="superscript"/>
        </w:rPr>
      </w:pPr>
      <w:r>
        <w:rPr>
          <w:rFonts w:ascii="Arial" w:cs="Arial" w:eastAsia="Arial" w:hAnsi="Arial"/>
          <w:sz w:val="13"/>
          <w:szCs w:val="13"/>
          <w:color w:val="auto"/>
        </w:rPr>
        <w:t>As in recent quarters, this evolution is impacted by a non-cash accounting adjustment for the revaluation of assets related to the balance sheet of 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621030</wp:posOffset>
            </wp:positionV>
            <wp:extent cx="670750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102870</wp:posOffset>
            </wp:positionV>
            <wp:extent cx="5998845" cy="419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98845" cy="419100"/>
                    </a:xfrm>
                    <a:prstGeom prst="rect">
                      <a:avLst/>
                    </a:prstGeom>
                    <a:noFill/>
                  </pic:spPr>
                </pic:pic>
              </a:graphicData>
            </a:graphic>
          </wp:anchor>
        </w:drawing>
      </w:r>
    </w:p>
    <w:p>
      <w:pPr>
        <w:sectPr>
          <w:pgSz w:w="11900" w:h="16840" w:orient="portrait"/>
          <w:cols w:equalWidth="0" w:num="1">
            <w:col w:w="10580"/>
          </w:cols>
          <w:pgMar w:left="660" w:top="893" w:right="660"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514"/>
        </w:trPr>
        <w:tc>
          <w:tcPr>
            <w:tcW w:w="2140" w:type="dxa"/>
            <w:vAlign w:val="bottom"/>
            <w:tcBorders>
              <w:left w:val="single" w:sz="8" w:color="auto"/>
              <w:right w:val="single" w:sz="8" w:color="auto"/>
            </w:tcBorders>
            <w:shd w:val="clear" w:color="auto" w:fill="000000"/>
          </w:tcPr>
          <w:p>
            <w:pPr>
              <w:spacing w:after="0"/>
              <w:rPr>
                <w:sz w:val="24"/>
                <w:szCs w:val="24"/>
                <w:color w:val="auto"/>
              </w:rPr>
            </w:pPr>
          </w:p>
        </w:tc>
        <w:tc>
          <w:tcPr>
            <w:tcW w:w="3000" w:type="dxa"/>
            <w:vAlign w:val="bottom"/>
            <w:gridSpan w:val="3"/>
            <w:shd w:val="clear" w:color="auto" w:fill="000000"/>
          </w:tcPr>
          <w:p>
            <w:pPr>
              <w:ind w:left="420"/>
              <w:spacing w:after="0"/>
              <w:rPr>
                <w:sz w:val="20"/>
                <w:szCs w:val="20"/>
                <w:color w:val="auto"/>
              </w:rPr>
            </w:pPr>
            <w:r>
              <w:rPr>
                <w:rFonts w:ascii="Arial" w:cs="Arial" w:eastAsia="Arial" w:hAnsi="Arial"/>
                <w:sz w:val="14"/>
                <w:szCs w:val="14"/>
                <w:color w:val="A6A6A6"/>
              </w:rPr>
              <w:t xml:space="preserve">|   </w:t>
            </w:r>
            <w:r>
              <w:rPr>
                <w:rFonts w:ascii="Arial" w:cs="Arial" w:eastAsia="Arial" w:hAnsi="Arial"/>
                <w:sz w:val="13"/>
                <w:szCs w:val="13"/>
                <w:color w:val="FFFFFF"/>
              </w:rPr>
              <w:t>Earnings Release 3Q / 2025</w:t>
            </w:r>
          </w:p>
        </w:tc>
        <w:tc>
          <w:tcPr>
            <w:tcW w:w="880" w:type="dxa"/>
            <w:vAlign w:val="bottom"/>
            <w:tcBorders>
              <w:right w:val="single" w:sz="8" w:color="auto"/>
            </w:tcBorders>
            <w:shd w:val="clear" w:color="auto" w:fill="000000"/>
          </w:tcPr>
          <w:p>
            <w:pPr>
              <w:spacing w:after="0"/>
              <w:rPr>
                <w:sz w:val="24"/>
                <w:szCs w:val="24"/>
                <w:color w:val="auto"/>
              </w:rPr>
            </w:pPr>
          </w:p>
        </w:tc>
        <w:tc>
          <w:tcPr>
            <w:tcW w:w="1040" w:type="dxa"/>
            <w:vAlign w:val="bottom"/>
            <w:shd w:val="clear" w:color="auto" w:fill="000000"/>
          </w:tcPr>
          <w:p>
            <w:pPr>
              <w:spacing w:after="0"/>
              <w:rPr>
                <w:sz w:val="24"/>
                <w:szCs w:val="24"/>
                <w:color w:val="auto"/>
              </w:rPr>
            </w:pPr>
          </w:p>
        </w:tc>
        <w:tc>
          <w:tcPr>
            <w:tcW w:w="3520" w:type="dxa"/>
            <w:vAlign w:val="bottom"/>
            <w:tcBorders>
              <w:right w:val="single" w:sz="8" w:color="auto"/>
            </w:tcBorders>
            <w:gridSpan w:val="3"/>
            <w:shd w:val="clear" w:color="auto" w:fill="000000"/>
          </w:tcPr>
          <w:p>
            <w:pPr>
              <w:ind w:left="1180"/>
              <w:spacing w:after="0"/>
              <w:rPr>
                <w:sz w:val="20"/>
                <w:szCs w:val="20"/>
                <w:color w:val="auto"/>
              </w:rPr>
            </w:pPr>
            <w:r>
              <w:rPr>
                <w:rFonts w:ascii="Arial" w:cs="Arial" w:eastAsia="Arial" w:hAnsi="Arial"/>
                <w:sz w:val="13"/>
                <w:szCs w:val="13"/>
                <w:color w:val="ED3FA8"/>
              </w:rPr>
              <w:t>Analysis of 3Q25 Consolidated Results</w:t>
            </w:r>
          </w:p>
        </w:tc>
        <w:tc>
          <w:tcPr>
            <w:tcW w:w="0" w:type="dxa"/>
            <w:vAlign w:val="bottom"/>
          </w:tcPr>
          <w:p>
            <w:pPr>
              <w:spacing w:after="0"/>
              <w:rPr>
                <w:sz w:val="1"/>
                <w:szCs w:val="1"/>
                <w:color w:val="auto"/>
              </w:rPr>
            </w:pPr>
          </w:p>
        </w:tc>
      </w:tr>
      <w:tr>
        <w:trPr>
          <w:trHeight w:val="326"/>
        </w:trPr>
        <w:tc>
          <w:tcPr>
            <w:tcW w:w="2140" w:type="dxa"/>
            <w:vAlign w:val="bottom"/>
            <w:tcBorders>
              <w:left w:val="single" w:sz="8" w:color="auto"/>
              <w:right w:val="single" w:sz="8" w:color="auto"/>
            </w:tcBorders>
            <w:shd w:val="clear" w:color="auto" w:fill="000000"/>
          </w:tcPr>
          <w:p>
            <w:pPr>
              <w:spacing w:after="0"/>
              <w:rPr>
                <w:sz w:val="24"/>
                <w:szCs w:val="24"/>
                <w:color w:val="auto"/>
              </w:rPr>
            </w:pPr>
          </w:p>
        </w:tc>
        <w:tc>
          <w:tcPr>
            <w:tcW w:w="74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spacing w:after="0"/>
              <w:rPr>
                <w:sz w:val="24"/>
                <w:szCs w:val="24"/>
                <w:color w:val="auto"/>
              </w:rPr>
            </w:pPr>
          </w:p>
        </w:tc>
        <w:tc>
          <w:tcPr>
            <w:tcW w:w="1060" w:type="dxa"/>
            <w:vAlign w:val="bottom"/>
            <w:shd w:val="clear" w:color="auto" w:fill="000000"/>
          </w:tcPr>
          <w:p>
            <w:pPr>
              <w:spacing w:after="0"/>
              <w:rPr>
                <w:sz w:val="24"/>
                <w:szCs w:val="24"/>
                <w:color w:val="auto"/>
              </w:rPr>
            </w:pPr>
          </w:p>
        </w:tc>
        <w:tc>
          <w:tcPr>
            <w:tcW w:w="880" w:type="dxa"/>
            <w:vAlign w:val="bottom"/>
            <w:tcBorders>
              <w:right w:val="single" w:sz="8" w:color="auto"/>
            </w:tcBorders>
            <w:shd w:val="clear" w:color="auto" w:fill="000000"/>
          </w:tcPr>
          <w:p>
            <w:pPr>
              <w:spacing w:after="0"/>
              <w:rPr>
                <w:sz w:val="24"/>
                <w:szCs w:val="24"/>
                <w:color w:val="auto"/>
              </w:rPr>
            </w:pPr>
          </w:p>
        </w:tc>
        <w:tc>
          <w:tcPr>
            <w:tcW w:w="1040" w:type="dxa"/>
            <w:vAlign w:val="bottom"/>
            <w:shd w:val="clear" w:color="auto" w:fill="000000"/>
          </w:tcPr>
          <w:p>
            <w:pPr>
              <w:spacing w:after="0"/>
              <w:rPr>
                <w:sz w:val="24"/>
                <w:szCs w:val="24"/>
                <w:color w:val="auto"/>
              </w:rPr>
            </w:pPr>
          </w:p>
        </w:tc>
        <w:tc>
          <w:tcPr>
            <w:tcW w:w="1660" w:type="dxa"/>
            <w:vAlign w:val="bottom"/>
            <w:tcBorders>
              <w:right w:val="single" w:sz="8" w:color="auto"/>
            </w:tcBorders>
            <w:shd w:val="clear" w:color="auto" w:fill="000000"/>
          </w:tcPr>
          <w:p>
            <w:pPr>
              <w:spacing w:after="0"/>
              <w:rPr>
                <w:sz w:val="24"/>
                <w:szCs w:val="24"/>
                <w:color w:val="auto"/>
              </w:rPr>
            </w:pPr>
          </w:p>
        </w:tc>
        <w:tc>
          <w:tcPr>
            <w:tcW w:w="920" w:type="dxa"/>
            <w:vAlign w:val="bottom"/>
            <w:shd w:val="clear" w:color="auto" w:fill="000000"/>
          </w:tcPr>
          <w:p>
            <w:pPr>
              <w:spacing w:after="0"/>
              <w:rPr>
                <w:sz w:val="24"/>
                <w:szCs w:val="24"/>
                <w:color w:val="auto"/>
              </w:rPr>
            </w:pPr>
          </w:p>
        </w:tc>
        <w:tc>
          <w:tcPr>
            <w:tcW w:w="94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140" w:type="dxa"/>
            <w:vAlign w:val="bottom"/>
            <w:tcBorders>
              <w:left w:val="single" w:sz="8" w:color="E93BAC"/>
              <w:bottom w:val="single" w:sz="8" w:color="E93BAC"/>
              <w:right w:val="single" w:sz="8" w:color="E93BAC"/>
            </w:tcBorders>
            <w:shd w:val="clear" w:color="auto" w:fill="E93BAC"/>
          </w:tcPr>
          <w:p>
            <w:pPr>
              <w:ind w:left="60"/>
              <w:spacing w:after="0"/>
              <w:rPr>
                <w:sz w:val="20"/>
                <w:szCs w:val="20"/>
                <w:color w:val="auto"/>
              </w:rPr>
            </w:pPr>
            <w:r>
              <w:rPr>
                <w:rFonts w:ascii="Arial" w:cs="Arial" w:eastAsia="Arial" w:hAnsi="Arial"/>
                <w:sz w:val="19"/>
                <w:szCs w:val="19"/>
                <w:b w:val="1"/>
                <w:bCs w:val="1"/>
                <w:color w:val="FFFFFF"/>
              </w:rPr>
              <w:t>01. Loan Portfolio</w:t>
            </w:r>
          </w:p>
        </w:tc>
        <w:tc>
          <w:tcPr>
            <w:tcW w:w="740" w:type="dxa"/>
            <w:vAlign w:val="bottom"/>
            <w:tcBorders>
              <w:bottom w:val="single" w:sz="8" w:color="E93BAC"/>
            </w:tcBorders>
            <w:shd w:val="clear" w:color="auto" w:fill="E93BAC"/>
          </w:tcPr>
          <w:p>
            <w:pPr>
              <w:spacing w:after="0"/>
              <w:rPr>
                <w:sz w:val="24"/>
                <w:szCs w:val="24"/>
                <w:color w:val="auto"/>
              </w:rPr>
            </w:pPr>
          </w:p>
        </w:tc>
        <w:tc>
          <w:tcPr>
            <w:tcW w:w="1200" w:type="dxa"/>
            <w:vAlign w:val="bottom"/>
            <w:tcBorders>
              <w:bottom w:val="single" w:sz="8" w:color="E93BAC"/>
              <w:right w:val="single" w:sz="8" w:color="E93BAC"/>
            </w:tcBorders>
            <w:shd w:val="clear" w:color="auto" w:fill="E93BAC"/>
          </w:tcPr>
          <w:p>
            <w:pPr>
              <w:spacing w:after="0"/>
              <w:rPr>
                <w:sz w:val="24"/>
                <w:szCs w:val="24"/>
                <w:color w:val="auto"/>
              </w:rPr>
            </w:pPr>
          </w:p>
        </w:tc>
        <w:tc>
          <w:tcPr>
            <w:tcW w:w="1060" w:type="dxa"/>
            <w:vAlign w:val="bottom"/>
            <w:tcBorders>
              <w:bottom w:val="single" w:sz="8" w:color="E93BAC"/>
            </w:tcBorders>
            <w:shd w:val="clear" w:color="auto" w:fill="E93BAC"/>
          </w:tcPr>
          <w:p>
            <w:pPr>
              <w:spacing w:after="0"/>
              <w:rPr>
                <w:sz w:val="24"/>
                <w:szCs w:val="24"/>
                <w:color w:val="auto"/>
              </w:rPr>
            </w:pPr>
          </w:p>
        </w:tc>
        <w:tc>
          <w:tcPr>
            <w:tcW w:w="880" w:type="dxa"/>
            <w:vAlign w:val="bottom"/>
            <w:tcBorders>
              <w:bottom w:val="single" w:sz="8" w:color="E93BAC"/>
              <w:right w:val="single" w:sz="8" w:color="E93BAC"/>
            </w:tcBorders>
            <w:shd w:val="clear" w:color="auto" w:fill="E93BAC"/>
          </w:tcPr>
          <w:p>
            <w:pPr>
              <w:spacing w:after="0"/>
              <w:rPr>
                <w:sz w:val="24"/>
                <w:szCs w:val="24"/>
                <w:color w:val="auto"/>
              </w:rPr>
            </w:pPr>
          </w:p>
        </w:tc>
        <w:tc>
          <w:tcPr>
            <w:tcW w:w="1040" w:type="dxa"/>
            <w:vAlign w:val="bottom"/>
            <w:tcBorders>
              <w:bottom w:val="single" w:sz="8" w:color="E93BAC"/>
            </w:tcBorders>
            <w:shd w:val="clear" w:color="auto" w:fill="E93BAC"/>
          </w:tcPr>
          <w:p>
            <w:pPr>
              <w:spacing w:after="0"/>
              <w:rPr>
                <w:sz w:val="24"/>
                <w:szCs w:val="24"/>
                <w:color w:val="auto"/>
              </w:rPr>
            </w:pPr>
          </w:p>
        </w:tc>
        <w:tc>
          <w:tcPr>
            <w:tcW w:w="1660" w:type="dxa"/>
            <w:vAlign w:val="bottom"/>
            <w:tcBorders>
              <w:bottom w:val="single" w:sz="8" w:color="E93BAC"/>
              <w:right w:val="single" w:sz="8" w:color="E93BAC"/>
            </w:tcBorders>
            <w:shd w:val="clear" w:color="auto" w:fill="E93BAC"/>
          </w:tcPr>
          <w:p>
            <w:pPr>
              <w:spacing w:after="0"/>
              <w:rPr>
                <w:sz w:val="24"/>
                <w:szCs w:val="24"/>
                <w:color w:val="auto"/>
              </w:rPr>
            </w:pPr>
          </w:p>
        </w:tc>
        <w:tc>
          <w:tcPr>
            <w:tcW w:w="920" w:type="dxa"/>
            <w:vAlign w:val="bottom"/>
            <w:tcBorders>
              <w:bottom w:val="single" w:sz="8" w:color="E93BAC"/>
            </w:tcBorders>
            <w:shd w:val="clear" w:color="auto" w:fill="E93BAC"/>
          </w:tcPr>
          <w:p>
            <w:pPr>
              <w:spacing w:after="0"/>
              <w:rPr>
                <w:sz w:val="24"/>
                <w:szCs w:val="24"/>
                <w:color w:val="auto"/>
              </w:rPr>
            </w:pPr>
          </w:p>
        </w:tc>
        <w:tc>
          <w:tcPr>
            <w:tcW w:w="940" w:type="dxa"/>
            <w:vAlign w:val="bottom"/>
            <w:tcBorders>
              <w:bottom w:val="single" w:sz="8" w:color="E93BAC"/>
              <w:right w:val="single" w:sz="8" w:color="E93BAC"/>
            </w:tcBorders>
            <w:shd w:val="clear" w:color="auto" w:fill="E93BAC"/>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140" w:type="dxa"/>
            <w:vAlign w:val="bottom"/>
            <w:gridSpan w:val="4"/>
          </w:tcPr>
          <w:p>
            <w:pPr>
              <w:spacing w:after="0"/>
              <w:rPr>
                <w:sz w:val="20"/>
                <w:szCs w:val="20"/>
                <w:color w:val="auto"/>
              </w:rPr>
            </w:pPr>
            <w:r>
              <w:rPr>
                <w:rFonts w:ascii="Arial" w:cs="Arial" w:eastAsia="Arial" w:hAnsi="Arial"/>
                <w:sz w:val="16"/>
                <w:szCs w:val="16"/>
                <w:color w:val="auto"/>
              </w:rPr>
              <w:t xml:space="preserve">Next, we will analyze loan dynamics by segment at  </w:t>
            </w:r>
            <w:r>
              <w:rPr>
                <w:rFonts w:ascii="Arial" w:cs="Arial" w:eastAsia="Arial" w:hAnsi="Arial"/>
                <w:sz w:val="16"/>
                <w:szCs w:val="16"/>
                <w:b w:val="1"/>
                <w:bCs w:val="1"/>
                <w:color w:val="auto"/>
              </w:rPr>
              <w:t>BCP Stand-alone</w:t>
            </w:r>
            <w:r>
              <w:rPr>
                <w:rFonts w:ascii="Arial" w:cs="Arial" w:eastAsia="Arial" w:hAnsi="Arial"/>
                <w:sz w:val="16"/>
                <w:szCs w:val="16"/>
                <w:color w:val="auto"/>
              </w:rPr>
              <w:t>:</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1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gridSpan w:val="6"/>
          </w:tcPr>
          <w:p>
            <w:pPr>
              <w:ind w:left="280"/>
              <w:spacing w:after="0"/>
              <w:rPr>
                <w:sz w:val="20"/>
                <w:szCs w:val="20"/>
                <w:color w:val="auto"/>
              </w:rPr>
            </w:pPr>
            <w:r>
              <w:rPr>
                <w:rFonts w:ascii="Arial" w:cs="Arial" w:eastAsia="Arial" w:hAnsi="Arial"/>
                <w:sz w:val="16"/>
                <w:szCs w:val="16"/>
                <w:b w:val="1"/>
                <w:bCs w:val="1"/>
                <w:color w:val="auto"/>
              </w:rPr>
              <w:t>QoQ: Total Loans by Segment at BCP Stand-Alone (in Quarter-end Balances)</w:t>
            </w: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140" w:type="dxa"/>
            <w:vAlign w:val="bottom"/>
            <w:tcBorders>
              <w:left w:val="single" w:sz="8" w:color="auto"/>
              <w:right w:val="single" w:sz="8" w:color="auto"/>
            </w:tcBorders>
            <w:vMerge w:val="restart"/>
            <w:shd w:val="clear" w:color="auto" w:fill="33CCCC"/>
          </w:tcPr>
          <w:p>
            <w:pPr>
              <w:ind w:left="20"/>
              <w:spacing w:after="0"/>
              <w:rPr>
                <w:sz w:val="20"/>
                <w:szCs w:val="20"/>
                <w:color w:val="auto"/>
              </w:rPr>
            </w:pPr>
            <w:r>
              <w:rPr>
                <w:rFonts w:ascii="Arial" w:cs="Arial" w:eastAsia="Arial" w:hAnsi="Arial"/>
                <w:sz w:val="12"/>
                <w:szCs w:val="12"/>
                <w:b w:val="1"/>
                <w:bCs w:val="1"/>
                <w:color w:val="FFFFFF"/>
              </w:rPr>
              <w:t>Total Loans</w:t>
            </w:r>
          </w:p>
        </w:tc>
        <w:tc>
          <w:tcPr>
            <w:tcW w:w="740" w:type="dxa"/>
            <w:vAlign w:val="bottom"/>
            <w:shd w:val="clear" w:color="auto" w:fill="33CCCC"/>
          </w:tcPr>
          <w:p>
            <w:pPr>
              <w:spacing w:after="0"/>
              <w:rPr>
                <w:sz w:val="12"/>
                <w:szCs w:val="12"/>
                <w:color w:val="auto"/>
              </w:rPr>
            </w:pPr>
          </w:p>
        </w:tc>
        <w:tc>
          <w:tcPr>
            <w:tcW w:w="1200" w:type="dxa"/>
            <w:vAlign w:val="bottom"/>
            <w:tcBorders>
              <w:right w:val="single" w:sz="8" w:color="auto"/>
            </w:tcBorders>
            <w:vMerge w:val="restart"/>
            <w:shd w:val="clear" w:color="auto" w:fill="33CCCC"/>
          </w:tcPr>
          <w:p>
            <w:pPr>
              <w:ind w:left="60"/>
              <w:spacing w:after="0"/>
              <w:rPr>
                <w:sz w:val="20"/>
                <w:szCs w:val="20"/>
                <w:color w:val="auto"/>
              </w:rPr>
            </w:pPr>
            <w:r>
              <w:rPr>
                <w:rFonts w:ascii="Arial" w:cs="Arial" w:eastAsia="Arial" w:hAnsi="Arial"/>
                <w:sz w:val="12"/>
                <w:szCs w:val="12"/>
                <w:b w:val="1"/>
                <w:bCs w:val="1"/>
                <w:color w:val="FFFFFF"/>
              </w:rPr>
              <w:t>As of</w:t>
            </w:r>
          </w:p>
        </w:tc>
        <w:tc>
          <w:tcPr>
            <w:tcW w:w="1940" w:type="dxa"/>
            <w:vAlign w:val="bottom"/>
            <w:tcBorders>
              <w:right w:val="single" w:sz="8" w:color="auto"/>
            </w:tcBorders>
            <w:gridSpan w:val="2"/>
            <w:vMerge w:val="restart"/>
            <w:shd w:val="clear" w:color="auto" w:fill="33CCCC"/>
          </w:tcPr>
          <w:p>
            <w:pPr>
              <w:ind w:left="580"/>
              <w:spacing w:after="0"/>
              <w:rPr>
                <w:sz w:val="20"/>
                <w:szCs w:val="20"/>
                <w:color w:val="auto"/>
              </w:rPr>
            </w:pPr>
            <w:r>
              <w:rPr>
                <w:rFonts w:ascii="Arial" w:cs="Arial" w:eastAsia="Arial" w:hAnsi="Arial"/>
                <w:sz w:val="12"/>
                <w:szCs w:val="12"/>
                <w:b w:val="1"/>
                <w:bCs w:val="1"/>
                <w:color w:val="FFFFFF"/>
              </w:rPr>
              <w:t>QoQ Change</w:t>
            </w:r>
          </w:p>
        </w:tc>
        <w:tc>
          <w:tcPr>
            <w:tcW w:w="2700" w:type="dxa"/>
            <w:vAlign w:val="bottom"/>
            <w:tcBorders>
              <w:right w:val="single" w:sz="8" w:color="auto"/>
            </w:tcBorders>
            <w:gridSpan w:val="2"/>
            <w:shd w:val="clear" w:color="auto" w:fill="33CCCC"/>
          </w:tcPr>
          <w:p>
            <w:pPr>
              <w:jc w:val="center"/>
              <w:spacing w:after="0"/>
              <w:rPr>
                <w:sz w:val="20"/>
                <w:szCs w:val="20"/>
                <w:color w:val="auto"/>
              </w:rPr>
            </w:pPr>
            <w:r>
              <w:rPr>
                <w:rFonts w:ascii="Arial" w:cs="Arial" w:eastAsia="Arial" w:hAnsi="Arial"/>
                <w:sz w:val="12"/>
                <w:szCs w:val="12"/>
                <w:b w:val="1"/>
                <w:bCs w:val="1"/>
                <w:color w:val="FFFFFF"/>
              </w:rPr>
              <w:t>Balance in USD/PEN Neutral</w:t>
            </w:r>
          </w:p>
        </w:tc>
        <w:tc>
          <w:tcPr>
            <w:tcW w:w="1860" w:type="dxa"/>
            <w:vAlign w:val="bottom"/>
            <w:tcBorders>
              <w:right w:val="single" w:sz="8" w:color="auto"/>
            </w:tcBorders>
            <w:gridSpan w:val="2"/>
            <w:shd w:val="clear" w:color="auto" w:fill="33CCCC"/>
          </w:tcPr>
          <w:p>
            <w:pPr>
              <w:jc w:val="center"/>
              <w:spacing w:after="0"/>
              <w:rPr>
                <w:sz w:val="20"/>
                <w:szCs w:val="20"/>
                <w:color w:val="auto"/>
              </w:rPr>
            </w:pPr>
            <w:r>
              <w:rPr>
                <w:rFonts w:ascii="Arial" w:cs="Arial" w:eastAsia="Arial" w:hAnsi="Arial"/>
                <w:sz w:val="12"/>
                <w:szCs w:val="12"/>
                <w:b w:val="1"/>
                <w:bCs w:val="1"/>
                <w:color w:val="FFFFFF"/>
              </w:rPr>
              <w:t>QoQ Change</w:t>
            </w:r>
          </w:p>
        </w:tc>
        <w:tc>
          <w:tcPr>
            <w:tcW w:w="0" w:type="dxa"/>
            <w:vAlign w:val="bottom"/>
          </w:tcPr>
          <w:p>
            <w:pPr>
              <w:spacing w:after="0"/>
              <w:rPr>
                <w:sz w:val="1"/>
                <w:szCs w:val="1"/>
                <w:color w:val="auto"/>
              </w:rPr>
            </w:pPr>
          </w:p>
        </w:tc>
      </w:tr>
      <w:tr>
        <w:trPr>
          <w:trHeight w:val="72"/>
        </w:trPr>
        <w:tc>
          <w:tcPr>
            <w:tcW w:w="2140" w:type="dxa"/>
            <w:vAlign w:val="bottom"/>
            <w:tcBorders>
              <w:left w:val="single" w:sz="8" w:color="auto"/>
              <w:right w:val="single" w:sz="8" w:color="auto"/>
            </w:tcBorders>
            <w:vMerge w:val="continue"/>
            <w:shd w:val="clear" w:color="auto" w:fill="33CCCC"/>
          </w:tcPr>
          <w:p>
            <w:pPr>
              <w:spacing w:after="0"/>
              <w:rPr>
                <w:sz w:val="6"/>
                <w:szCs w:val="6"/>
                <w:color w:val="auto"/>
              </w:rPr>
            </w:pPr>
          </w:p>
        </w:tc>
        <w:tc>
          <w:tcPr>
            <w:tcW w:w="740" w:type="dxa"/>
            <w:vAlign w:val="bottom"/>
            <w:shd w:val="clear" w:color="auto" w:fill="33CCCC"/>
          </w:tcPr>
          <w:p>
            <w:pPr>
              <w:spacing w:after="0"/>
              <w:rPr>
                <w:sz w:val="6"/>
                <w:szCs w:val="6"/>
                <w:color w:val="auto"/>
              </w:rPr>
            </w:pPr>
          </w:p>
        </w:tc>
        <w:tc>
          <w:tcPr>
            <w:tcW w:w="1200" w:type="dxa"/>
            <w:vAlign w:val="bottom"/>
            <w:tcBorders>
              <w:right w:val="single" w:sz="8" w:color="auto"/>
            </w:tcBorders>
            <w:vMerge w:val="continue"/>
            <w:shd w:val="clear" w:color="auto" w:fill="33CCCC"/>
          </w:tcPr>
          <w:p>
            <w:pPr>
              <w:spacing w:after="0"/>
              <w:rPr>
                <w:sz w:val="6"/>
                <w:szCs w:val="6"/>
                <w:color w:val="auto"/>
              </w:rPr>
            </w:pPr>
          </w:p>
        </w:tc>
        <w:tc>
          <w:tcPr>
            <w:tcW w:w="1940" w:type="dxa"/>
            <w:vAlign w:val="bottom"/>
            <w:tcBorders>
              <w:right w:val="single" w:sz="8" w:color="auto"/>
            </w:tcBorders>
            <w:gridSpan w:val="2"/>
            <w:vMerge w:val="continue"/>
            <w:shd w:val="clear" w:color="auto" w:fill="33CCCC"/>
          </w:tcPr>
          <w:p>
            <w:pPr>
              <w:spacing w:after="0"/>
              <w:rPr>
                <w:sz w:val="6"/>
                <w:szCs w:val="6"/>
                <w:color w:val="auto"/>
              </w:rPr>
            </w:pPr>
          </w:p>
        </w:tc>
        <w:tc>
          <w:tcPr>
            <w:tcW w:w="1040" w:type="dxa"/>
            <w:vAlign w:val="bottom"/>
            <w:shd w:val="clear" w:color="auto" w:fill="33CCCC"/>
          </w:tcPr>
          <w:p>
            <w:pPr>
              <w:spacing w:after="0"/>
              <w:rPr>
                <w:sz w:val="6"/>
                <w:szCs w:val="6"/>
                <w:color w:val="auto"/>
              </w:rPr>
            </w:pPr>
          </w:p>
        </w:tc>
        <w:tc>
          <w:tcPr>
            <w:tcW w:w="1660" w:type="dxa"/>
            <w:vAlign w:val="bottom"/>
            <w:tcBorders>
              <w:right w:val="single" w:sz="8" w:color="auto"/>
            </w:tcBorders>
            <w:vMerge w:val="restart"/>
            <w:shd w:val="clear" w:color="auto" w:fill="33CCCC"/>
          </w:tcPr>
          <w:p>
            <w:pPr>
              <w:jc w:val="center"/>
              <w:ind w:right="1020"/>
              <w:spacing w:after="0"/>
              <w:rPr>
                <w:sz w:val="20"/>
                <w:szCs w:val="20"/>
                <w:color w:val="auto"/>
              </w:rPr>
            </w:pPr>
            <w:r>
              <w:rPr>
                <w:rFonts w:ascii="Arial" w:cs="Arial" w:eastAsia="Arial" w:hAnsi="Arial"/>
                <w:sz w:val="12"/>
                <w:szCs w:val="12"/>
                <w:b w:val="1"/>
                <w:bCs w:val="1"/>
                <w:color w:val="FFFFFF"/>
                <w:w w:val="99"/>
              </w:rPr>
              <w:t>As of</w:t>
            </w:r>
          </w:p>
        </w:tc>
        <w:tc>
          <w:tcPr>
            <w:tcW w:w="1860" w:type="dxa"/>
            <w:vAlign w:val="bottom"/>
            <w:tcBorders>
              <w:right w:val="single" w:sz="8" w:color="auto"/>
            </w:tcBorders>
            <w:gridSpan w:val="2"/>
            <w:vMerge w:val="restart"/>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in USD/PEN Neutral</w:t>
            </w:r>
          </w:p>
        </w:tc>
        <w:tc>
          <w:tcPr>
            <w:tcW w:w="0" w:type="dxa"/>
            <w:vAlign w:val="bottom"/>
          </w:tcPr>
          <w:p>
            <w:pPr>
              <w:spacing w:after="0"/>
              <w:rPr>
                <w:sz w:val="1"/>
                <w:szCs w:val="1"/>
                <w:color w:val="auto"/>
              </w:rPr>
            </w:pPr>
          </w:p>
        </w:tc>
      </w:tr>
      <w:tr>
        <w:trPr>
          <w:trHeight w:val="84"/>
        </w:trPr>
        <w:tc>
          <w:tcPr>
            <w:tcW w:w="2140" w:type="dxa"/>
            <w:vAlign w:val="bottom"/>
            <w:tcBorders>
              <w:left w:val="single" w:sz="8" w:color="auto"/>
              <w:right w:val="single" w:sz="8" w:color="auto"/>
            </w:tcBorders>
            <w:vMerge w:val="restart"/>
            <w:shd w:val="clear" w:color="auto" w:fill="33CCCC"/>
          </w:tcPr>
          <w:p>
            <w:pPr>
              <w:ind w:left="20"/>
              <w:spacing w:after="0"/>
              <w:rPr>
                <w:sz w:val="20"/>
                <w:szCs w:val="20"/>
                <w:color w:val="auto"/>
              </w:rPr>
            </w:pPr>
            <w:r>
              <w:rPr>
                <w:rFonts w:ascii="Arial" w:cs="Arial" w:eastAsia="Arial" w:hAnsi="Arial"/>
                <w:sz w:val="12"/>
                <w:szCs w:val="12"/>
                <w:color w:val="FFFFFF"/>
              </w:rPr>
              <w:t>(S/ Millions)</w:t>
            </w:r>
          </w:p>
        </w:tc>
        <w:tc>
          <w:tcPr>
            <w:tcW w:w="740" w:type="dxa"/>
            <w:vAlign w:val="bottom"/>
            <w:shd w:val="clear" w:color="auto" w:fill="33CCCC"/>
          </w:tcPr>
          <w:p>
            <w:pPr>
              <w:spacing w:after="0"/>
              <w:rPr>
                <w:sz w:val="7"/>
                <w:szCs w:val="7"/>
                <w:color w:val="auto"/>
              </w:rPr>
            </w:pPr>
          </w:p>
        </w:tc>
        <w:tc>
          <w:tcPr>
            <w:tcW w:w="1200" w:type="dxa"/>
            <w:vAlign w:val="bottom"/>
            <w:tcBorders>
              <w:right w:val="single" w:sz="8" w:color="auto"/>
            </w:tcBorders>
            <w:shd w:val="clear" w:color="auto" w:fill="33CCCC"/>
          </w:tcPr>
          <w:p>
            <w:pPr>
              <w:spacing w:after="0"/>
              <w:rPr>
                <w:sz w:val="7"/>
                <w:szCs w:val="7"/>
                <w:color w:val="auto"/>
              </w:rPr>
            </w:pPr>
          </w:p>
        </w:tc>
        <w:tc>
          <w:tcPr>
            <w:tcW w:w="1060" w:type="dxa"/>
            <w:vAlign w:val="bottom"/>
            <w:shd w:val="clear" w:color="auto" w:fill="33CCCC"/>
          </w:tcPr>
          <w:p>
            <w:pPr>
              <w:spacing w:after="0"/>
              <w:rPr>
                <w:sz w:val="7"/>
                <w:szCs w:val="7"/>
                <w:color w:val="auto"/>
              </w:rPr>
            </w:pPr>
          </w:p>
        </w:tc>
        <w:tc>
          <w:tcPr>
            <w:tcW w:w="880" w:type="dxa"/>
            <w:vAlign w:val="bottom"/>
            <w:tcBorders>
              <w:right w:val="single" w:sz="8" w:color="auto"/>
            </w:tcBorders>
            <w:shd w:val="clear" w:color="auto" w:fill="33CCCC"/>
          </w:tcPr>
          <w:p>
            <w:pPr>
              <w:spacing w:after="0"/>
              <w:rPr>
                <w:sz w:val="7"/>
                <w:szCs w:val="7"/>
                <w:color w:val="auto"/>
              </w:rPr>
            </w:pPr>
          </w:p>
        </w:tc>
        <w:tc>
          <w:tcPr>
            <w:tcW w:w="1040" w:type="dxa"/>
            <w:vAlign w:val="bottom"/>
            <w:shd w:val="clear" w:color="auto" w:fill="33CCCC"/>
          </w:tcPr>
          <w:p>
            <w:pPr>
              <w:spacing w:after="0"/>
              <w:rPr>
                <w:sz w:val="7"/>
                <w:szCs w:val="7"/>
                <w:color w:val="auto"/>
              </w:rPr>
            </w:pPr>
          </w:p>
        </w:tc>
        <w:tc>
          <w:tcPr>
            <w:tcW w:w="1660" w:type="dxa"/>
            <w:vAlign w:val="bottom"/>
            <w:tcBorders>
              <w:right w:val="single" w:sz="8" w:color="auto"/>
            </w:tcBorders>
            <w:vMerge w:val="continue"/>
            <w:shd w:val="clear" w:color="auto" w:fill="33CCCC"/>
          </w:tcPr>
          <w:p>
            <w:pPr>
              <w:spacing w:after="0"/>
              <w:rPr>
                <w:sz w:val="7"/>
                <w:szCs w:val="7"/>
                <w:color w:val="auto"/>
              </w:rPr>
            </w:pPr>
          </w:p>
        </w:tc>
        <w:tc>
          <w:tcPr>
            <w:tcW w:w="1860" w:type="dxa"/>
            <w:vAlign w:val="bottom"/>
            <w:tcBorders>
              <w:right w:val="single" w:sz="8" w:color="auto"/>
            </w:tcBorders>
            <w:gridSpan w:val="2"/>
            <w:vMerge w:val="continue"/>
            <w:shd w:val="clear" w:color="auto" w:fill="33CCCC"/>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140" w:type="dxa"/>
            <w:vAlign w:val="bottom"/>
            <w:tcBorders>
              <w:left w:val="single" w:sz="8" w:color="auto"/>
              <w:right w:val="single" w:sz="8" w:color="auto"/>
            </w:tcBorders>
            <w:vMerge w:val="continue"/>
            <w:shd w:val="clear" w:color="auto" w:fill="33CCCC"/>
          </w:tcPr>
          <w:p>
            <w:pPr>
              <w:spacing w:after="0"/>
              <w:rPr>
                <w:sz w:val="6"/>
                <w:szCs w:val="6"/>
                <w:color w:val="auto"/>
              </w:rPr>
            </w:pPr>
          </w:p>
        </w:tc>
        <w:tc>
          <w:tcPr>
            <w:tcW w:w="740" w:type="dxa"/>
            <w:vAlign w:val="bottom"/>
            <w:vMerge w:val="restart"/>
            <w:shd w:val="clear" w:color="auto" w:fill="33CCCC"/>
          </w:tcPr>
          <w:p>
            <w:pPr>
              <w:ind w:left="280"/>
              <w:spacing w:after="0"/>
              <w:rPr>
                <w:sz w:val="20"/>
                <w:szCs w:val="20"/>
                <w:color w:val="auto"/>
              </w:rPr>
            </w:pPr>
            <w:r>
              <w:rPr>
                <w:rFonts w:ascii="Arial" w:cs="Arial" w:eastAsia="Arial" w:hAnsi="Arial"/>
                <w:sz w:val="12"/>
                <w:szCs w:val="12"/>
                <w:b w:val="1"/>
                <w:bCs w:val="1"/>
                <w:color w:val="FFFFFF"/>
              </w:rPr>
              <w:t>Jun 25</w:t>
            </w:r>
          </w:p>
        </w:tc>
        <w:tc>
          <w:tcPr>
            <w:tcW w:w="1200" w:type="dxa"/>
            <w:vAlign w:val="bottom"/>
            <w:tcBorders>
              <w:right w:val="single" w:sz="8" w:color="auto"/>
            </w:tcBorders>
            <w:vMerge w:val="restart"/>
            <w:shd w:val="clear" w:color="auto" w:fill="33CCCC"/>
          </w:tcPr>
          <w:p>
            <w:pPr>
              <w:ind w:left="500"/>
              <w:spacing w:after="0"/>
              <w:rPr>
                <w:sz w:val="20"/>
                <w:szCs w:val="20"/>
                <w:color w:val="auto"/>
              </w:rPr>
            </w:pPr>
            <w:r>
              <w:rPr>
                <w:rFonts w:ascii="Arial" w:cs="Arial" w:eastAsia="Arial" w:hAnsi="Arial"/>
                <w:sz w:val="12"/>
                <w:szCs w:val="12"/>
                <w:b w:val="1"/>
                <w:bCs w:val="1"/>
                <w:color w:val="FFFFFF"/>
              </w:rPr>
              <w:t>Sep 25</w:t>
            </w:r>
          </w:p>
        </w:tc>
        <w:tc>
          <w:tcPr>
            <w:tcW w:w="1060" w:type="dxa"/>
            <w:vAlign w:val="bottom"/>
            <w:vMerge w:val="restart"/>
            <w:shd w:val="clear" w:color="auto" w:fill="33CCCC"/>
          </w:tcPr>
          <w:p>
            <w:pPr>
              <w:ind w:left="240"/>
              <w:spacing w:after="0"/>
              <w:rPr>
                <w:sz w:val="20"/>
                <w:szCs w:val="20"/>
                <w:color w:val="auto"/>
              </w:rPr>
            </w:pPr>
            <w:r>
              <w:rPr>
                <w:rFonts w:ascii="Arial" w:cs="Arial" w:eastAsia="Arial" w:hAnsi="Arial"/>
                <w:sz w:val="12"/>
                <w:szCs w:val="12"/>
                <w:b w:val="1"/>
                <w:bCs w:val="1"/>
                <w:color w:val="FFFFFF"/>
              </w:rPr>
              <w:t>Volume</w:t>
            </w:r>
          </w:p>
        </w:tc>
        <w:tc>
          <w:tcPr>
            <w:tcW w:w="880" w:type="dxa"/>
            <w:vAlign w:val="bottom"/>
            <w:tcBorders>
              <w:right w:val="single" w:sz="8" w:color="auto"/>
            </w:tcBorders>
            <w:vMerge w:val="restart"/>
            <w:shd w:val="clear" w:color="auto" w:fill="33CCCC"/>
          </w:tcPr>
          <w:p>
            <w:pPr>
              <w:jc w:val="center"/>
              <w:ind w:right="100"/>
              <w:spacing w:after="0"/>
              <w:rPr>
                <w:sz w:val="20"/>
                <w:szCs w:val="20"/>
                <w:color w:val="auto"/>
              </w:rPr>
            </w:pPr>
            <w:r>
              <w:rPr>
                <w:rFonts w:ascii="Arial" w:cs="Arial" w:eastAsia="Arial" w:hAnsi="Arial"/>
                <w:sz w:val="12"/>
                <w:szCs w:val="12"/>
                <w:b w:val="1"/>
                <w:bCs w:val="1"/>
                <w:color w:val="FFFFFF"/>
              </w:rPr>
              <w:t>%</w:t>
            </w:r>
          </w:p>
        </w:tc>
        <w:tc>
          <w:tcPr>
            <w:tcW w:w="1040" w:type="dxa"/>
            <w:vAlign w:val="bottom"/>
            <w:vMerge w:val="restart"/>
            <w:shd w:val="clear" w:color="auto" w:fill="33CCCC"/>
          </w:tcPr>
          <w:p>
            <w:pPr>
              <w:ind w:left="480"/>
              <w:spacing w:after="0"/>
              <w:rPr>
                <w:sz w:val="20"/>
                <w:szCs w:val="20"/>
                <w:color w:val="auto"/>
              </w:rPr>
            </w:pPr>
            <w:r>
              <w:rPr>
                <w:rFonts w:ascii="Arial" w:cs="Arial" w:eastAsia="Arial" w:hAnsi="Arial"/>
                <w:sz w:val="12"/>
                <w:szCs w:val="12"/>
                <w:b w:val="1"/>
                <w:bCs w:val="1"/>
                <w:color w:val="FFFFFF"/>
              </w:rPr>
              <w:t>Jun 25</w:t>
            </w:r>
          </w:p>
        </w:tc>
        <w:tc>
          <w:tcPr>
            <w:tcW w:w="1660" w:type="dxa"/>
            <w:vAlign w:val="bottom"/>
            <w:tcBorders>
              <w:right w:val="single" w:sz="8" w:color="auto"/>
            </w:tcBorders>
            <w:vMerge w:val="restart"/>
            <w:shd w:val="clear" w:color="auto" w:fill="33CCCC"/>
          </w:tcPr>
          <w:p>
            <w:pPr>
              <w:ind w:left="780"/>
              <w:spacing w:after="0"/>
              <w:rPr>
                <w:sz w:val="20"/>
                <w:szCs w:val="20"/>
                <w:color w:val="auto"/>
              </w:rPr>
            </w:pPr>
            <w:r>
              <w:rPr>
                <w:rFonts w:ascii="Arial" w:cs="Arial" w:eastAsia="Arial" w:hAnsi="Arial"/>
                <w:sz w:val="12"/>
                <w:szCs w:val="12"/>
                <w:b w:val="1"/>
                <w:bCs w:val="1"/>
                <w:color w:val="FFFFFF"/>
              </w:rPr>
              <w:t>Sep 25</w:t>
            </w:r>
          </w:p>
        </w:tc>
        <w:tc>
          <w:tcPr>
            <w:tcW w:w="920" w:type="dxa"/>
            <w:vAlign w:val="bottom"/>
            <w:vMerge w:val="restart"/>
            <w:shd w:val="clear" w:color="auto" w:fill="33CCCC"/>
          </w:tcPr>
          <w:p>
            <w:pPr>
              <w:ind w:left="240"/>
              <w:spacing w:after="0"/>
              <w:rPr>
                <w:sz w:val="20"/>
                <w:szCs w:val="20"/>
                <w:color w:val="auto"/>
              </w:rPr>
            </w:pPr>
            <w:r>
              <w:rPr>
                <w:rFonts w:ascii="Arial" w:cs="Arial" w:eastAsia="Arial" w:hAnsi="Arial"/>
                <w:sz w:val="12"/>
                <w:szCs w:val="12"/>
                <w:b w:val="1"/>
                <w:bCs w:val="1"/>
                <w:color w:val="FFFFFF"/>
              </w:rPr>
              <w:t>Volume</w:t>
            </w:r>
          </w:p>
        </w:tc>
        <w:tc>
          <w:tcPr>
            <w:tcW w:w="940" w:type="dxa"/>
            <w:vAlign w:val="bottom"/>
            <w:tcBorders>
              <w:right w:val="single" w:sz="8" w:color="auto"/>
            </w:tcBorders>
            <w:vMerge w:val="restart"/>
            <w:shd w:val="clear" w:color="auto" w:fill="33CCCC"/>
          </w:tcPr>
          <w:p>
            <w:pPr>
              <w:jc w:val="cente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82"/>
        </w:trPr>
        <w:tc>
          <w:tcPr>
            <w:tcW w:w="2140" w:type="dxa"/>
            <w:vAlign w:val="bottom"/>
            <w:tcBorders>
              <w:left w:val="single" w:sz="8" w:color="auto"/>
              <w:bottom w:val="single" w:sz="8" w:color="auto"/>
              <w:right w:val="single" w:sz="8" w:color="auto"/>
            </w:tcBorders>
            <w:shd w:val="clear" w:color="auto" w:fill="33CCCC"/>
          </w:tcPr>
          <w:p>
            <w:pPr>
              <w:spacing w:after="0"/>
              <w:rPr>
                <w:sz w:val="7"/>
                <w:szCs w:val="7"/>
                <w:color w:val="auto"/>
              </w:rPr>
            </w:pPr>
          </w:p>
        </w:tc>
        <w:tc>
          <w:tcPr>
            <w:tcW w:w="740" w:type="dxa"/>
            <w:vAlign w:val="bottom"/>
            <w:tcBorders>
              <w:bottom w:val="single" w:sz="8" w:color="auto"/>
            </w:tcBorders>
            <w:vMerge w:val="continue"/>
            <w:shd w:val="clear" w:color="auto" w:fill="33CCCC"/>
          </w:tcPr>
          <w:p>
            <w:pPr>
              <w:spacing w:after="0"/>
              <w:rPr>
                <w:sz w:val="7"/>
                <w:szCs w:val="7"/>
                <w:color w:val="auto"/>
              </w:rPr>
            </w:pPr>
          </w:p>
        </w:tc>
        <w:tc>
          <w:tcPr>
            <w:tcW w:w="120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1060" w:type="dxa"/>
            <w:vAlign w:val="bottom"/>
            <w:tcBorders>
              <w:bottom w:val="single" w:sz="8" w:color="auto"/>
            </w:tcBorders>
            <w:vMerge w:val="continue"/>
            <w:shd w:val="clear" w:color="auto" w:fill="33CCCC"/>
          </w:tcPr>
          <w:p>
            <w:pPr>
              <w:spacing w:after="0"/>
              <w:rPr>
                <w:sz w:val="7"/>
                <w:szCs w:val="7"/>
                <w:color w:val="auto"/>
              </w:rPr>
            </w:pPr>
          </w:p>
        </w:tc>
        <w:tc>
          <w:tcPr>
            <w:tcW w:w="88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1040" w:type="dxa"/>
            <w:vAlign w:val="bottom"/>
            <w:tcBorders>
              <w:bottom w:val="single" w:sz="8" w:color="auto"/>
            </w:tcBorders>
            <w:vMerge w:val="continue"/>
            <w:shd w:val="clear" w:color="auto" w:fill="33CCCC"/>
          </w:tcPr>
          <w:p>
            <w:pPr>
              <w:spacing w:after="0"/>
              <w:rPr>
                <w:sz w:val="7"/>
                <w:szCs w:val="7"/>
                <w:color w:val="auto"/>
              </w:rPr>
            </w:pPr>
          </w:p>
        </w:tc>
        <w:tc>
          <w:tcPr>
            <w:tcW w:w="166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920" w:type="dxa"/>
            <w:vAlign w:val="bottom"/>
            <w:tcBorders>
              <w:bottom w:val="single" w:sz="8" w:color="auto"/>
            </w:tcBorders>
            <w:vMerge w:val="continue"/>
            <w:shd w:val="clear" w:color="auto" w:fill="33CCCC"/>
          </w:tcPr>
          <w:p>
            <w:pPr>
              <w:spacing w:after="0"/>
              <w:rPr>
                <w:sz w:val="7"/>
                <w:szCs w:val="7"/>
                <w:color w:val="auto"/>
              </w:rPr>
            </w:pPr>
          </w:p>
        </w:tc>
        <w:tc>
          <w:tcPr>
            <w:tcW w:w="94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BCP Stand-alone</w:t>
            </w:r>
          </w:p>
        </w:tc>
        <w:tc>
          <w:tcPr>
            <w:tcW w:w="740" w:type="dxa"/>
            <w:vAlign w:val="bottom"/>
          </w:tcPr>
          <w:p>
            <w:pPr>
              <w:jc w:val="center"/>
              <w:ind w:left="118"/>
              <w:spacing w:after="0"/>
              <w:rPr>
                <w:sz w:val="20"/>
                <w:szCs w:val="20"/>
                <w:color w:val="auto"/>
              </w:rPr>
            </w:pPr>
            <w:r>
              <w:rPr>
                <w:rFonts w:ascii="Arial" w:cs="Arial" w:eastAsia="Arial" w:hAnsi="Arial"/>
                <w:sz w:val="12"/>
                <w:szCs w:val="12"/>
                <w:b w:val="1"/>
                <w:bCs w:val="1"/>
                <w:color w:val="auto"/>
              </w:rPr>
              <w:t>120,999</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b w:val="1"/>
                <w:bCs w:val="1"/>
                <w:color w:val="auto"/>
                <w:w w:val="96"/>
              </w:rPr>
              <w:t>123,089</w:t>
            </w:r>
          </w:p>
        </w:tc>
        <w:tc>
          <w:tcPr>
            <w:tcW w:w="106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2,090</w:t>
            </w:r>
          </w:p>
        </w:tc>
        <w:tc>
          <w:tcPr>
            <w:tcW w:w="88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rPr>
              <w:t>1.7%</w:t>
            </w:r>
          </w:p>
        </w:tc>
        <w:tc>
          <w:tcPr>
            <w:tcW w:w="1040" w:type="dxa"/>
            <w:vAlign w:val="bottom"/>
          </w:tcPr>
          <w:p>
            <w:pPr>
              <w:jc w:val="center"/>
              <w:ind w:left="220"/>
              <w:spacing w:after="0"/>
              <w:rPr>
                <w:sz w:val="20"/>
                <w:szCs w:val="20"/>
                <w:color w:val="auto"/>
              </w:rPr>
            </w:pPr>
            <w:r>
              <w:rPr>
                <w:rFonts w:ascii="Arial" w:cs="Arial" w:eastAsia="Arial" w:hAnsi="Arial"/>
                <w:sz w:val="12"/>
                <w:szCs w:val="12"/>
                <w:b w:val="1"/>
                <w:bCs w:val="1"/>
                <w:color w:val="auto"/>
              </w:rPr>
              <w:t>120,999</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6"/>
              </w:rPr>
              <w:t>123,928</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9"/>
              </w:rPr>
              <w:t>2,929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2.4%</w:t>
            </w:r>
          </w:p>
        </w:tc>
        <w:tc>
          <w:tcPr>
            <w:tcW w:w="0" w:type="dxa"/>
            <w:vAlign w:val="bottom"/>
          </w:tcPr>
          <w:p>
            <w:pPr>
              <w:spacing w:after="0"/>
              <w:rPr>
                <w:sz w:val="1"/>
                <w:szCs w:val="1"/>
                <w:color w:val="auto"/>
              </w:rPr>
            </w:pPr>
          </w:p>
        </w:tc>
      </w:tr>
      <w:tr>
        <w:trPr>
          <w:trHeight w:val="157"/>
        </w:trPr>
        <w:tc>
          <w:tcPr>
            <w:tcW w:w="21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Wholesale Banking</w:t>
            </w:r>
          </w:p>
        </w:tc>
        <w:tc>
          <w:tcPr>
            <w:tcW w:w="740" w:type="dxa"/>
            <w:vAlign w:val="bottom"/>
          </w:tcPr>
          <w:p>
            <w:pPr>
              <w:jc w:val="center"/>
              <w:ind w:left="118"/>
              <w:spacing w:after="0"/>
              <w:rPr>
                <w:sz w:val="20"/>
                <w:szCs w:val="20"/>
                <w:color w:val="auto"/>
              </w:rPr>
            </w:pPr>
            <w:r>
              <w:rPr>
                <w:rFonts w:ascii="Arial" w:cs="Arial" w:eastAsia="Arial" w:hAnsi="Arial"/>
                <w:sz w:val="12"/>
                <w:szCs w:val="12"/>
                <w:b w:val="1"/>
                <w:bCs w:val="1"/>
                <w:color w:val="auto"/>
                <w:w w:val="97"/>
              </w:rPr>
              <w:t>53,025</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b w:val="1"/>
                <w:bCs w:val="1"/>
                <w:color w:val="auto"/>
              </w:rPr>
              <w:t>53,340</w:t>
            </w:r>
          </w:p>
        </w:tc>
        <w:tc>
          <w:tcPr>
            <w:tcW w:w="1060" w:type="dxa"/>
            <w:vAlign w:val="bottom"/>
          </w:tcPr>
          <w:p>
            <w:pPr>
              <w:jc w:val="center"/>
              <w:ind w:right="80"/>
              <w:spacing w:after="0"/>
              <w:rPr>
                <w:sz w:val="20"/>
                <w:szCs w:val="20"/>
                <w:color w:val="auto"/>
              </w:rPr>
            </w:pPr>
            <w:r>
              <w:rPr>
                <w:rFonts w:ascii="Arial" w:cs="Arial" w:eastAsia="Arial" w:hAnsi="Arial"/>
                <w:sz w:val="12"/>
                <w:szCs w:val="12"/>
                <w:b w:val="1"/>
                <w:bCs w:val="1"/>
                <w:color w:val="auto"/>
                <w:w w:val="99"/>
              </w:rPr>
              <w:t>315</w:t>
            </w:r>
          </w:p>
        </w:tc>
        <w:tc>
          <w:tcPr>
            <w:tcW w:w="88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rPr>
              <w:t>0.6%</w:t>
            </w:r>
          </w:p>
        </w:tc>
        <w:tc>
          <w:tcPr>
            <w:tcW w:w="1040" w:type="dxa"/>
            <w:vAlign w:val="bottom"/>
          </w:tcPr>
          <w:p>
            <w:pPr>
              <w:jc w:val="center"/>
              <w:ind w:left="220"/>
              <w:spacing w:after="0"/>
              <w:rPr>
                <w:sz w:val="20"/>
                <w:szCs w:val="20"/>
                <w:color w:val="auto"/>
              </w:rPr>
            </w:pPr>
            <w:r>
              <w:rPr>
                <w:rFonts w:ascii="Arial" w:cs="Arial" w:eastAsia="Arial" w:hAnsi="Arial"/>
                <w:sz w:val="12"/>
                <w:szCs w:val="12"/>
                <w:b w:val="1"/>
                <w:bCs w:val="1"/>
                <w:color w:val="auto"/>
                <w:w w:val="97"/>
              </w:rPr>
              <w:t>53,025</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rPr>
              <w:t>53,982</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9"/>
              </w:rPr>
              <w:t>956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1.8%</w:t>
            </w:r>
          </w:p>
        </w:tc>
        <w:tc>
          <w:tcPr>
            <w:tcW w:w="0" w:type="dxa"/>
            <w:vAlign w:val="bottom"/>
          </w:tcPr>
          <w:p>
            <w:pPr>
              <w:spacing w:after="0"/>
              <w:rPr>
                <w:sz w:val="1"/>
                <w:szCs w:val="1"/>
                <w:color w:val="auto"/>
              </w:rPr>
            </w:pPr>
          </w:p>
        </w:tc>
      </w:tr>
      <w:tr>
        <w:trPr>
          <w:trHeight w:val="156"/>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Corporate</w:t>
            </w:r>
          </w:p>
        </w:tc>
        <w:tc>
          <w:tcPr>
            <w:tcW w:w="740" w:type="dxa"/>
            <w:vAlign w:val="bottom"/>
          </w:tcPr>
          <w:p>
            <w:pPr>
              <w:jc w:val="center"/>
              <w:ind w:left="118"/>
              <w:spacing w:after="0"/>
              <w:rPr>
                <w:sz w:val="20"/>
                <w:szCs w:val="20"/>
                <w:color w:val="auto"/>
              </w:rPr>
            </w:pPr>
            <w:r>
              <w:rPr>
                <w:rFonts w:ascii="Arial" w:cs="Arial" w:eastAsia="Arial" w:hAnsi="Arial"/>
                <w:sz w:val="12"/>
                <w:szCs w:val="12"/>
                <w:color w:val="auto"/>
                <w:w w:val="97"/>
              </w:rPr>
              <w:t>30,496</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rPr>
              <w:t>31,485</w:t>
            </w:r>
          </w:p>
        </w:tc>
        <w:tc>
          <w:tcPr>
            <w:tcW w:w="1060" w:type="dxa"/>
            <w:vAlign w:val="bottom"/>
          </w:tcPr>
          <w:p>
            <w:pPr>
              <w:jc w:val="center"/>
              <w:ind w:right="80"/>
              <w:spacing w:after="0"/>
              <w:rPr>
                <w:sz w:val="20"/>
                <w:szCs w:val="20"/>
                <w:color w:val="auto"/>
              </w:rPr>
            </w:pPr>
            <w:r>
              <w:rPr>
                <w:rFonts w:ascii="Arial" w:cs="Arial" w:eastAsia="Arial" w:hAnsi="Arial"/>
                <w:sz w:val="12"/>
                <w:szCs w:val="12"/>
                <w:color w:val="auto"/>
                <w:w w:val="99"/>
              </w:rPr>
              <w:t>989</w:t>
            </w:r>
          </w:p>
        </w:tc>
        <w:tc>
          <w:tcPr>
            <w:tcW w:w="88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color w:val="auto"/>
              </w:rPr>
              <w:t>3.2%</w:t>
            </w:r>
          </w:p>
        </w:tc>
        <w:tc>
          <w:tcPr>
            <w:tcW w:w="1040" w:type="dxa"/>
            <w:vAlign w:val="bottom"/>
          </w:tcPr>
          <w:p>
            <w:pPr>
              <w:jc w:val="center"/>
              <w:ind w:left="220"/>
              <w:spacing w:after="0"/>
              <w:rPr>
                <w:sz w:val="20"/>
                <w:szCs w:val="20"/>
                <w:color w:val="auto"/>
              </w:rPr>
            </w:pPr>
            <w:r>
              <w:rPr>
                <w:rFonts w:ascii="Arial" w:cs="Arial" w:eastAsia="Arial" w:hAnsi="Arial"/>
                <w:sz w:val="12"/>
                <w:szCs w:val="12"/>
                <w:color w:val="auto"/>
                <w:w w:val="97"/>
              </w:rPr>
              <w:t>30,496</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31,865</w:t>
            </w:r>
          </w:p>
        </w:tc>
        <w:tc>
          <w:tcPr>
            <w:tcW w:w="92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1,369</w:t>
            </w:r>
          </w:p>
        </w:tc>
        <w:tc>
          <w:tcPr>
            <w:tcW w:w="94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56"/>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Middle - Market</w:t>
            </w:r>
          </w:p>
        </w:tc>
        <w:tc>
          <w:tcPr>
            <w:tcW w:w="740" w:type="dxa"/>
            <w:vAlign w:val="bottom"/>
          </w:tcPr>
          <w:p>
            <w:pPr>
              <w:jc w:val="center"/>
              <w:ind w:left="118"/>
              <w:spacing w:after="0"/>
              <w:rPr>
                <w:sz w:val="20"/>
                <w:szCs w:val="20"/>
                <w:color w:val="auto"/>
              </w:rPr>
            </w:pPr>
            <w:r>
              <w:rPr>
                <w:rFonts w:ascii="Arial" w:cs="Arial" w:eastAsia="Arial" w:hAnsi="Arial"/>
                <w:sz w:val="12"/>
                <w:szCs w:val="12"/>
                <w:color w:val="auto"/>
                <w:w w:val="97"/>
              </w:rPr>
              <w:t>22,529</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rPr>
              <w:t>21,855</w:t>
            </w:r>
          </w:p>
        </w:tc>
        <w:tc>
          <w:tcPr>
            <w:tcW w:w="1060" w:type="dxa"/>
            <w:vAlign w:val="bottom"/>
          </w:tcPr>
          <w:p>
            <w:pPr>
              <w:jc w:val="center"/>
              <w:ind w:right="80"/>
              <w:spacing w:after="0"/>
              <w:rPr>
                <w:sz w:val="20"/>
                <w:szCs w:val="20"/>
                <w:color w:val="auto"/>
              </w:rPr>
            </w:pPr>
            <w:r>
              <w:rPr>
                <w:rFonts w:ascii="Arial" w:cs="Arial" w:eastAsia="Arial" w:hAnsi="Arial"/>
                <w:sz w:val="12"/>
                <w:szCs w:val="12"/>
                <w:color w:val="auto"/>
                <w:w w:val="99"/>
              </w:rPr>
              <w:t>-674</w:t>
            </w:r>
          </w:p>
        </w:tc>
        <w:tc>
          <w:tcPr>
            <w:tcW w:w="88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color w:val="auto"/>
              </w:rPr>
              <w:t>-3.0%</w:t>
            </w:r>
          </w:p>
        </w:tc>
        <w:tc>
          <w:tcPr>
            <w:tcW w:w="1040" w:type="dxa"/>
            <w:vAlign w:val="bottom"/>
          </w:tcPr>
          <w:p>
            <w:pPr>
              <w:jc w:val="center"/>
              <w:ind w:left="220"/>
              <w:spacing w:after="0"/>
              <w:rPr>
                <w:sz w:val="20"/>
                <w:szCs w:val="20"/>
                <w:color w:val="auto"/>
              </w:rPr>
            </w:pPr>
            <w:r>
              <w:rPr>
                <w:rFonts w:ascii="Arial" w:cs="Arial" w:eastAsia="Arial" w:hAnsi="Arial"/>
                <w:sz w:val="12"/>
                <w:szCs w:val="12"/>
                <w:color w:val="auto"/>
                <w:w w:val="97"/>
              </w:rPr>
              <w:t>22,529</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22,117</w:t>
            </w:r>
          </w:p>
        </w:tc>
        <w:tc>
          <w:tcPr>
            <w:tcW w:w="920" w:type="dxa"/>
            <w:vAlign w:val="bottom"/>
            <w:shd w:val="clear" w:color="auto" w:fill="E93BAC"/>
          </w:tcPr>
          <w:p>
            <w:pPr>
              <w:jc w:val="center"/>
              <w:spacing w:after="0"/>
              <w:rPr>
                <w:sz w:val="20"/>
                <w:szCs w:val="20"/>
                <w:color w:val="auto"/>
              </w:rPr>
            </w:pPr>
            <w:r>
              <w:rPr>
                <w:rFonts w:ascii="Arial" w:cs="Arial" w:eastAsia="Arial" w:hAnsi="Arial"/>
                <w:sz w:val="12"/>
                <w:szCs w:val="12"/>
                <w:color w:val="auto"/>
                <w:w w:val="99"/>
              </w:rPr>
              <w:t>-413</w:t>
            </w:r>
          </w:p>
        </w:tc>
        <w:tc>
          <w:tcPr>
            <w:tcW w:w="940" w:type="dxa"/>
            <w:vAlign w:val="bottom"/>
            <w:tcBorders>
              <w:right w:val="single" w:sz="8" w:color="auto"/>
            </w:tcBorders>
            <w:shd w:val="clear" w:color="auto" w:fill="E93BAC"/>
          </w:tcPr>
          <w:p>
            <w:pPr>
              <w:jc w:val="center"/>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6"/>
        </w:trPr>
        <w:tc>
          <w:tcPr>
            <w:tcW w:w="21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Retail Banking</w:t>
            </w:r>
          </w:p>
        </w:tc>
        <w:tc>
          <w:tcPr>
            <w:tcW w:w="740" w:type="dxa"/>
            <w:vAlign w:val="bottom"/>
          </w:tcPr>
          <w:p>
            <w:pPr>
              <w:jc w:val="center"/>
              <w:ind w:left="118"/>
              <w:spacing w:after="0"/>
              <w:rPr>
                <w:sz w:val="20"/>
                <w:szCs w:val="20"/>
                <w:color w:val="auto"/>
              </w:rPr>
            </w:pPr>
            <w:r>
              <w:rPr>
                <w:rFonts w:ascii="Arial" w:cs="Arial" w:eastAsia="Arial" w:hAnsi="Arial"/>
                <w:sz w:val="12"/>
                <w:szCs w:val="12"/>
                <w:b w:val="1"/>
                <w:bCs w:val="1"/>
                <w:color w:val="auto"/>
                <w:w w:val="97"/>
              </w:rPr>
              <w:t>66,176</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b w:val="1"/>
                <w:bCs w:val="1"/>
                <w:color w:val="auto"/>
              </w:rPr>
              <w:t>67,958</w:t>
            </w:r>
          </w:p>
        </w:tc>
        <w:tc>
          <w:tcPr>
            <w:tcW w:w="106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1,782</w:t>
            </w:r>
          </w:p>
        </w:tc>
        <w:tc>
          <w:tcPr>
            <w:tcW w:w="88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rPr>
              <w:t>2.7%</w:t>
            </w:r>
          </w:p>
        </w:tc>
        <w:tc>
          <w:tcPr>
            <w:tcW w:w="1040" w:type="dxa"/>
            <w:vAlign w:val="bottom"/>
          </w:tcPr>
          <w:p>
            <w:pPr>
              <w:jc w:val="center"/>
              <w:ind w:left="220"/>
              <w:spacing w:after="0"/>
              <w:rPr>
                <w:sz w:val="20"/>
                <w:szCs w:val="20"/>
                <w:color w:val="auto"/>
              </w:rPr>
            </w:pPr>
            <w:r>
              <w:rPr>
                <w:rFonts w:ascii="Arial" w:cs="Arial" w:eastAsia="Arial" w:hAnsi="Arial"/>
                <w:sz w:val="12"/>
                <w:szCs w:val="12"/>
                <w:b w:val="1"/>
                <w:bCs w:val="1"/>
                <w:color w:val="auto"/>
                <w:w w:val="97"/>
              </w:rPr>
              <w:t>66,176</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rPr>
              <w:t>68,130</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9"/>
              </w:rPr>
              <w:t>1,954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3.0%</w:t>
            </w:r>
          </w:p>
        </w:tc>
        <w:tc>
          <w:tcPr>
            <w:tcW w:w="0" w:type="dxa"/>
            <w:vAlign w:val="bottom"/>
          </w:tcPr>
          <w:p>
            <w:pPr>
              <w:spacing w:after="0"/>
              <w:rPr>
                <w:sz w:val="1"/>
                <w:szCs w:val="1"/>
                <w:color w:val="auto"/>
              </w:rPr>
            </w:pPr>
          </w:p>
        </w:tc>
      </w:tr>
      <w:tr>
        <w:trPr>
          <w:trHeight w:val="156"/>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SME - Business</w:t>
            </w:r>
          </w:p>
        </w:tc>
        <w:tc>
          <w:tcPr>
            <w:tcW w:w="740" w:type="dxa"/>
            <w:vAlign w:val="bottom"/>
          </w:tcPr>
          <w:p>
            <w:pPr>
              <w:jc w:val="center"/>
              <w:ind w:left="138"/>
              <w:spacing w:after="0"/>
              <w:rPr>
                <w:sz w:val="20"/>
                <w:szCs w:val="20"/>
                <w:color w:val="auto"/>
              </w:rPr>
            </w:pPr>
            <w:r>
              <w:rPr>
                <w:rFonts w:ascii="Arial" w:cs="Arial" w:eastAsia="Arial" w:hAnsi="Arial"/>
                <w:sz w:val="12"/>
                <w:szCs w:val="12"/>
                <w:color w:val="auto"/>
                <w:w w:val="99"/>
              </w:rPr>
              <w:t>7,692</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8,097</w:t>
            </w:r>
          </w:p>
        </w:tc>
        <w:tc>
          <w:tcPr>
            <w:tcW w:w="1060" w:type="dxa"/>
            <w:vAlign w:val="bottom"/>
          </w:tcPr>
          <w:p>
            <w:pPr>
              <w:jc w:val="center"/>
              <w:ind w:right="80"/>
              <w:spacing w:after="0"/>
              <w:rPr>
                <w:sz w:val="20"/>
                <w:szCs w:val="20"/>
                <w:color w:val="auto"/>
              </w:rPr>
            </w:pPr>
            <w:r>
              <w:rPr>
                <w:rFonts w:ascii="Arial" w:cs="Arial" w:eastAsia="Arial" w:hAnsi="Arial"/>
                <w:sz w:val="12"/>
                <w:szCs w:val="12"/>
                <w:color w:val="auto"/>
                <w:w w:val="99"/>
              </w:rPr>
              <w:t>405</w:t>
            </w:r>
          </w:p>
        </w:tc>
        <w:tc>
          <w:tcPr>
            <w:tcW w:w="88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color w:val="auto"/>
              </w:rPr>
              <w:t>5.3%</w:t>
            </w:r>
          </w:p>
        </w:tc>
        <w:tc>
          <w:tcPr>
            <w:tcW w:w="1040" w:type="dxa"/>
            <w:vAlign w:val="bottom"/>
          </w:tcPr>
          <w:p>
            <w:pPr>
              <w:jc w:val="center"/>
              <w:ind w:left="240"/>
              <w:spacing w:after="0"/>
              <w:rPr>
                <w:sz w:val="20"/>
                <w:szCs w:val="20"/>
                <w:color w:val="auto"/>
              </w:rPr>
            </w:pPr>
            <w:r>
              <w:rPr>
                <w:rFonts w:ascii="Arial" w:cs="Arial" w:eastAsia="Arial" w:hAnsi="Arial"/>
                <w:sz w:val="12"/>
                <w:szCs w:val="12"/>
                <w:color w:val="auto"/>
                <w:w w:val="99"/>
              </w:rPr>
              <w:t>7,692</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9"/>
              </w:rPr>
              <w:t>8,169</w:t>
            </w:r>
          </w:p>
        </w:tc>
        <w:tc>
          <w:tcPr>
            <w:tcW w:w="92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477</w:t>
            </w:r>
          </w:p>
        </w:tc>
        <w:tc>
          <w:tcPr>
            <w:tcW w:w="94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55"/>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SME - Pyme</w:t>
            </w:r>
          </w:p>
        </w:tc>
        <w:tc>
          <w:tcPr>
            <w:tcW w:w="740" w:type="dxa"/>
            <w:vAlign w:val="bottom"/>
          </w:tcPr>
          <w:p>
            <w:pPr>
              <w:jc w:val="center"/>
              <w:ind w:left="118"/>
              <w:spacing w:after="0"/>
              <w:rPr>
                <w:sz w:val="20"/>
                <w:szCs w:val="20"/>
                <w:color w:val="auto"/>
              </w:rPr>
            </w:pPr>
            <w:r>
              <w:rPr>
                <w:rFonts w:ascii="Arial" w:cs="Arial" w:eastAsia="Arial" w:hAnsi="Arial"/>
                <w:sz w:val="12"/>
                <w:szCs w:val="12"/>
                <w:color w:val="auto"/>
                <w:w w:val="97"/>
              </w:rPr>
              <w:t>16,091</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rPr>
              <w:t>16,447</w:t>
            </w:r>
          </w:p>
        </w:tc>
        <w:tc>
          <w:tcPr>
            <w:tcW w:w="1060" w:type="dxa"/>
            <w:vAlign w:val="bottom"/>
          </w:tcPr>
          <w:p>
            <w:pPr>
              <w:jc w:val="center"/>
              <w:ind w:right="80"/>
              <w:spacing w:after="0"/>
              <w:rPr>
                <w:sz w:val="20"/>
                <w:szCs w:val="20"/>
                <w:color w:val="auto"/>
              </w:rPr>
            </w:pPr>
            <w:r>
              <w:rPr>
                <w:rFonts w:ascii="Arial" w:cs="Arial" w:eastAsia="Arial" w:hAnsi="Arial"/>
                <w:sz w:val="12"/>
                <w:szCs w:val="12"/>
                <w:color w:val="auto"/>
                <w:w w:val="99"/>
              </w:rPr>
              <w:t>356</w:t>
            </w:r>
          </w:p>
        </w:tc>
        <w:tc>
          <w:tcPr>
            <w:tcW w:w="88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color w:val="auto"/>
              </w:rPr>
              <w:t>2.2%</w:t>
            </w:r>
          </w:p>
        </w:tc>
        <w:tc>
          <w:tcPr>
            <w:tcW w:w="1040" w:type="dxa"/>
            <w:vAlign w:val="bottom"/>
          </w:tcPr>
          <w:p>
            <w:pPr>
              <w:jc w:val="center"/>
              <w:ind w:left="220"/>
              <w:spacing w:after="0"/>
              <w:rPr>
                <w:sz w:val="20"/>
                <w:szCs w:val="20"/>
                <w:color w:val="auto"/>
              </w:rPr>
            </w:pPr>
            <w:r>
              <w:rPr>
                <w:rFonts w:ascii="Arial" w:cs="Arial" w:eastAsia="Arial" w:hAnsi="Arial"/>
                <w:sz w:val="12"/>
                <w:szCs w:val="12"/>
                <w:color w:val="auto"/>
                <w:w w:val="97"/>
              </w:rPr>
              <w:t>16,091</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16,449</w:t>
            </w:r>
          </w:p>
        </w:tc>
        <w:tc>
          <w:tcPr>
            <w:tcW w:w="92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359</w:t>
            </w:r>
          </w:p>
        </w:tc>
        <w:tc>
          <w:tcPr>
            <w:tcW w:w="94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6"/>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Mortgage</w:t>
            </w:r>
          </w:p>
        </w:tc>
        <w:tc>
          <w:tcPr>
            <w:tcW w:w="740" w:type="dxa"/>
            <w:vAlign w:val="bottom"/>
          </w:tcPr>
          <w:p>
            <w:pPr>
              <w:jc w:val="center"/>
              <w:ind w:left="118"/>
              <w:spacing w:after="0"/>
              <w:rPr>
                <w:sz w:val="20"/>
                <w:szCs w:val="20"/>
                <w:color w:val="auto"/>
              </w:rPr>
            </w:pPr>
            <w:r>
              <w:rPr>
                <w:rFonts w:ascii="Arial" w:cs="Arial" w:eastAsia="Arial" w:hAnsi="Arial"/>
                <w:sz w:val="12"/>
                <w:szCs w:val="12"/>
                <w:color w:val="auto"/>
                <w:w w:val="97"/>
              </w:rPr>
              <w:t>22,824</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rPr>
              <w:t>23,377</w:t>
            </w:r>
          </w:p>
        </w:tc>
        <w:tc>
          <w:tcPr>
            <w:tcW w:w="1060" w:type="dxa"/>
            <w:vAlign w:val="bottom"/>
          </w:tcPr>
          <w:p>
            <w:pPr>
              <w:jc w:val="center"/>
              <w:ind w:right="80"/>
              <w:spacing w:after="0"/>
              <w:rPr>
                <w:sz w:val="20"/>
                <w:szCs w:val="20"/>
                <w:color w:val="auto"/>
              </w:rPr>
            </w:pPr>
            <w:r>
              <w:rPr>
                <w:rFonts w:ascii="Arial" w:cs="Arial" w:eastAsia="Arial" w:hAnsi="Arial"/>
                <w:sz w:val="12"/>
                <w:szCs w:val="12"/>
                <w:color w:val="auto"/>
                <w:w w:val="99"/>
              </w:rPr>
              <w:t>553</w:t>
            </w:r>
          </w:p>
        </w:tc>
        <w:tc>
          <w:tcPr>
            <w:tcW w:w="88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color w:val="auto"/>
              </w:rPr>
              <w:t>2.4%</w:t>
            </w:r>
          </w:p>
        </w:tc>
        <w:tc>
          <w:tcPr>
            <w:tcW w:w="1040" w:type="dxa"/>
            <w:vAlign w:val="bottom"/>
          </w:tcPr>
          <w:p>
            <w:pPr>
              <w:jc w:val="center"/>
              <w:ind w:left="220"/>
              <w:spacing w:after="0"/>
              <w:rPr>
                <w:sz w:val="20"/>
                <w:szCs w:val="20"/>
                <w:color w:val="auto"/>
              </w:rPr>
            </w:pPr>
            <w:r>
              <w:rPr>
                <w:rFonts w:ascii="Arial" w:cs="Arial" w:eastAsia="Arial" w:hAnsi="Arial"/>
                <w:sz w:val="12"/>
                <w:szCs w:val="12"/>
                <w:color w:val="auto"/>
                <w:w w:val="97"/>
              </w:rPr>
              <w:t>22,824</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23,411</w:t>
            </w:r>
          </w:p>
        </w:tc>
        <w:tc>
          <w:tcPr>
            <w:tcW w:w="92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587</w:t>
            </w:r>
          </w:p>
        </w:tc>
        <w:tc>
          <w:tcPr>
            <w:tcW w:w="94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57"/>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Consumer</w:t>
            </w:r>
          </w:p>
        </w:tc>
        <w:tc>
          <w:tcPr>
            <w:tcW w:w="740" w:type="dxa"/>
            <w:vAlign w:val="bottom"/>
          </w:tcPr>
          <w:p>
            <w:pPr>
              <w:jc w:val="center"/>
              <w:ind w:left="118"/>
              <w:spacing w:after="0"/>
              <w:rPr>
                <w:sz w:val="20"/>
                <w:szCs w:val="20"/>
                <w:color w:val="auto"/>
              </w:rPr>
            </w:pPr>
            <w:r>
              <w:rPr>
                <w:rFonts w:ascii="Arial" w:cs="Arial" w:eastAsia="Arial" w:hAnsi="Arial"/>
                <w:sz w:val="12"/>
                <w:szCs w:val="12"/>
                <w:color w:val="auto"/>
                <w:w w:val="97"/>
              </w:rPr>
              <w:t>13,446</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rPr>
              <w:t>13,781</w:t>
            </w:r>
          </w:p>
        </w:tc>
        <w:tc>
          <w:tcPr>
            <w:tcW w:w="1060" w:type="dxa"/>
            <w:vAlign w:val="bottom"/>
          </w:tcPr>
          <w:p>
            <w:pPr>
              <w:jc w:val="center"/>
              <w:ind w:right="80"/>
              <w:spacing w:after="0"/>
              <w:rPr>
                <w:sz w:val="20"/>
                <w:szCs w:val="20"/>
                <w:color w:val="auto"/>
              </w:rPr>
            </w:pPr>
            <w:r>
              <w:rPr>
                <w:rFonts w:ascii="Arial" w:cs="Arial" w:eastAsia="Arial" w:hAnsi="Arial"/>
                <w:sz w:val="12"/>
                <w:szCs w:val="12"/>
                <w:color w:val="auto"/>
                <w:w w:val="99"/>
              </w:rPr>
              <w:t>335</w:t>
            </w:r>
          </w:p>
        </w:tc>
        <w:tc>
          <w:tcPr>
            <w:tcW w:w="88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color w:val="auto"/>
              </w:rPr>
              <w:t>2.5%</w:t>
            </w:r>
          </w:p>
        </w:tc>
        <w:tc>
          <w:tcPr>
            <w:tcW w:w="1040" w:type="dxa"/>
            <w:vAlign w:val="bottom"/>
          </w:tcPr>
          <w:p>
            <w:pPr>
              <w:jc w:val="center"/>
              <w:ind w:left="220"/>
              <w:spacing w:after="0"/>
              <w:rPr>
                <w:sz w:val="20"/>
                <w:szCs w:val="20"/>
                <w:color w:val="auto"/>
              </w:rPr>
            </w:pPr>
            <w:r>
              <w:rPr>
                <w:rFonts w:ascii="Arial" w:cs="Arial" w:eastAsia="Arial" w:hAnsi="Arial"/>
                <w:sz w:val="12"/>
                <w:szCs w:val="12"/>
                <w:color w:val="auto"/>
                <w:w w:val="97"/>
              </w:rPr>
              <w:t>13,446</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13,822</w:t>
            </w:r>
          </w:p>
        </w:tc>
        <w:tc>
          <w:tcPr>
            <w:tcW w:w="92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376</w:t>
            </w:r>
          </w:p>
        </w:tc>
        <w:tc>
          <w:tcPr>
            <w:tcW w:w="94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3"/>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Credit Card</w:t>
            </w:r>
          </w:p>
        </w:tc>
        <w:tc>
          <w:tcPr>
            <w:tcW w:w="740" w:type="dxa"/>
            <w:vAlign w:val="bottom"/>
          </w:tcPr>
          <w:p>
            <w:pPr>
              <w:jc w:val="center"/>
              <w:ind w:left="138"/>
              <w:spacing w:after="0"/>
              <w:rPr>
                <w:sz w:val="20"/>
                <w:szCs w:val="20"/>
                <w:color w:val="auto"/>
              </w:rPr>
            </w:pPr>
            <w:r>
              <w:rPr>
                <w:rFonts w:ascii="Arial" w:cs="Arial" w:eastAsia="Arial" w:hAnsi="Arial"/>
                <w:sz w:val="12"/>
                <w:szCs w:val="12"/>
                <w:color w:val="auto"/>
                <w:w w:val="99"/>
              </w:rPr>
              <w:t>6,124</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6,257</w:t>
            </w:r>
          </w:p>
        </w:tc>
        <w:tc>
          <w:tcPr>
            <w:tcW w:w="1060" w:type="dxa"/>
            <w:vAlign w:val="bottom"/>
          </w:tcPr>
          <w:p>
            <w:pPr>
              <w:jc w:val="center"/>
              <w:ind w:right="80"/>
              <w:spacing w:after="0"/>
              <w:rPr>
                <w:sz w:val="20"/>
                <w:szCs w:val="20"/>
                <w:color w:val="auto"/>
              </w:rPr>
            </w:pPr>
            <w:r>
              <w:rPr>
                <w:rFonts w:ascii="Arial" w:cs="Arial" w:eastAsia="Arial" w:hAnsi="Arial"/>
                <w:sz w:val="12"/>
                <w:szCs w:val="12"/>
                <w:color w:val="auto"/>
                <w:w w:val="99"/>
              </w:rPr>
              <w:t>133</w:t>
            </w:r>
          </w:p>
        </w:tc>
        <w:tc>
          <w:tcPr>
            <w:tcW w:w="88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color w:val="auto"/>
              </w:rPr>
              <w:t>2.2%</w:t>
            </w:r>
          </w:p>
        </w:tc>
        <w:tc>
          <w:tcPr>
            <w:tcW w:w="1040" w:type="dxa"/>
            <w:vAlign w:val="bottom"/>
          </w:tcPr>
          <w:p>
            <w:pPr>
              <w:jc w:val="center"/>
              <w:ind w:left="240"/>
              <w:spacing w:after="0"/>
              <w:rPr>
                <w:sz w:val="20"/>
                <w:szCs w:val="20"/>
                <w:color w:val="auto"/>
              </w:rPr>
            </w:pPr>
            <w:r>
              <w:rPr>
                <w:rFonts w:ascii="Arial" w:cs="Arial" w:eastAsia="Arial" w:hAnsi="Arial"/>
                <w:sz w:val="12"/>
                <w:szCs w:val="12"/>
                <w:color w:val="auto"/>
                <w:w w:val="99"/>
              </w:rPr>
              <w:t>6,124</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9"/>
              </w:rPr>
              <w:t>6,278</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154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bottom w:val="single" w:sz="8" w:color="auto"/>
              <w:right w:val="single" w:sz="8" w:color="auto"/>
            </w:tcBorders>
          </w:tcPr>
          <w:p>
            <w:pPr>
              <w:ind w:left="160"/>
              <w:spacing w:after="0" w:line="169" w:lineRule="exact"/>
              <w:rPr>
                <w:sz w:val="20"/>
                <w:szCs w:val="20"/>
                <w:color w:val="auto"/>
              </w:rPr>
            </w:pPr>
            <w:r>
              <w:rPr>
                <w:rFonts w:ascii="Arial" w:cs="Arial" w:eastAsia="Arial" w:hAnsi="Arial"/>
                <w:sz w:val="12"/>
                <w:szCs w:val="12"/>
                <w:b w:val="1"/>
                <w:bCs w:val="1"/>
                <w:color w:val="auto"/>
              </w:rPr>
              <w:t xml:space="preserve">Others </w:t>
            </w:r>
            <w:r>
              <w:rPr>
                <w:rFonts w:ascii="Arial" w:cs="Arial" w:eastAsia="Arial" w:hAnsi="Arial"/>
                <w:sz w:val="19"/>
                <w:szCs w:val="19"/>
                <w:b w:val="1"/>
                <w:bCs w:val="1"/>
                <w:color w:val="auto"/>
                <w:vertAlign w:val="superscript"/>
              </w:rPr>
              <w:t>(1)</w:t>
            </w:r>
          </w:p>
        </w:tc>
        <w:tc>
          <w:tcPr>
            <w:tcW w:w="740" w:type="dxa"/>
            <w:vAlign w:val="bottom"/>
            <w:tcBorders>
              <w:bottom w:val="single" w:sz="8" w:color="auto"/>
            </w:tcBorders>
          </w:tcPr>
          <w:p>
            <w:pPr>
              <w:jc w:val="center"/>
              <w:ind w:left="138"/>
              <w:spacing w:after="0"/>
              <w:rPr>
                <w:sz w:val="20"/>
                <w:szCs w:val="20"/>
                <w:color w:val="auto"/>
              </w:rPr>
            </w:pPr>
            <w:r>
              <w:rPr>
                <w:rFonts w:ascii="Arial" w:cs="Arial" w:eastAsia="Arial" w:hAnsi="Arial"/>
                <w:sz w:val="12"/>
                <w:szCs w:val="12"/>
                <w:b w:val="1"/>
                <w:bCs w:val="1"/>
                <w:color w:val="auto"/>
                <w:w w:val="99"/>
              </w:rPr>
              <w:t>1,797</w:t>
            </w:r>
          </w:p>
        </w:tc>
        <w:tc>
          <w:tcPr>
            <w:tcW w:w="1200" w:type="dxa"/>
            <w:vAlign w:val="bottom"/>
            <w:tcBorders>
              <w:bottom w:val="single" w:sz="8" w:color="auto"/>
              <w:right w:val="single" w:sz="8" w:color="auto"/>
            </w:tcBorders>
          </w:tcPr>
          <w:p>
            <w:pPr>
              <w:jc w:val="center"/>
              <w:ind w:left="120"/>
              <w:spacing w:after="0"/>
              <w:rPr>
                <w:sz w:val="20"/>
                <w:szCs w:val="20"/>
                <w:color w:val="auto"/>
              </w:rPr>
            </w:pPr>
            <w:r>
              <w:rPr>
                <w:rFonts w:ascii="Arial" w:cs="Arial" w:eastAsia="Arial" w:hAnsi="Arial"/>
                <w:sz w:val="12"/>
                <w:szCs w:val="12"/>
                <w:b w:val="1"/>
                <w:bCs w:val="1"/>
                <w:color w:val="auto"/>
                <w:w w:val="99"/>
              </w:rPr>
              <w:t>1,791</w:t>
            </w: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rPr>
              <w:t>-6</w:t>
            </w:r>
          </w:p>
        </w:tc>
        <w:tc>
          <w:tcPr>
            <w:tcW w:w="880" w:type="dxa"/>
            <w:vAlign w:val="bottom"/>
            <w:tcBorders>
              <w:bottom w:val="single" w:sz="8" w:color="auto"/>
              <w:right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rPr>
              <w:t>-0.3%</w:t>
            </w:r>
          </w:p>
        </w:tc>
        <w:tc>
          <w:tcPr>
            <w:tcW w:w="104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b w:val="1"/>
                <w:bCs w:val="1"/>
                <w:color w:val="auto"/>
                <w:w w:val="99"/>
              </w:rPr>
              <w:t>1,797</w:t>
            </w:r>
          </w:p>
        </w:tc>
        <w:tc>
          <w:tcPr>
            <w:tcW w:w="1660" w:type="dxa"/>
            <w:vAlign w:val="bottom"/>
            <w:tcBorders>
              <w:bottom w:val="single" w:sz="8" w:color="auto"/>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9"/>
              </w:rPr>
              <w:t>1,816</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19</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-2392680</wp:posOffset>
            </wp:positionV>
            <wp:extent cx="94488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4880" cy="13716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color w:val="auto"/>
        </w:rPr>
        <w:t>For consolidation purposes, loans generated in Foreign Currency (FC) are converted into Local Currency (LC).</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(1) Includes other assets and accruals.</w:t>
      </w:r>
    </w:p>
    <w:p>
      <w:pPr>
        <w:spacing w:after="0" w:line="6" w:lineRule="exact"/>
        <w:rPr>
          <w:sz w:val="20"/>
          <w:szCs w:val="20"/>
          <w:color w:val="auto"/>
        </w:rPr>
      </w:pPr>
    </w:p>
    <w:p>
      <w:pPr>
        <w:ind w:left="8480" w:right="720"/>
        <w:spacing w:after="0" w:line="311" w:lineRule="auto"/>
        <w:rPr>
          <w:sz w:val="20"/>
          <w:szCs w:val="20"/>
          <w:color w:val="auto"/>
        </w:rPr>
      </w:pPr>
      <w:r>
        <w:rPr>
          <w:rFonts w:ascii="Arial" w:cs="Arial" w:eastAsia="Arial" w:hAnsi="Arial"/>
          <w:sz w:val="10"/>
          <w:szCs w:val="10"/>
          <w:color w:val="auto"/>
        </w:rPr>
        <w:t>Larger contraction in volume Larger expansion in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-187325</wp:posOffset>
            </wp:positionV>
            <wp:extent cx="228600" cy="1447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8600" cy="144780"/>
                    </a:xfrm>
                    <a:prstGeom prst="rect">
                      <a:avLst/>
                    </a:prstGeom>
                    <a:noFill/>
                  </pic:spPr>
                </pic:pic>
              </a:graphicData>
            </a:graphic>
          </wp:anchor>
        </w:drawing>
      </w:r>
    </w:p>
    <w:p>
      <w:pPr>
        <w:sectPr>
          <w:pgSz w:w="11900" w:h="16840" w:orient="portrait"/>
          <w:cols w:equalWidth="0" w:num="1">
            <w:col w:w="10560"/>
          </w:cols>
          <w:pgMar w:left="660" w:top="570" w:right="680" w:bottom="1440" w:gutter="0" w:footer="0" w:header="0"/>
        </w:sectPr>
      </w:pPr>
    </w:p>
    <w:p>
      <w:pPr>
        <w:spacing w:after="0" w:line="111" w:lineRule="exact"/>
        <w:rPr>
          <w:sz w:val="20"/>
          <w:szCs w:val="20"/>
          <w:color w:val="auto"/>
        </w:rPr>
      </w:pPr>
    </w:p>
    <w:p>
      <w:pPr>
        <w:spacing w:after="0" w:line="349" w:lineRule="auto"/>
        <w:rPr>
          <w:sz w:val="20"/>
          <w:szCs w:val="20"/>
          <w:color w:val="auto"/>
        </w:rPr>
      </w:pPr>
      <w:r>
        <w:rPr>
          <w:rFonts w:ascii="Arial" w:cs="Arial" w:eastAsia="Arial" w:hAnsi="Arial"/>
          <w:sz w:val="14"/>
          <w:szCs w:val="14"/>
          <w:b w:val="1"/>
          <w:bCs w:val="1"/>
          <w:color w:val="auto"/>
        </w:rPr>
        <w:t>QoQ</w:t>
      </w:r>
      <w:r>
        <w:rPr>
          <w:rFonts w:ascii="Arial" w:cs="Arial" w:eastAsia="Arial" w:hAnsi="Arial"/>
          <w:sz w:val="14"/>
          <w:szCs w:val="14"/>
          <w:color w:val="auto"/>
        </w:rPr>
        <w:t>, total loans in quarter-end balances at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followed by </w:t>
      </w:r>
      <w:r>
        <w:rPr>
          <w:rFonts w:ascii="Arial" w:cs="Arial" w:eastAsia="Arial" w:hAnsi="Arial"/>
          <w:sz w:val="14"/>
          <w:szCs w:val="14"/>
          <w:b w:val="1"/>
          <w:bCs w:val="1"/>
          <w:color w:val="auto"/>
        </w:rPr>
        <w:t>Wholesale Banking (+1.8%).</w:t>
      </w:r>
      <w:r>
        <w:rPr>
          <w:rFonts w:ascii="Arial" w:cs="Arial" w:eastAsia="Arial" w:hAnsi="Arial"/>
          <w:sz w:val="14"/>
          <w:szCs w:val="14"/>
          <w:color w:val="auto"/>
        </w:rPr>
        <w:t xml:space="preserve"> In</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BCP Stand-alone </w:t>
      </w:r>
      <w:r>
        <w:rPr>
          <w:rFonts w:ascii="Arial" w:cs="Arial" w:eastAsia="Arial" w:hAnsi="Arial"/>
          <w:sz w:val="14"/>
          <w:szCs w:val="14"/>
          <w:color w:val="auto"/>
        </w:rPr>
        <w:t>rose 2.4% in FX neutral terms. This growth was primarily led by</w:t>
      </w:r>
      <w:r>
        <w:rPr>
          <w:rFonts w:ascii="Arial" w:cs="Arial" w:eastAsia="Arial" w:hAnsi="Arial"/>
          <w:sz w:val="14"/>
          <w:szCs w:val="14"/>
          <w:b w:val="1"/>
          <w:bCs w:val="1"/>
          <w:color w:val="auto"/>
        </w:rPr>
        <w:t xml:space="preserve"> Retail Banking (+3.0%)</w:t>
      </w:r>
      <w:r>
        <w:rPr>
          <w:rFonts w:ascii="Arial" w:cs="Arial" w:eastAsia="Arial" w:hAnsi="Arial"/>
          <w:sz w:val="14"/>
          <w:szCs w:val="14"/>
          <w:color w:val="auto"/>
        </w:rPr>
        <w:t>,</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Retail Banking, </w:t>
      </w:r>
      <w:r>
        <w:rPr>
          <w:rFonts w:ascii="Arial" w:cs="Arial" w:eastAsia="Arial" w:hAnsi="Arial"/>
          <w:sz w:val="16"/>
          <w:szCs w:val="16"/>
          <w:color w:val="auto"/>
        </w:rPr>
        <w:t>all segments evolved favorably in QoQ terms as follows:</w:t>
      </w:r>
    </w:p>
    <w:p>
      <w:pPr>
        <w:spacing w:after="0" w:line="148" w:lineRule="exact"/>
        <w:rPr>
          <w:sz w:val="20"/>
          <w:szCs w:val="20"/>
          <w:color w:val="auto"/>
        </w:rPr>
      </w:pPr>
    </w:p>
    <w:p>
      <w:pPr>
        <w:sectPr>
          <w:pgSz w:w="11900" w:h="16840" w:orient="portrait"/>
          <w:cols w:equalWidth="0" w:num="2">
            <w:col w:w="3080" w:space="20"/>
            <w:col w:w="7460"/>
          </w:cols>
          <w:pgMar w:left="660" w:top="570" w:right="680" w:bottom="1440" w:gutter="0" w:footer="0" w:header="0"/>
          <w:type w:val="continuous"/>
        </w:sectPr>
      </w:pPr>
    </w:p>
    <w:p>
      <w:pPr>
        <w:ind w:left="540" w:right="720" w:hanging="246"/>
        <w:spacing w:after="0" w:line="245"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Small businesses</w:t>
      </w:r>
      <w:r>
        <w:rPr>
          <w:rFonts w:ascii="Arial" w:cs="Arial" w:eastAsia="Arial" w:hAnsi="Arial"/>
          <w:sz w:val="16"/>
          <w:szCs w:val="16"/>
          <w:color w:val="auto"/>
        </w:rPr>
        <w:t>, due to growth in disbursements of negotiable invoices and working capital loans in SME-Business and SME-Pyme,</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w:t>
      </w:r>
    </w:p>
    <w:p>
      <w:pPr>
        <w:ind w:left="540" w:hanging="246"/>
        <w:spacing w:after="0" w:line="234"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Mortgage, </w:t>
      </w:r>
      <w:r>
        <w:rPr>
          <w:rFonts w:ascii="Arial" w:cs="Arial" w:eastAsia="Arial" w:hAnsi="Arial"/>
          <w:sz w:val="16"/>
          <w:szCs w:val="16"/>
          <w:color w:val="auto"/>
        </w:rPr>
        <w:t>due to an uptick in demand for loans in a more favorable economic context marked by on-going low interest rates.</w:t>
      </w:r>
    </w:p>
    <w:p>
      <w:pPr>
        <w:ind w:left="540" w:hanging="246"/>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Consumer, </w:t>
      </w:r>
      <w:r>
        <w:rPr>
          <w:rFonts w:ascii="Arial" w:cs="Arial" w:eastAsia="Arial" w:hAnsi="Arial"/>
          <w:sz w:val="16"/>
          <w:szCs w:val="16"/>
          <w:color w:val="auto"/>
        </w:rPr>
        <w:t>driven by growth in disbursements, mainly through BCP and Yape.</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auto"/>
        </w:rPr>
        <w:t>Wholesale Banking</w:t>
      </w:r>
      <w:r>
        <w:rPr>
          <w:rFonts w:ascii="Arial" w:cs="Arial" w:eastAsia="Arial" w:hAnsi="Arial"/>
          <w:sz w:val="16"/>
          <w:szCs w:val="16"/>
          <w:color w:val="auto"/>
        </w:rPr>
        <w:t xml:space="preserve">, growth was driven by </w:t>
      </w:r>
      <w:r>
        <w:rPr>
          <w:rFonts w:ascii="Arial" w:cs="Arial" w:eastAsia="Arial" w:hAnsi="Arial"/>
          <w:sz w:val="16"/>
          <w:szCs w:val="16"/>
          <w:b w:val="1"/>
          <w:bCs w:val="1"/>
          <w:color w:val="auto"/>
        </w:rPr>
        <w:t>Corporate Banking,</w:t>
      </w:r>
      <w:r>
        <w:rPr>
          <w:rFonts w:ascii="Arial" w:cs="Arial" w:eastAsia="Arial" w:hAnsi="Arial"/>
          <w:sz w:val="16"/>
          <w:szCs w:val="16"/>
          <w:color w:val="auto"/>
        </w:rPr>
        <w:t xml:space="preserve"> which reported an uptick in disbursements of medium and long -term loans, primarily for the Energy sector. Growth this quarter was partially offset by a drop in loans in </w:t>
      </w:r>
      <w:r>
        <w:rPr>
          <w:rFonts w:ascii="Arial" w:cs="Arial" w:eastAsia="Arial" w:hAnsi="Arial"/>
          <w:sz w:val="16"/>
          <w:szCs w:val="16"/>
          <w:b w:val="1"/>
          <w:bCs w:val="1"/>
          <w:color w:val="auto"/>
        </w:rPr>
        <w:t>Middle Market Banking</w:t>
      </w:r>
      <w:r>
        <w:rPr>
          <w:rFonts w:ascii="Arial" w:cs="Arial" w:eastAsia="Arial" w:hAnsi="Arial"/>
          <w:sz w:val="16"/>
          <w:szCs w:val="16"/>
          <w:color w:val="auto"/>
        </w:rPr>
        <w:t>, which was impacted by a seasonal effect through amortizations of loans to the fishing sector at the end of the first fishing campaign.</w:t>
      </w:r>
    </w:p>
    <w:p>
      <w:pPr>
        <w:spacing w:after="0" w:line="133"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YoY: Total Loans by Segment at BCP Stand-Alone (in Quarter-end balances)</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14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Total Loans</w:t>
            </w:r>
          </w:p>
        </w:tc>
        <w:tc>
          <w:tcPr>
            <w:tcW w:w="740" w:type="dxa"/>
            <w:vAlign w:val="bottom"/>
            <w:tcBorders>
              <w:top w:val="single" w:sz="8" w:color="auto"/>
            </w:tcBorders>
            <w:shd w:val="clear" w:color="auto" w:fill="33CCCC"/>
          </w:tcPr>
          <w:p>
            <w:pPr>
              <w:spacing w:after="0"/>
              <w:rPr>
                <w:sz w:val="12"/>
                <w:szCs w:val="12"/>
                <w:color w:val="auto"/>
              </w:rPr>
            </w:pPr>
          </w:p>
        </w:tc>
        <w:tc>
          <w:tcPr>
            <w:tcW w:w="1200" w:type="dxa"/>
            <w:vAlign w:val="bottom"/>
            <w:tcBorders>
              <w:top w:val="single" w:sz="8" w:color="auto"/>
              <w:right w:val="single" w:sz="8" w:color="auto"/>
            </w:tcBorders>
            <w:shd w:val="clear" w:color="auto" w:fill="33CCCC"/>
          </w:tcPr>
          <w:p>
            <w:pPr>
              <w:ind w:left="60"/>
              <w:spacing w:after="0"/>
              <w:rPr>
                <w:sz w:val="20"/>
                <w:szCs w:val="20"/>
                <w:color w:val="auto"/>
              </w:rPr>
            </w:pPr>
            <w:r>
              <w:rPr>
                <w:rFonts w:ascii="Arial" w:cs="Arial" w:eastAsia="Arial" w:hAnsi="Arial"/>
                <w:sz w:val="12"/>
                <w:szCs w:val="12"/>
                <w:b w:val="1"/>
                <w:bCs w:val="1"/>
                <w:color w:val="FFFFFF"/>
              </w:rPr>
              <w:t>As of</w:t>
            </w:r>
          </w:p>
        </w:tc>
        <w:tc>
          <w:tcPr>
            <w:tcW w:w="1940" w:type="dxa"/>
            <w:vAlign w:val="bottom"/>
            <w:tcBorders>
              <w:top w:val="single" w:sz="8" w:color="auto"/>
              <w:right w:val="single" w:sz="8" w:color="auto"/>
            </w:tcBorders>
            <w:gridSpan w:val="2"/>
            <w:shd w:val="clear" w:color="auto" w:fill="33CCCC"/>
          </w:tcPr>
          <w:p>
            <w:pPr>
              <w:ind w:left="600"/>
              <w:spacing w:after="0"/>
              <w:rPr>
                <w:sz w:val="20"/>
                <w:szCs w:val="20"/>
                <w:color w:val="auto"/>
              </w:rPr>
            </w:pPr>
            <w:r>
              <w:rPr>
                <w:rFonts w:ascii="Arial" w:cs="Arial" w:eastAsia="Arial" w:hAnsi="Arial"/>
                <w:sz w:val="12"/>
                <w:szCs w:val="12"/>
                <w:b w:val="1"/>
                <w:bCs w:val="1"/>
                <w:color w:val="FFFFFF"/>
              </w:rPr>
              <w:t>YoY Change</w:t>
            </w:r>
          </w:p>
        </w:tc>
        <w:tc>
          <w:tcPr>
            <w:tcW w:w="2700" w:type="dxa"/>
            <w:vAlign w:val="bottom"/>
            <w:tcBorders>
              <w:top w:val="single" w:sz="8" w:color="auto"/>
              <w:right w:val="single" w:sz="8" w:color="auto"/>
            </w:tcBorders>
            <w:gridSpan w:val="2"/>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Balance in Neutral USDPEN</w:t>
            </w:r>
          </w:p>
        </w:tc>
        <w:tc>
          <w:tcPr>
            <w:tcW w:w="1860" w:type="dxa"/>
            <w:vAlign w:val="bottom"/>
            <w:tcBorders>
              <w:top w:val="single" w:sz="8" w:color="auto"/>
              <w:right w:val="single" w:sz="8" w:color="auto"/>
            </w:tcBorders>
            <w:gridSpan w:val="2"/>
            <w:shd w:val="clear" w:color="auto" w:fill="33CCCC"/>
          </w:tcPr>
          <w:p>
            <w:pPr>
              <w:jc w:val="center"/>
              <w:spacing w:after="0"/>
              <w:rPr>
                <w:sz w:val="20"/>
                <w:szCs w:val="20"/>
                <w:color w:val="auto"/>
              </w:rPr>
            </w:pPr>
            <w:r>
              <w:rPr>
                <w:rFonts w:ascii="Arial" w:cs="Arial" w:eastAsia="Arial" w:hAnsi="Arial"/>
                <w:sz w:val="12"/>
                <w:szCs w:val="12"/>
                <w:b w:val="1"/>
                <w:bCs w:val="1"/>
                <w:color w:val="FFFFFF"/>
                <w:w w:val="98"/>
              </w:rPr>
              <w:t>YoY Change</w:t>
            </w:r>
          </w:p>
        </w:tc>
      </w:tr>
      <w:tr>
        <w:trPr>
          <w:trHeight w:val="157"/>
        </w:trPr>
        <w:tc>
          <w:tcPr>
            <w:tcW w:w="214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color w:val="FFFFFF"/>
              </w:rPr>
              <w:t>(S/ Millions)</w:t>
            </w:r>
          </w:p>
        </w:tc>
        <w:tc>
          <w:tcPr>
            <w:tcW w:w="740" w:type="dxa"/>
            <w:vAlign w:val="bottom"/>
            <w:shd w:val="clear" w:color="auto" w:fill="33CCCC"/>
          </w:tcPr>
          <w:p>
            <w:pPr>
              <w:spacing w:after="0"/>
              <w:rPr>
                <w:sz w:val="13"/>
                <w:szCs w:val="13"/>
                <w:color w:val="auto"/>
              </w:rPr>
            </w:pPr>
          </w:p>
        </w:tc>
        <w:tc>
          <w:tcPr>
            <w:tcW w:w="1200" w:type="dxa"/>
            <w:vAlign w:val="bottom"/>
            <w:tcBorders>
              <w:right w:val="single" w:sz="8" w:color="auto"/>
            </w:tcBorders>
            <w:shd w:val="clear" w:color="auto" w:fill="33CCCC"/>
          </w:tcPr>
          <w:p>
            <w:pPr>
              <w:spacing w:after="0"/>
              <w:rPr>
                <w:sz w:val="13"/>
                <w:szCs w:val="13"/>
                <w:color w:val="auto"/>
              </w:rPr>
            </w:pPr>
          </w:p>
        </w:tc>
        <w:tc>
          <w:tcPr>
            <w:tcW w:w="980" w:type="dxa"/>
            <w:vAlign w:val="bottom"/>
            <w:shd w:val="clear" w:color="auto" w:fill="33CCCC"/>
          </w:tcPr>
          <w:p>
            <w:pPr>
              <w:spacing w:after="0"/>
              <w:rPr>
                <w:sz w:val="13"/>
                <w:szCs w:val="13"/>
                <w:color w:val="auto"/>
              </w:rPr>
            </w:pPr>
          </w:p>
        </w:tc>
        <w:tc>
          <w:tcPr>
            <w:tcW w:w="960" w:type="dxa"/>
            <w:vAlign w:val="bottom"/>
            <w:tcBorders>
              <w:right w:val="single" w:sz="8" w:color="auto"/>
            </w:tcBorders>
            <w:shd w:val="clear" w:color="auto" w:fill="33CCCC"/>
          </w:tcPr>
          <w:p>
            <w:pPr>
              <w:spacing w:after="0"/>
              <w:rPr>
                <w:sz w:val="13"/>
                <w:szCs w:val="13"/>
                <w:color w:val="auto"/>
              </w:rPr>
            </w:pPr>
          </w:p>
        </w:tc>
        <w:tc>
          <w:tcPr>
            <w:tcW w:w="1040" w:type="dxa"/>
            <w:vAlign w:val="bottom"/>
            <w:shd w:val="clear" w:color="auto" w:fill="33CCCC"/>
          </w:tcPr>
          <w:p>
            <w:pPr>
              <w:spacing w:after="0"/>
              <w:rPr>
                <w:sz w:val="13"/>
                <w:szCs w:val="13"/>
                <w:color w:val="auto"/>
              </w:rPr>
            </w:pPr>
          </w:p>
        </w:tc>
        <w:tc>
          <w:tcPr>
            <w:tcW w:w="1660" w:type="dxa"/>
            <w:vAlign w:val="bottom"/>
            <w:tcBorders>
              <w:right w:val="single" w:sz="8" w:color="auto"/>
            </w:tcBorders>
            <w:shd w:val="clear" w:color="auto" w:fill="33CCCC"/>
          </w:tcPr>
          <w:p>
            <w:pPr>
              <w:jc w:val="center"/>
              <w:ind w:right="1020"/>
              <w:spacing w:after="0"/>
              <w:rPr>
                <w:sz w:val="20"/>
                <w:szCs w:val="20"/>
                <w:color w:val="auto"/>
              </w:rPr>
            </w:pPr>
            <w:r>
              <w:rPr>
                <w:rFonts w:ascii="Arial" w:cs="Arial" w:eastAsia="Arial" w:hAnsi="Arial"/>
                <w:sz w:val="12"/>
                <w:szCs w:val="12"/>
                <w:b w:val="1"/>
                <w:bCs w:val="1"/>
                <w:color w:val="FFFFFF"/>
                <w:w w:val="99"/>
              </w:rPr>
              <w:t>As of</w:t>
            </w:r>
          </w:p>
        </w:tc>
        <w:tc>
          <w:tcPr>
            <w:tcW w:w="1860" w:type="dxa"/>
            <w:vAlign w:val="bottom"/>
            <w:tcBorders>
              <w:right w:val="single" w:sz="8" w:color="auto"/>
            </w:tcBorders>
            <w:gridSpan w:val="2"/>
            <w:shd w:val="clear" w:color="auto" w:fill="33CCCC"/>
          </w:tcPr>
          <w:p>
            <w:pPr>
              <w:jc w:val="center"/>
              <w:spacing w:after="0"/>
              <w:rPr>
                <w:sz w:val="20"/>
                <w:szCs w:val="20"/>
                <w:color w:val="auto"/>
              </w:rPr>
            </w:pPr>
            <w:r>
              <w:rPr>
                <w:rFonts w:ascii="Arial" w:cs="Arial" w:eastAsia="Arial" w:hAnsi="Arial"/>
                <w:sz w:val="12"/>
                <w:szCs w:val="12"/>
                <w:b w:val="1"/>
                <w:bCs w:val="1"/>
                <w:color w:val="FFFFFF"/>
              </w:rPr>
              <w:t>in Neutral USDPEN</w:t>
            </w:r>
          </w:p>
        </w:tc>
      </w:tr>
      <w:tr>
        <w:trPr>
          <w:trHeight w:val="156"/>
        </w:trPr>
        <w:tc>
          <w:tcPr>
            <w:tcW w:w="2140" w:type="dxa"/>
            <w:vAlign w:val="bottom"/>
            <w:tcBorders>
              <w:left w:val="single" w:sz="8" w:color="auto"/>
              <w:right w:val="single" w:sz="8" w:color="auto"/>
            </w:tcBorders>
            <w:shd w:val="clear" w:color="auto" w:fill="33CCCC"/>
          </w:tcPr>
          <w:p>
            <w:pPr>
              <w:spacing w:after="0"/>
              <w:rPr>
                <w:sz w:val="13"/>
                <w:szCs w:val="13"/>
                <w:color w:val="auto"/>
              </w:rPr>
            </w:pPr>
          </w:p>
        </w:tc>
        <w:tc>
          <w:tcPr>
            <w:tcW w:w="740" w:type="dxa"/>
            <w:vAlign w:val="bottom"/>
            <w:shd w:val="clear" w:color="auto" w:fill="33CCCC"/>
          </w:tcPr>
          <w:p>
            <w:pPr>
              <w:ind w:left="280"/>
              <w:spacing w:after="0"/>
              <w:rPr>
                <w:sz w:val="20"/>
                <w:szCs w:val="20"/>
                <w:color w:val="auto"/>
              </w:rPr>
            </w:pPr>
            <w:r>
              <w:rPr>
                <w:rFonts w:ascii="Arial" w:cs="Arial" w:eastAsia="Arial" w:hAnsi="Arial"/>
                <w:sz w:val="12"/>
                <w:szCs w:val="12"/>
                <w:b w:val="1"/>
                <w:bCs w:val="1"/>
                <w:color w:val="FFFFFF"/>
              </w:rPr>
              <w:t>Sep 24</w:t>
            </w:r>
          </w:p>
        </w:tc>
        <w:tc>
          <w:tcPr>
            <w:tcW w:w="1200" w:type="dxa"/>
            <w:vAlign w:val="bottom"/>
            <w:tcBorders>
              <w:right w:val="single" w:sz="8" w:color="auto"/>
            </w:tcBorders>
            <w:shd w:val="clear" w:color="auto" w:fill="33CCCC"/>
          </w:tcPr>
          <w:p>
            <w:pPr>
              <w:ind w:left="500"/>
              <w:spacing w:after="0"/>
              <w:rPr>
                <w:sz w:val="20"/>
                <w:szCs w:val="20"/>
                <w:color w:val="auto"/>
              </w:rPr>
            </w:pPr>
            <w:r>
              <w:rPr>
                <w:rFonts w:ascii="Arial" w:cs="Arial" w:eastAsia="Arial" w:hAnsi="Arial"/>
                <w:sz w:val="12"/>
                <w:szCs w:val="12"/>
                <w:b w:val="1"/>
                <w:bCs w:val="1"/>
                <w:color w:val="FFFFFF"/>
              </w:rPr>
              <w:t>Sep 25</w:t>
            </w:r>
          </w:p>
        </w:tc>
        <w:tc>
          <w:tcPr>
            <w:tcW w:w="980" w:type="dxa"/>
            <w:vAlign w:val="bottom"/>
            <w:shd w:val="clear" w:color="auto" w:fill="33CCCC"/>
          </w:tcPr>
          <w:p>
            <w:pPr>
              <w:ind w:left="240"/>
              <w:spacing w:after="0"/>
              <w:rPr>
                <w:sz w:val="20"/>
                <w:szCs w:val="20"/>
                <w:color w:val="auto"/>
              </w:rPr>
            </w:pPr>
            <w:r>
              <w:rPr>
                <w:rFonts w:ascii="Arial" w:cs="Arial" w:eastAsia="Arial" w:hAnsi="Arial"/>
                <w:sz w:val="12"/>
                <w:szCs w:val="12"/>
                <w:b w:val="1"/>
                <w:bCs w:val="1"/>
                <w:color w:val="FFFFFF"/>
              </w:rPr>
              <w:t>Volume</w:t>
            </w:r>
          </w:p>
        </w:tc>
        <w:tc>
          <w:tcPr>
            <w:tcW w:w="960" w:type="dxa"/>
            <w:vAlign w:val="bottom"/>
            <w:tcBorders>
              <w:right w:val="single" w:sz="8" w:color="auto"/>
            </w:tcBorders>
            <w:shd w:val="clear" w:color="auto" w:fill="33CCCC"/>
          </w:tcPr>
          <w:p>
            <w:pPr>
              <w:jc w:val="center"/>
              <w:ind w:right="20"/>
              <w:spacing w:after="0"/>
              <w:rPr>
                <w:sz w:val="20"/>
                <w:szCs w:val="20"/>
                <w:color w:val="auto"/>
              </w:rPr>
            </w:pPr>
            <w:r>
              <w:rPr>
                <w:rFonts w:ascii="Arial" w:cs="Arial" w:eastAsia="Arial" w:hAnsi="Arial"/>
                <w:sz w:val="12"/>
                <w:szCs w:val="12"/>
                <w:b w:val="1"/>
                <w:bCs w:val="1"/>
                <w:color w:val="FFFFFF"/>
              </w:rPr>
              <w:t>%</w:t>
            </w:r>
          </w:p>
        </w:tc>
        <w:tc>
          <w:tcPr>
            <w:tcW w:w="1040" w:type="dxa"/>
            <w:vAlign w:val="bottom"/>
            <w:shd w:val="clear" w:color="auto" w:fill="33CCCC"/>
          </w:tcPr>
          <w:p>
            <w:pPr>
              <w:ind w:left="480"/>
              <w:spacing w:after="0"/>
              <w:rPr>
                <w:sz w:val="20"/>
                <w:szCs w:val="20"/>
                <w:color w:val="auto"/>
              </w:rPr>
            </w:pPr>
            <w:r>
              <w:rPr>
                <w:rFonts w:ascii="Arial" w:cs="Arial" w:eastAsia="Arial" w:hAnsi="Arial"/>
                <w:sz w:val="12"/>
                <w:szCs w:val="12"/>
                <w:b w:val="1"/>
                <w:bCs w:val="1"/>
                <w:color w:val="FFFFFF"/>
              </w:rPr>
              <w:t>Sep 24</w:t>
            </w:r>
          </w:p>
        </w:tc>
        <w:tc>
          <w:tcPr>
            <w:tcW w:w="1660" w:type="dxa"/>
            <w:vAlign w:val="bottom"/>
            <w:tcBorders>
              <w:right w:val="single" w:sz="8" w:color="auto"/>
            </w:tcBorders>
            <w:shd w:val="clear" w:color="auto" w:fill="33CCCC"/>
          </w:tcPr>
          <w:p>
            <w:pPr>
              <w:ind w:left="780"/>
              <w:spacing w:after="0"/>
              <w:rPr>
                <w:sz w:val="20"/>
                <w:szCs w:val="20"/>
                <w:color w:val="auto"/>
              </w:rPr>
            </w:pPr>
            <w:r>
              <w:rPr>
                <w:rFonts w:ascii="Arial" w:cs="Arial" w:eastAsia="Arial" w:hAnsi="Arial"/>
                <w:sz w:val="12"/>
                <w:szCs w:val="12"/>
                <w:b w:val="1"/>
                <w:bCs w:val="1"/>
                <w:color w:val="FFFFFF"/>
              </w:rPr>
              <w:t>Sep 25</w:t>
            </w:r>
          </w:p>
        </w:tc>
        <w:tc>
          <w:tcPr>
            <w:tcW w:w="920" w:type="dxa"/>
            <w:vAlign w:val="bottom"/>
            <w:shd w:val="clear" w:color="auto" w:fill="33CCCC"/>
          </w:tcPr>
          <w:p>
            <w:pPr>
              <w:ind w:left="240"/>
              <w:spacing w:after="0"/>
              <w:rPr>
                <w:sz w:val="20"/>
                <w:szCs w:val="20"/>
                <w:color w:val="auto"/>
              </w:rPr>
            </w:pPr>
            <w:r>
              <w:rPr>
                <w:rFonts w:ascii="Arial" w:cs="Arial" w:eastAsia="Arial" w:hAnsi="Arial"/>
                <w:sz w:val="12"/>
                <w:szCs w:val="12"/>
                <w:b w:val="1"/>
                <w:bCs w:val="1"/>
                <w:color w:val="FFFFFF"/>
              </w:rPr>
              <w:t>Volume</w:t>
            </w:r>
          </w:p>
        </w:tc>
        <w:tc>
          <w:tcPr>
            <w:tcW w:w="940" w:type="dxa"/>
            <w:vAlign w:val="bottom"/>
            <w:tcBorders>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w:t>
            </w:r>
          </w:p>
        </w:tc>
      </w:tr>
      <w:tr>
        <w:trPr>
          <w:trHeight w:val="155"/>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BCP Stand-alone</w:t>
            </w:r>
          </w:p>
        </w:tc>
        <w:tc>
          <w:tcPr>
            <w:tcW w:w="740" w:type="dxa"/>
            <w:vAlign w:val="bottom"/>
          </w:tcPr>
          <w:p>
            <w:pPr>
              <w:jc w:val="center"/>
              <w:ind w:left="120"/>
              <w:spacing w:after="0"/>
              <w:rPr>
                <w:sz w:val="20"/>
                <w:szCs w:val="20"/>
                <w:color w:val="auto"/>
              </w:rPr>
            </w:pPr>
            <w:r>
              <w:rPr>
                <w:rFonts w:ascii="Arial" w:cs="Arial" w:eastAsia="Arial" w:hAnsi="Arial"/>
                <w:sz w:val="12"/>
                <w:szCs w:val="12"/>
                <w:b w:val="1"/>
                <w:bCs w:val="1"/>
                <w:color w:val="auto"/>
              </w:rPr>
              <w:t>117,687</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b w:val="1"/>
                <w:bCs w:val="1"/>
                <w:color w:val="auto"/>
                <w:w w:val="96"/>
              </w:rPr>
              <w:t>123,089</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9"/>
              </w:rPr>
              <w:t>5,402</w:t>
            </w:r>
          </w:p>
        </w:tc>
        <w:tc>
          <w:tcPr>
            <w:tcW w:w="96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b w:val="1"/>
                <w:bCs w:val="1"/>
                <w:color w:val="auto"/>
              </w:rPr>
              <w:t>4.6%</w:t>
            </w:r>
          </w:p>
        </w:tc>
        <w:tc>
          <w:tcPr>
            <w:tcW w:w="1040" w:type="dxa"/>
            <w:vAlign w:val="bottom"/>
          </w:tcPr>
          <w:p>
            <w:pPr>
              <w:jc w:val="center"/>
              <w:ind w:left="220"/>
              <w:spacing w:after="0"/>
              <w:rPr>
                <w:sz w:val="20"/>
                <w:szCs w:val="20"/>
                <w:color w:val="auto"/>
              </w:rPr>
            </w:pPr>
            <w:r>
              <w:rPr>
                <w:rFonts w:ascii="Arial" w:cs="Arial" w:eastAsia="Arial" w:hAnsi="Arial"/>
                <w:sz w:val="12"/>
                <w:szCs w:val="12"/>
                <w:b w:val="1"/>
                <w:bCs w:val="1"/>
                <w:color w:val="auto"/>
              </w:rPr>
              <w:t>117,687</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6"/>
              </w:rPr>
              <w:t>125,873</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9"/>
              </w:rPr>
              <w:t>8,186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7.0%</w:t>
            </w:r>
          </w:p>
        </w:tc>
      </w:tr>
      <w:tr>
        <w:trPr>
          <w:trHeight w:val="157"/>
        </w:trPr>
        <w:tc>
          <w:tcPr>
            <w:tcW w:w="21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Wholesale Banking</w:t>
            </w:r>
          </w:p>
        </w:tc>
        <w:tc>
          <w:tcPr>
            <w:tcW w:w="740" w:type="dxa"/>
            <w:vAlign w:val="bottom"/>
          </w:tcPr>
          <w:p>
            <w:pPr>
              <w:jc w:val="center"/>
              <w:ind w:left="120"/>
              <w:spacing w:after="0"/>
              <w:rPr>
                <w:sz w:val="20"/>
                <w:szCs w:val="20"/>
                <w:color w:val="auto"/>
              </w:rPr>
            </w:pPr>
            <w:r>
              <w:rPr>
                <w:rFonts w:ascii="Arial" w:cs="Arial" w:eastAsia="Arial" w:hAnsi="Arial"/>
                <w:sz w:val="12"/>
                <w:szCs w:val="12"/>
                <w:b w:val="1"/>
                <w:bCs w:val="1"/>
                <w:color w:val="auto"/>
                <w:w w:val="97"/>
              </w:rPr>
              <w:t>51,663</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b w:val="1"/>
                <w:bCs w:val="1"/>
                <w:color w:val="auto"/>
              </w:rPr>
              <w:t>53,340</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9"/>
              </w:rPr>
              <w:t>1,677</w:t>
            </w:r>
          </w:p>
        </w:tc>
        <w:tc>
          <w:tcPr>
            <w:tcW w:w="96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b w:val="1"/>
                <w:bCs w:val="1"/>
                <w:color w:val="auto"/>
              </w:rPr>
              <w:t>3.2%</w:t>
            </w:r>
          </w:p>
        </w:tc>
        <w:tc>
          <w:tcPr>
            <w:tcW w:w="1040" w:type="dxa"/>
            <w:vAlign w:val="bottom"/>
          </w:tcPr>
          <w:p>
            <w:pPr>
              <w:jc w:val="center"/>
              <w:ind w:left="220"/>
              <w:spacing w:after="0"/>
              <w:rPr>
                <w:sz w:val="20"/>
                <w:szCs w:val="20"/>
                <w:color w:val="auto"/>
              </w:rPr>
            </w:pPr>
            <w:r>
              <w:rPr>
                <w:rFonts w:ascii="Arial" w:cs="Arial" w:eastAsia="Arial" w:hAnsi="Arial"/>
                <w:sz w:val="12"/>
                <w:szCs w:val="12"/>
                <w:b w:val="1"/>
                <w:bCs w:val="1"/>
                <w:color w:val="auto"/>
                <w:w w:val="97"/>
              </w:rPr>
              <w:t>51,663</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rPr>
              <w:t>55,470</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9"/>
              </w:rPr>
              <w:t>3,807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7.4%</w:t>
            </w:r>
          </w:p>
        </w:tc>
      </w:tr>
      <w:tr>
        <w:trPr>
          <w:trHeight w:val="156"/>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Corporate</w:t>
            </w:r>
          </w:p>
        </w:tc>
        <w:tc>
          <w:tcPr>
            <w:tcW w:w="740" w:type="dxa"/>
            <w:vAlign w:val="bottom"/>
          </w:tcPr>
          <w:p>
            <w:pPr>
              <w:jc w:val="center"/>
              <w:ind w:left="120"/>
              <w:spacing w:after="0"/>
              <w:rPr>
                <w:sz w:val="20"/>
                <w:szCs w:val="20"/>
                <w:color w:val="auto"/>
              </w:rPr>
            </w:pPr>
            <w:r>
              <w:rPr>
                <w:rFonts w:ascii="Arial" w:cs="Arial" w:eastAsia="Arial" w:hAnsi="Arial"/>
                <w:sz w:val="12"/>
                <w:szCs w:val="12"/>
                <w:color w:val="auto"/>
                <w:w w:val="97"/>
              </w:rPr>
              <w:t>31,383</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rPr>
              <w:t>31,485</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102</w:t>
            </w:r>
          </w:p>
        </w:tc>
        <w:tc>
          <w:tcPr>
            <w:tcW w:w="96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color w:val="auto"/>
              </w:rPr>
              <w:t>0.3%</w:t>
            </w:r>
          </w:p>
        </w:tc>
        <w:tc>
          <w:tcPr>
            <w:tcW w:w="1040" w:type="dxa"/>
            <w:vAlign w:val="bottom"/>
          </w:tcPr>
          <w:p>
            <w:pPr>
              <w:jc w:val="center"/>
              <w:ind w:left="220"/>
              <w:spacing w:after="0"/>
              <w:rPr>
                <w:sz w:val="20"/>
                <w:szCs w:val="20"/>
                <w:color w:val="auto"/>
              </w:rPr>
            </w:pPr>
            <w:r>
              <w:rPr>
                <w:rFonts w:ascii="Arial" w:cs="Arial" w:eastAsia="Arial" w:hAnsi="Arial"/>
                <w:sz w:val="12"/>
                <w:szCs w:val="12"/>
                <w:color w:val="auto"/>
                <w:w w:val="97"/>
              </w:rPr>
              <w:t>31,383</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32,746</w:t>
            </w:r>
          </w:p>
        </w:tc>
        <w:tc>
          <w:tcPr>
            <w:tcW w:w="92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1,363</w:t>
            </w:r>
          </w:p>
        </w:tc>
        <w:tc>
          <w:tcPr>
            <w:tcW w:w="94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color w:val="auto"/>
              </w:rPr>
              <w:t>4.3%</w:t>
            </w:r>
          </w:p>
        </w:tc>
      </w:tr>
      <w:tr>
        <w:trPr>
          <w:trHeight w:val="156"/>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Middle - Market</w:t>
            </w:r>
          </w:p>
        </w:tc>
        <w:tc>
          <w:tcPr>
            <w:tcW w:w="740" w:type="dxa"/>
            <w:vAlign w:val="bottom"/>
          </w:tcPr>
          <w:p>
            <w:pPr>
              <w:jc w:val="center"/>
              <w:ind w:left="120"/>
              <w:spacing w:after="0"/>
              <w:rPr>
                <w:sz w:val="20"/>
                <w:szCs w:val="20"/>
                <w:color w:val="auto"/>
              </w:rPr>
            </w:pPr>
            <w:r>
              <w:rPr>
                <w:rFonts w:ascii="Arial" w:cs="Arial" w:eastAsia="Arial" w:hAnsi="Arial"/>
                <w:sz w:val="12"/>
                <w:szCs w:val="12"/>
                <w:color w:val="auto"/>
                <w:w w:val="97"/>
              </w:rPr>
              <w:t>20,280</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rPr>
              <w:t>21,855</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1,575</w:t>
            </w:r>
          </w:p>
        </w:tc>
        <w:tc>
          <w:tcPr>
            <w:tcW w:w="96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color w:val="auto"/>
              </w:rPr>
              <w:t>7.8%</w:t>
            </w:r>
          </w:p>
        </w:tc>
        <w:tc>
          <w:tcPr>
            <w:tcW w:w="1040" w:type="dxa"/>
            <w:vAlign w:val="bottom"/>
          </w:tcPr>
          <w:p>
            <w:pPr>
              <w:jc w:val="center"/>
              <w:ind w:left="220"/>
              <w:spacing w:after="0"/>
              <w:rPr>
                <w:sz w:val="20"/>
                <w:szCs w:val="20"/>
                <w:color w:val="auto"/>
              </w:rPr>
            </w:pPr>
            <w:r>
              <w:rPr>
                <w:rFonts w:ascii="Arial" w:cs="Arial" w:eastAsia="Arial" w:hAnsi="Arial"/>
                <w:sz w:val="12"/>
                <w:szCs w:val="12"/>
                <w:color w:val="auto"/>
                <w:w w:val="97"/>
              </w:rPr>
              <w:t>20,280</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22,724</w:t>
            </w:r>
          </w:p>
        </w:tc>
        <w:tc>
          <w:tcPr>
            <w:tcW w:w="92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2,444</w:t>
            </w:r>
          </w:p>
        </w:tc>
        <w:tc>
          <w:tcPr>
            <w:tcW w:w="94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color w:val="auto"/>
                <w:w w:val="99"/>
              </w:rPr>
              <w:t>12.1%</w:t>
            </w:r>
          </w:p>
        </w:tc>
      </w:tr>
      <w:tr>
        <w:trPr>
          <w:trHeight w:val="155"/>
        </w:trPr>
        <w:tc>
          <w:tcPr>
            <w:tcW w:w="21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Retail Banking</w:t>
            </w:r>
          </w:p>
        </w:tc>
        <w:tc>
          <w:tcPr>
            <w:tcW w:w="740" w:type="dxa"/>
            <w:vAlign w:val="bottom"/>
          </w:tcPr>
          <w:p>
            <w:pPr>
              <w:jc w:val="center"/>
              <w:ind w:left="120"/>
              <w:spacing w:after="0"/>
              <w:rPr>
                <w:sz w:val="20"/>
                <w:szCs w:val="20"/>
                <w:color w:val="auto"/>
              </w:rPr>
            </w:pPr>
            <w:r>
              <w:rPr>
                <w:rFonts w:ascii="Arial" w:cs="Arial" w:eastAsia="Arial" w:hAnsi="Arial"/>
                <w:sz w:val="12"/>
                <w:szCs w:val="12"/>
                <w:b w:val="1"/>
                <w:bCs w:val="1"/>
                <w:color w:val="auto"/>
                <w:w w:val="97"/>
              </w:rPr>
              <w:t>64,384</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b w:val="1"/>
                <w:bCs w:val="1"/>
                <w:color w:val="auto"/>
              </w:rPr>
              <w:t>67,958</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9"/>
              </w:rPr>
              <w:t>3,574</w:t>
            </w:r>
          </w:p>
        </w:tc>
        <w:tc>
          <w:tcPr>
            <w:tcW w:w="96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b w:val="1"/>
                <w:bCs w:val="1"/>
                <w:color w:val="auto"/>
              </w:rPr>
              <w:t>5.6%</w:t>
            </w:r>
          </w:p>
        </w:tc>
        <w:tc>
          <w:tcPr>
            <w:tcW w:w="1040" w:type="dxa"/>
            <w:vAlign w:val="bottom"/>
          </w:tcPr>
          <w:p>
            <w:pPr>
              <w:jc w:val="center"/>
              <w:ind w:left="220"/>
              <w:spacing w:after="0"/>
              <w:rPr>
                <w:sz w:val="20"/>
                <w:szCs w:val="20"/>
                <w:color w:val="auto"/>
              </w:rPr>
            </w:pPr>
            <w:r>
              <w:rPr>
                <w:rFonts w:ascii="Arial" w:cs="Arial" w:eastAsia="Arial" w:hAnsi="Arial"/>
                <w:sz w:val="12"/>
                <w:szCs w:val="12"/>
                <w:b w:val="1"/>
                <w:bCs w:val="1"/>
                <w:color w:val="auto"/>
                <w:w w:val="97"/>
              </w:rPr>
              <w:t>64,384</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rPr>
              <w:t>68,528</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9"/>
              </w:rPr>
              <w:t>4,144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6.4%</w:t>
            </w:r>
          </w:p>
        </w:tc>
      </w:tr>
      <w:tr>
        <w:trPr>
          <w:trHeight w:val="156"/>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SME - Business</w:t>
            </w:r>
          </w:p>
        </w:tc>
        <w:tc>
          <w:tcPr>
            <w:tcW w:w="740" w:type="dxa"/>
            <w:vAlign w:val="bottom"/>
          </w:tcPr>
          <w:p>
            <w:pPr>
              <w:jc w:val="center"/>
              <w:ind w:left="140"/>
              <w:spacing w:after="0"/>
              <w:rPr>
                <w:sz w:val="20"/>
                <w:szCs w:val="20"/>
                <w:color w:val="auto"/>
              </w:rPr>
            </w:pPr>
            <w:r>
              <w:rPr>
                <w:rFonts w:ascii="Arial" w:cs="Arial" w:eastAsia="Arial" w:hAnsi="Arial"/>
                <w:sz w:val="12"/>
                <w:szCs w:val="12"/>
                <w:color w:val="auto"/>
                <w:w w:val="99"/>
              </w:rPr>
              <w:t>7,912</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8,097</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184</w:t>
            </w:r>
          </w:p>
        </w:tc>
        <w:tc>
          <w:tcPr>
            <w:tcW w:w="96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color w:val="auto"/>
              </w:rPr>
              <w:t>2.3%</w:t>
            </w:r>
          </w:p>
        </w:tc>
        <w:tc>
          <w:tcPr>
            <w:tcW w:w="1040" w:type="dxa"/>
            <w:vAlign w:val="bottom"/>
          </w:tcPr>
          <w:p>
            <w:pPr>
              <w:jc w:val="center"/>
              <w:ind w:left="240"/>
              <w:spacing w:after="0"/>
              <w:rPr>
                <w:sz w:val="20"/>
                <w:szCs w:val="20"/>
                <w:color w:val="auto"/>
              </w:rPr>
            </w:pPr>
            <w:r>
              <w:rPr>
                <w:rFonts w:ascii="Arial" w:cs="Arial" w:eastAsia="Arial" w:hAnsi="Arial"/>
                <w:sz w:val="12"/>
                <w:szCs w:val="12"/>
                <w:color w:val="auto"/>
                <w:w w:val="99"/>
              </w:rPr>
              <w:t>7,912</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9"/>
              </w:rPr>
              <w:t>8,337</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425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5.4%</w:t>
            </w:r>
          </w:p>
        </w:tc>
      </w:tr>
      <w:tr>
        <w:trPr>
          <w:trHeight w:val="157"/>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SME - Pyme</w:t>
            </w:r>
          </w:p>
        </w:tc>
        <w:tc>
          <w:tcPr>
            <w:tcW w:w="740" w:type="dxa"/>
            <w:vAlign w:val="bottom"/>
          </w:tcPr>
          <w:p>
            <w:pPr>
              <w:jc w:val="center"/>
              <w:ind w:left="120"/>
              <w:spacing w:after="0"/>
              <w:rPr>
                <w:sz w:val="20"/>
                <w:szCs w:val="20"/>
                <w:color w:val="auto"/>
              </w:rPr>
            </w:pPr>
            <w:r>
              <w:rPr>
                <w:rFonts w:ascii="Arial" w:cs="Arial" w:eastAsia="Arial" w:hAnsi="Arial"/>
                <w:sz w:val="12"/>
                <w:szCs w:val="12"/>
                <w:color w:val="auto"/>
                <w:w w:val="97"/>
              </w:rPr>
              <w:t>16,268</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rPr>
              <w:t>16,447</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178</w:t>
            </w:r>
          </w:p>
        </w:tc>
        <w:tc>
          <w:tcPr>
            <w:tcW w:w="96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color w:val="auto"/>
              </w:rPr>
              <w:t>1.1%</w:t>
            </w:r>
          </w:p>
        </w:tc>
        <w:tc>
          <w:tcPr>
            <w:tcW w:w="1040" w:type="dxa"/>
            <w:vAlign w:val="bottom"/>
          </w:tcPr>
          <w:p>
            <w:pPr>
              <w:jc w:val="center"/>
              <w:ind w:left="220"/>
              <w:spacing w:after="0"/>
              <w:rPr>
                <w:sz w:val="20"/>
                <w:szCs w:val="20"/>
                <w:color w:val="auto"/>
              </w:rPr>
            </w:pPr>
            <w:r>
              <w:rPr>
                <w:rFonts w:ascii="Arial" w:cs="Arial" w:eastAsia="Arial" w:hAnsi="Arial"/>
                <w:sz w:val="12"/>
                <w:szCs w:val="12"/>
                <w:color w:val="auto"/>
                <w:w w:val="97"/>
              </w:rPr>
              <w:t>16,268</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16,456</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188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1.2%</w:t>
            </w:r>
          </w:p>
        </w:tc>
      </w:tr>
      <w:tr>
        <w:trPr>
          <w:trHeight w:val="156"/>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Mortgage</w:t>
            </w:r>
          </w:p>
        </w:tc>
        <w:tc>
          <w:tcPr>
            <w:tcW w:w="740" w:type="dxa"/>
            <w:vAlign w:val="bottom"/>
          </w:tcPr>
          <w:p>
            <w:pPr>
              <w:jc w:val="center"/>
              <w:ind w:left="120"/>
              <w:spacing w:after="0"/>
              <w:rPr>
                <w:sz w:val="20"/>
                <w:szCs w:val="20"/>
                <w:color w:val="auto"/>
              </w:rPr>
            </w:pPr>
            <w:r>
              <w:rPr>
                <w:rFonts w:ascii="Arial" w:cs="Arial" w:eastAsia="Arial" w:hAnsi="Arial"/>
                <w:sz w:val="12"/>
                <w:szCs w:val="12"/>
                <w:color w:val="auto"/>
                <w:w w:val="97"/>
              </w:rPr>
              <w:t>21,614</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rPr>
              <w:t>23,377</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1,764</w:t>
            </w:r>
          </w:p>
        </w:tc>
        <w:tc>
          <w:tcPr>
            <w:tcW w:w="96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color w:val="auto"/>
              </w:rPr>
              <w:t>8.2%</w:t>
            </w:r>
          </w:p>
        </w:tc>
        <w:tc>
          <w:tcPr>
            <w:tcW w:w="1040" w:type="dxa"/>
            <w:vAlign w:val="bottom"/>
          </w:tcPr>
          <w:p>
            <w:pPr>
              <w:jc w:val="center"/>
              <w:ind w:left="220"/>
              <w:spacing w:after="0"/>
              <w:rPr>
                <w:sz w:val="20"/>
                <w:szCs w:val="20"/>
                <w:color w:val="auto"/>
              </w:rPr>
            </w:pPr>
            <w:r>
              <w:rPr>
                <w:rFonts w:ascii="Arial" w:cs="Arial" w:eastAsia="Arial" w:hAnsi="Arial"/>
                <w:sz w:val="12"/>
                <w:szCs w:val="12"/>
                <w:color w:val="auto"/>
                <w:w w:val="97"/>
              </w:rPr>
              <w:t>21,614</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23,490</w:t>
            </w:r>
          </w:p>
        </w:tc>
        <w:tc>
          <w:tcPr>
            <w:tcW w:w="92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1,876</w:t>
            </w:r>
          </w:p>
        </w:tc>
        <w:tc>
          <w:tcPr>
            <w:tcW w:w="94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color w:val="auto"/>
              </w:rPr>
              <w:t>8.7%</w:t>
            </w:r>
          </w:p>
        </w:tc>
      </w:tr>
      <w:tr>
        <w:trPr>
          <w:trHeight w:val="156"/>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Consumer</w:t>
            </w:r>
          </w:p>
        </w:tc>
        <w:tc>
          <w:tcPr>
            <w:tcW w:w="740" w:type="dxa"/>
            <w:vAlign w:val="bottom"/>
          </w:tcPr>
          <w:p>
            <w:pPr>
              <w:jc w:val="center"/>
              <w:ind w:left="120"/>
              <w:spacing w:after="0"/>
              <w:rPr>
                <w:sz w:val="20"/>
                <w:szCs w:val="20"/>
                <w:color w:val="auto"/>
              </w:rPr>
            </w:pPr>
            <w:r>
              <w:rPr>
                <w:rFonts w:ascii="Arial" w:cs="Arial" w:eastAsia="Arial" w:hAnsi="Arial"/>
                <w:sz w:val="12"/>
                <w:szCs w:val="12"/>
                <w:color w:val="auto"/>
                <w:w w:val="97"/>
              </w:rPr>
              <w:t>12,709</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rPr>
              <w:t>13,781</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1,072</w:t>
            </w:r>
          </w:p>
        </w:tc>
        <w:tc>
          <w:tcPr>
            <w:tcW w:w="96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color w:val="auto"/>
              </w:rPr>
              <w:t>8.4%</w:t>
            </w:r>
          </w:p>
        </w:tc>
        <w:tc>
          <w:tcPr>
            <w:tcW w:w="1040" w:type="dxa"/>
            <w:vAlign w:val="bottom"/>
          </w:tcPr>
          <w:p>
            <w:pPr>
              <w:jc w:val="center"/>
              <w:ind w:left="220"/>
              <w:spacing w:after="0"/>
              <w:rPr>
                <w:sz w:val="20"/>
                <w:szCs w:val="20"/>
                <w:color w:val="auto"/>
              </w:rPr>
            </w:pPr>
            <w:r>
              <w:rPr>
                <w:rFonts w:ascii="Arial" w:cs="Arial" w:eastAsia="Arial" w:hAnsi="Arial"/>
                <w:sz w:val="12"/>
                <w:szCs w:val="12"/>
                <w:color w:val="auto"/>
                <w:w w:val="97"/>
              </w:rPr>
              <w:t>12,709</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13,917</w:t>
            </w:r>
          </w:p>
        </w:tc>
        <w:tc>
          <w:tcPr>
            <w:tcW w:w="92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1,208</w:t>
            </w:r>
          </w:p>
        </w:tc>
        <w:tc>
          <w:tcPr>
            <w:tcW w:w="94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color w:val="auto"/>
              </w:rPr>
              <w:t>9.5%</w:t>
            </w:r>
          </w:p>
        </w:tc>
      </w:tr>
      <w:tr>
        <w:trPr>
          <w:trHeight w:val="143"/>
        </w:trPr>
        <w:tc>
          <w:tcPr>
            <w:tcW w:w="21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Credit Card</w:t>
            </w:r>
          </w:p>
        </w:tc>
        <w:tc>
          <w:tcPr>
            <w:tcW w:w="740" w:type="dxa"/>
            <w:vAlign w:val="bottom"/>
          </w:tcPr>
          <w:p>
            <w:pPr>
              <w:jc w:val="center"/>
              <w:ind w:left="140"/>
              <w:spacing w:after="0"/>
              <w:rPr>
                <w:sz w:val="20"/>
                <w:szCs w:val="20"/>
                <w:color w:val="auto"/>
              </w:rPr>
            </w:pPr>
            <w:r>
              <w:rPr>
                <w:rFonts w:ascii="Arial" w:cs="Arial" w:eastAsia="Arial" w:hAnsi="Arial"/>
                <w:sz w:val="12"/>
                <w:szCs w:val="12"/>
                <w:color w:val="auto"/>
                <w:w w:val="99"/>
              </w:rPr>
              <w:t>5,881</w:t>
            </w:r>
          </w:p>
        </w:tc>
        <w:tc>
          <w:tcPr>
            <w:tcW w:w="120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6,257</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376</w:t>
            </w:r>
          </w:p>
        </w:tc>
        <w:tc>
          <w:tcPr>
            <w:tcW w:w="96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color w:val="auto"/>
              </w:rPr>
              <w:t>6.4%</w:t>
            </w:r>
          </w:p>
        </w:tc>
        <w:tc>
          <w:tcPr>
            <w:tcW w:w="1040" w:type="dxa"/>
            <w:vAlign w:val="bottom"/>
          </w:tcPr>
          <w:p>
            <w:pPr>
              <w:jc w:val="center"/>
              <w:ind w:left="240"/>
              <w:spacing w:after="0"/>
              <w:rPr>
                <w:sz w:val="20"/>
                <w:szCs w:val="20"/>
                <w:color w:val="auto"/>
              </w:rPr>
            </w:pPr>
            <w:r>
              <w:rPr>
                <w:rFonts w:ascii="Arial" w:cs="Arial" w:eastAsia="Arial" w:hAnsi="Arial"/>
                <w:sz w:val="12"/>
                <w:szCs w:val="12"/>
                <w:color w:val="auto"/>
                <w:w w:val="99"/>
              </w:rPr>
              <w:t>5,881</w:t>
            </w:r>
          </w:p>
        </w:tc>
        <w:tc>
          <w:tcPr>
            <w:tcW w:w="16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9"/>
              </w:rPr>
              <w:t>6,329</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447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7.6%</w:t>
            </w:r>
          </w:p>
        </w:tc>
      </w:tr>
      <w:tr>
        <w:trPr>
          <w:trHeight w:val="169"/>
        </w:trPr>
        <w:tc>
          <w:tcPr>
            <w:tcW w:w="2140" w:type="dxa"/>
            <w:vAlign w:val="bottom"/>
            <w:tcBorders>
              <w:left w:val="single" w:sz="8" w:color="auto"/>
              <w:bottom w:val="single" w:sz="8" w:color="auto"/>
              <w:right w:val="single" w:sz="8" w:color="auto"/>
            </w:tcBorders>
          </w:tcPr>
          <w:p>
            <w:pPr>
              <w:ind w:left="160"/>
              <w:spacing w:after="0" w:line="169" w:lineRule="exact"/>
              <w:rPr>
                <w:sz w:val="20"/>
                <w:szCs w:val="20"/>
                <w:color w:val="auto"/>
              </w:rPr>
            </w:pPr>
            <w:r>
              <w:rPr>
                <w:rFonts w:ascii="Arial" w:cs="Arial" w:eastAsia="Arial" w:hAnsi="Arial"/>
                <w:sz w:val="12"/>
                <w:szCs w:val="12"/>
                <w:b w:val="1"/>
                <w:bCs w:val="1"/>
                <w:color w:val="auto"/>
              </w:rPr>
              <w:t xml:space="preserve">Others </w:t>
            </w:r>
            <w:r>
              <w:rPr>
                <w:rFonts w:ascii="Arial" w:cs="Arial" w:eastAsia="Arial" w:hAnsi="Arial"/>
                <w:sz w:val="19"/>
                <w:szCs w:val="19"/>
                <w:b w:val="1"/>
                <w:bCs w:val="1"/>
                <w:color w:val="auto"/>
                <w:vertAlign w:val="superscript"/>
              </w:rPr>
              <w:t>(1)</w:t>
            </w:r>
          </w:p>
        </w:tc>
        <w:tc>
          <w:tcPr>
            <w:tcW w:w="74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99"/>
              </w:rPr>
              <w:t>1,640</w:t>
            </w:r>
          </w:p>
        </w:tc>
        <w:tc>
          <w:tcPr>
            <w:tcW w:w="1200" w:type="dxa"/>
            <w:vAlign w:val="bottom"/>
            <w:tcBorders>
              <w:bottom w:val="single" w:sz="8" w:color="auto"/>
              <w:right w:val="single" w:sz="8" w:color="auto"/>
            </w:tcBorders>
          </w:tcPr>
          <w:p>
            <w:pPr>
              <w:jc w:val="center"/>
              <w:ind w:left="120"/>
              <w:spacing w:after="0"/>
              <w:rPr>
                <w:sz w:val="20"/>
                <w:szCs w:val="20"/>
                <w:color w:val="auto"/>
              </w:rPr>
            </w:pPr>
            <w:r>
              <w:rPr>
                <w:rFonts w:ascii="Arial" w:cs="Arial" w:eastAsia="Arial" w:hAnsi="Arial"/>
                <w:sz w:val="12"/>
                <w:szCs w:val="12"/>
                <w:b w:val="1"/>
                <w:bCs w:val="1"/>
                <w:color w:val="auto"/>
                <w:w w:val="99"/>
              </w:rPr>
              <w:t>1,791</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151</w:t>
            </w:r>
          </w:p>
        </w:tc>
        <w:tc>
          <w:tcPr>
            <w:tcW w:w="960" w:type="dxa"/>
            <w:vAlign w:val="bottom"/>
            <w:tcBorders>
              <w:bottom w:val="single" w:sz="8" w:color="auto"/>
              <w:right w:val="single" w:sz="8" w:color="auto"/>
            </w:tcBorders>
          </w:tcPr>
          <w:p>
            <w:pPr>
              <w:jc w:val="center"/>
              <w:ind w:right="20"/>
              <w:spacing w:after="0"/>
              <w:rPr>
                <w:sz w:val="20"/>
                <w:szCs w:val="20"/>
                <w:color w:val="auto"/>
              </w:rPr>
            </w:pPr>
            <w:r>
              <w:rPr>
                <w:rFonts w:ascii="Arial" w:cs="Arial" w:eastAsia="Arial" w:hAnsi="Arial"/>
                <w:sz w:val="12"/>
                <w:szCs w:val="12"/>
                <w:b w:val="1"/>
                <w:bCs w:val="1"/>
                <w:color w:val="auto"/>
              </w:rPr>
              <w:t>9.2%</w:t>
            </w:r>
          </w:p>
        </w:tc>
        <w:tc>
          <w:tcPr>
            <w:tcW w:w="104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b w:val="1"/>
                <w:bCs w:val="1"/>
                <w:color w:val="auto"/>
                <w:w w:val="99"/>
              </w:rPr>
              <w:t>1,640</w:t>
            </w:r>
          </w:p>
        </w:tc>
        <w:tc>
          <w:tcPr>
            <w:tcW w:w="1660" w:type="dxa"/>
            <w:vAlign w:val="bottom"/>
            <w:tcBorders>
              <w:bottom w:val="single" w:sz="8" w:color="auto"/>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9"/>
              </w:rPr>
              <w:t>1,875</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234</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14.3%</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For consolidation purposes, loans generated in Foreign Currency (FC) are converted into Local Currency (LC).</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(1) Includes other assets and accruals.</w:t>
      </w:r>
    </w:p>
    <w:p>
      <w:pPr>
        <w:spacing w:after="0" w:line="6" w:lineRule="exact"/>
        <w:rPr>
          <w:sz w:val="20"/>
          <w:szCs w:val="20"/>
          <w:color w:val="auto"/>
        </w:rPr>
      </w:pPr>
    </w:p>
    <w:p>
      <w:pPr>
        <w:ind w:left="8480" w:right="720"/>
        <w:spacing w:after="0" w:line="311" w:lineRule="auto"/>
        <w:rPr>
          <w:sz w:val="20"/>
          <w:szCs w:val="20"/>
          <w:color w:val="auto"/>
        </w:rPr>
      </w:pPr>
      <w:r>
        <w:rPr>
          <w:rFonts w:ascii="Arial" w:cs="Arial" w:eastAsia="Arial" w:hAnsi="Arial"/>
          <w:sz w:val="10"/>
          <w:szCs w:val="10"/>
          <w:color w:val="auto"/>
        </w:rPr>
        <w:t>Larger contraction in volume Larger expansion in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-187325</wp:posOffset>
            </wp:positionV>
            <wp:extent cx="228600" cy="1447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8600" cy="144780"/>
                    </a:xfrm>
                    <a:prstGeom prst="rect">
                      <a:avLst/>
                    </a:prstGeom>
                    <a:noFill/>
                  </pic:spPr>
                </pic:pic>
              </a:graphicData>
            </a:graphic>
          </wp:anchor>
        </w:drawing>
      </w:r>
    </w:p>
    <w:p>
      <w:pPr>
        <w:spacing w:after="0" w:line="91" w:lineRule="exact"/>
        <w:rPr>
          <w:sz w:val="20"/>
          <w:szCs w:val="20"/>
          <w:color w:val="auto"/>
        </w:rPr>
      </w:pPr>
    </w:p>
    <w:p>
      <w:pPr>
        <w:ind w:right="1500"/>
        <w:spacing w:after="0" w:line="275" w:lineRule="auto"/>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total loans in quarter-end balances at</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rose 7.0% in FX neutral terms. This increase was driven primarily by</w:t>
      </w:r>
      <w:r>
        <w:rPr>
          <w:rFonts w:ascii="Arial" w:cs="Arial" w:eastAsia="Arial" w:hAnsi="Arial"/>
          <w:sz w:val="16"/>
          <w:szCs w:val="16"/>
          <w:b w:val="1"/>
          <w:bCs w:val="1"/>
          <w:color w:val="auto"/>
        </w:rPr>
        <w:t xml:space="preserve"> Retail Banking (+6.4%)</w:t>
      </w:r>
      <w:r>
        <w:rPr>
          <w:rFonts w:ascii="Arial" w:cs="Arial" w:eastAsia="Arial" w:hAnsi="Arial"/>
          <w:sz w:val="16"/>
          <w:szCs w:val="16"/>
          <w:color w:val="auto"/>
        </w:rPr>
        <w:t>, followed by</w:t>
      </w:r>
      <w:r>
        <w:rPr>
          <w:rFonts w:ascii="Arial" w:cs="Arial" w:eastAsia="Arial" w:hAnsi="Arial"/>
          <w:sz w:val="16"/>
          <w:szCs w:val="16"/>
          <w:b w:val="1"/>
          <w:bCs w:val="1"/>
          <w:color w:val="auto"/>
        </w:rPr>
        <w:t xml:space="preserve"> Wholesale Banking (7.4%).</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auto"/>
        </w:rPr>
        <w:t>Retail Banking,</w:t>
      </w:r>
      <w:r>
        <w:rPr>
          <w:rFonts w:ascii="Arial" w:cs="Arial" w:eastAsia="Arial" w:hAnsi="Arial"/>
          <w:sz w:val="16"/>
          <w:szCs w:val="16"/>
          <w:color w:val="auto"/>
        </w:rPr>
        <w:t xml:space="preserve"> all segments evolved positively YoY according to the following dynamics:</w:t>
      </w:r>
    </w:p>
    <w:p>
      <w:pPr>
        <w:spacing w:after="0" w:line="164" w:lineRule="exact"/>
        <w:rPr>
          <w:sz w:val="20"/>
          <w:szCs w:val="20"/>
          <w:color w:val="auto"/>
        </w:rPr>
      </w:pPr>
    </w:p>
    <w:p>
      <w:pPr>
        <w:ind w:left="300"/>
        <w:spacing w:after="0"/>
        <w:tabs>
          <w:tab w:leader="none" w:pos="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 xml:space="preserve">Mortgage, </w:t>
      </w:r>
      <w:r>
        <w:rPr>
          <w:rFonts w:ascii="Arial" w:cs="Arial" w:eastAsia="Arial" w:hAnsi="Arial"/>
          <w:sz w:val="16"/>
          <w:szCs w:val="16"/>
          <w:color w:val="auto"/>
        </w:rPr>
        <w:t>due to the same dynamics in play</w:t>
      </w:r>
      <w:r>
        <w:rPr>
          <w:rFonts w:ascii="Arial" w:cs="Arial" w:eastAsia="Arial" w:hAnsi="Arial"/>
          <w:sz w:val="16"/>
          <w:szCs w:val="16"/>
          <w:b w:val="1"/>
          <w:bCs w:val="1"/>
          <w:color w:val="auto"/>
        </w:rPr>
        <w:t xml:space="preserve"> QoQ</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654050</wp:posOffset>
            </wp:positionV>
            <wp:extent cx="670750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112395</wp:posOffset>
            </wp:positionV>
            <wp:extent cx="5960745" cy="4419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0745" cy="441960"/>
                    </a:xfrm>
                    <a:prstGeom prst="rect">
                      <a:avLst/>
                    </a:prstGeom>
                    <a:noFill/>
                  </pic:spPr>
                </pic:pic>
              </a:graphicData>
            </a:graphic>
          </wp:anchor>
        </w:drawing>
      </w:r>
    </w:p>
    <w:p>
      <w:pPr>
        <w:sectPr>
          <w:pgSz w:w="11900" w:h="16840" w:orient="portrait"/>
          <w:cols w:equalWidth="0" w:num="1">
            <w:col w:w="10560"/>
          </w:cols>
          <w:pgMar w:left="660" w:top="570" w:right="680" w:bottom="1440" w:gutter="0" w:footer="0" w:header="0"/>
          <w:type w:val="continuous"/>
        </w:sectPr>
      </w:pPr>
    </w:p>
    <w:bookmarkStart w:id="20" w:name="page21"/>
    <w:bookmarkEnd w:id="20"/>
    <w:p>
      <w:pPr>
        <w:ind w:left="2560"/>
        <w:spacing w:after="0"/>
        <w:tabs>
          <w:tab w:leader="none" w:pos="280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391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07505" cy="7391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390" w:lineRule="exact"/>
        <w:rPr>
          <w:sz w:val="20"/>
          <w:szCs w:val="20"/>
          <w:color w:val="auto"/>
        </w:rPr>
      </w:pPr>
    </w:p>
    <w:p>
      <w:pPr>
        <w:ind w:left="380" w:hanging="326"/>
        <w:spacing w:after="0"/>
        <w:tabs>
          <w:tab w:leader="none" w:pos="380" w:val="left"/>
        </w:tabs>
        <w:numPr>
          <w:ilvl w:val="0"/>
          <w:numId w:val="15"/>
        </w:numPr>
        <w:rPr>
          <w:rFonts w:ascii="Arial" w:cs="Arial" w:eastAsia="Arial" w:hAnsi="Arial"/>
          <w:sz w:val="19"/>
          <w:szCs w:val="19"/>
          <w:b w:val="1"/>
          <w:bCs w:val="1"/>
          <w:color w:val="FFFFFF"/>
        </w:rPr>
      </w:pPr>
      <w:r>
        <w:rPr>
          <w:rFonts w:ascii="Arial" w:cs="Arial" w:eastAsia="Arial" w:hAnsi="Arial"/>
          <w:sz w:val="19"/>
          <w:szCs w:val="19"/>
          <w:b w:val="1"/>
          <w:bCs w:val="1"/>
          <w:color w:val="FFFFFF"/>
        </w:rPr>
        <w:t>Loan Portfolio</w:t>
      </w:r>
    </w:p>
    <w:p>
      <w:pPr>
        <w:spacing w:after="0" w:line="226" w:lineRule="exact"/>
        <w:rPr>
          <w:rFonts w:ascii="Arial" w:cs="Arial" w:eastAsia="Arial" w:hAnsi="Arial"/>
          <w:sz w:val="19"/>
          <w:szCs w:val="19"/>
          <w:b w:val="1"/>
          <w:bCs w:val="1"/>
          <w:color w:val="FFFFFF"/>
        </w:rPr>
      </w:pPr>
    </w:p>
    <w:p>
      <w:pPr>
        <w:ind w:left="580" w:right="480" w:hanging="286"/>
        <w:spacing w:after="0" w:line="265" w:lineRule="auto"/>
        <w:tabs>
          <w:tab w:leader="none" w:pos="580" w:val="left"/>
        </w:tabs>
        <w:numPr>
          <w:ilvl w:val="1"/>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Consumer, </w:t>
      </w:r>
      <w:r>
        <w:rPr>
          <w:rFonts w:ascii="Arial" w:cs="Arial" w:eastAsia="Arial" w:hAnsi="Arial"/>
          <w:sz w:val="16"/>
          <w:szCs w:val="16"/>
          <w:color w:val="auto"/>
        </w:rPr>
        <w:t>due to growth in disbursements, which rose on the back of an increase in the appetite for risk at BCP, followed by an uptick in</w:t>
      </w:r>
      <w:r>
        <w:rPr>
          <w:rFonts w:ascii="Arial" w:cs="Arial" w:eastAsia="Arial" w:hAnsi="Arial"/>
          <w:sz w:val="16"/>
          <w:szCs w:val="16"/>
          <w:b w:val="1"/>
          <w:bCs w:val="1"/>
          <w:color w:val="auto"/>
        </w:rPr>
        <w:t xml:space="preserve"> </w:t>
      </w:r>
      <w:r>
        <w:rPr>
          <w:rFonts w:ascii="Arial" w:cs="Arial" w:eastAsia="Arial" w:hAnsi="Arial"/>
          <w:sz w:val="16"/>
          <w:szCs w:val="16"/>
          <w:color w:val="auto"/>
        </w:rPr>
        <w:t>disbursements through Yape.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auto"/>
        </w:rPr>
        <w:t>Wholesale Banking</w:t>
      </w:r>
      <w:r>
        <w:rPr>
          <w:rFonts w:ascii="Arial" w:cs="Arial" w:eastAsia="Arial" w:hAnsi="Arial"/>
          <w:sz w:val="16"/>
          <w:szCs w:val="16"/>
          <w:color w:val="auto"/>
        </w:rPr>
        <w:t>, growth was driven mainly by:</w:t>
      </w:r>
    </w:p>
    <w:p>
      <w:pPr>
        <w:spacing w:after="0" w:line="164" w:lineRule="exact"/>
        <w:rPr>
          <w:sz w:val="20"/>
          <w:szCs w:val="20"/>
          <w:color w:val="auto"/>
        </w:rPr>
      </w:pPr>
    </w:p>
    <w:p>
      <w:pPr>
        <w:ind w:left="580" w:hanging="286"/>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Middle Market Banking, </w:t>
      </w:r>
      <w:r>
        <w:rPr>
          <w:rFonts w:ascii="Arial" w:cs="Arial" w:eastAsia="Arial" w:hAnsi="Arial"/>
          <w:sz w:val="16"/>
          <w:szCs w:val="16"/>
          <w:color w:val="auto"/>
        </w:rPr>
        <w:t>due to growth in the demand for short-term loans, particularly in the agriculture sector.</w:t>
      </w:r>
    </w:p>
    <w:p>
      <w:pPr>
        <w:spacing w:after="0" w:line="12" w:lineRule="exact"/>
        <w:rPr>
          <w:rFonts w:ascii="Arial" w:cs="Arial" w:eastAsia="Arial" w:hAnsi="Arial"/>
          <w:sz w:val="16"/>
          <w:szCs w:val="16"/>
          <w:color w:val="auto"/>
        </w:rPr>
      </w:pPr>
    </w:p>
    <w:p>
      <w:pPr>
        <w:ind w:left="580" w:hanging="286"/>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Corporate banking</w:t>
      </w:r>
      <w:r>
        <w:rPr>
          <w:rFonts w:ascii="Arial" w:cs="Arial" w:eastAsia="Arial" w:hAnsi="Arial"/>
          <w:sz w:val="16"/>
          <w:szCs w:val="16"/>
          <w:color w:val="auto"/>
        </w:rPr>
        <w:t>, spurred by the same dynamics seen</w:t>
      </w:r>
      <w:r>
        <w:rPr>
          <w:rFonts w:ascii="Arial" w:cs="Arial" w:eastAsia="Arial" w:hAnsi="Arial"/>
          <w:sz w:val="16"/>
          <w:szCs w:val="16"/>
          <w:b w:val="1"/>
          <w:bCs w:val="1"/>
          <w:color w:val="auto"/>
        </w:rPr>
        <w:t xml:space="preserve"> QoQ</w:t>
      </w:r>
      <w:r>
        <w:rPr>
          <w:rFonts w:ascii="Arial" w:cs="Arial" w:eastAsia="Arial" w:hAnsi="Arial"/>
          <w:sz w:val="16"/>
          <w:szCs w:val="16"/>
          <w:color w:val="auto"/>
        </w:rPr>
        <w:t>.</w:t>
      </w:r>
    </w:p>
    <w:p>
      <w:pPr>
        <w:spacing w:after="0" w:line="148"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Evolution of the Dollarization Level of Loans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5715</wp:posOffset>
            </wp:positionV>
            <wp:extent cx="4702810" cy="17379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02810" cy="173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right="320" w:hanging="6"/>
        <w:spacing w:after="0" w:line="279" w:lineRule="auto"/>
        <w:tabs>
          <w:tab w:leader="none" w:pos="1182"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FC share of Credicorp’s loan portfolio is calculated including Mibanco Colombia, BCP Bolivia and ASB Bank Corp., however the chart shows only the loan books of BCP Stand-alone and Mibanco.</w:t>
      </w:r>
    </w:p>
    <w:p>
      <w:pPr>
        <w:spacing w:after="0" w:line="125"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the dollarization level of the total portfolio dropped 189 bps. This evolution was driven mainly by loan growth in LC (+4.5%), primarily in the</w:t>
      </w:r>
      <w:r>
        <w:rPr>
          <w:rFonts w:ascii="Arial" w:cs="Arial" w:eastAsia="Arial" w:hAnsi="Arial"/>
          <w:sz w:val="16"/>
          <w:szCs w:val="16"/>
          <w:b w:val="1"/>
          <w:bCs w:val="1"/>
          <w:color w:val="auto"/>
        </w:rPr>
        <w:t xml:space="preserve"> Individuals </w:t>
      </w:r>
      <w:r>
        <w:rPr>
          <w:rFonts w:ascii="Arial" w:cs="Arial" w:eastAsia="Arial" w:hAnsi="Arial"/>
          <w:sz w:val="16"/>
          <w:szCs w:val="16"/>
          <w:color w:val="auto"/>
        </w:rPr>
        <w:t>segment and secondarily by a drop in loans in FC (-3.8%), mainly attributable to</w:t>
      </w:r>
      <w:r>
        <w:rPr>
          <w:rFonts w:ascii="Arial" w:cs="Arial" w:eastAsia="Arial" w:hAnsi="Arial"/>
          <w:sz w:val="16"/>
          <w:szCs w:val="16"/>
          <w:b w:val="1"/>
          <w:bCs w:val="1"/>
          <w:color w:val="auto"/>
        </w:rPr>
        <w:t xml:space="preserve"> BCP Bolivia and Mortgage.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Evolution of Loans in Average Daily Balances</w:t>
      </w:r>
    </w:p>
    <w:p>
      <w:pPr>
        <w:spacing w:after="0" w:line="16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xml:space="preserve">Total loans in average daily balance (ADB) rose 0.7% and 3.3% </w:t>
      </w:r>
      <w:r>
        <w:rPr>
          <w:rFonts w:ascii="Arial" w:cs="Arial" w:eastAsia="Arial" w:hAnsi="Arial"/>
          <w:sz w:val="16"/>
          <w:szCs w:val="16"/>
          <w:b w:val="1"/>
          <w:bCs w:val="1"/>
          <w:color w:val="auto"/>
        </w:rPr>
        <w:t>QoQ</w:t>
      </w:r>
      <w:r>
        <w:rPr>
          <w:rFonts w:ascii="Arial" w:cs="Arial" w:eastAsia="Arial" w:hAnsi="Arial"/>
          <w:sz w:val="16"/>
          <w:szCs w:val="16"/>
          <w:color w:val="auto"/>
        </w:rPr>
        <w:t xml:space="preserve"> and </w:t>
      </w:r>
      <w:r>
        <w:rPr>
          <w:rFonts w:ascii="Arial" w:cs="Arial" w:eastAsia="Arial" w:hAnsi="Arial"/>
          <w:sz w:val="16"/>
          <w:szCs w:val="16"/>
          <w:b w:val="1"/>
          <w:bCs w:val="1"/>
          <w:color w:val="auto"/>
        </w:rPr>
        <w:t>YoY</w:t>
      </w:r>
      <w:r>
        <w:rPr>
          <w:rFonts w:ascii="Arial" w:cs="Arial" w:eastAsia="Arial" w:hAnsi="Arial"/>
          <w:sz w:val="16"/>
          <w:szCs w:val="16"/>
          <w:color w:val="auto"/>
        </w:rPr>
        <w:t xml:space="preserve">, respectively. It is important to note that the figures for ADB loans are taken from internal management figures and exclude the impact of the revaluation of </w:t>
      </w:r>
      <w:r>
        <w:rPr>
          <w:rFonts w:ascii="Arial" w:cs="Arial" w:eastAsia="Arial" w:hAnsi="Arial"/>
          <w:sz w:val="16"/>
          <w:szCs w:val="16"/>
          <w:b w:val="1"/>
          <w:bCs w:val="1"/>
          <w:color w:val="auto"/>
        </w:rPr>
        <w:t>BCP Bolivia</w:t>
      </w:r>
      <w:r>
        <w:rPr>
          <w:rFonts w:ascii="Arial" w:cs="Arial" w:eastAsia="Arial" w:hAnsi="Arial"/>
          <w:sz w:val="16"/>
          <w:szCs w:val="16"/>
          <w:color w:val="auto"/>
        </w:rPr>
        <w:t>’s asset balance.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details on the dynamics of loans in ADB, please see </w:t>
      </w:r>
      <w:r>
        <w:rPr>
          <w:rFonts w:ascii="Arial" w:cs="Arial" w:eastAsia="Arial" w:hAnsi="Arial"/>
          <w:sz w:val="16"/>
          <w:szCs w:val="16"/>
          <w:b w:val="1"/>
          <w:bCs w:val="1"/>
          <w:color w:val="auto"/>
        </w:rPr>
        <w:t>Appendix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654050</wp:posOffset>
            </wp:positionV>
            <wp:extent cx="670750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112395</wp:posOffset>
            </wp:positionV>
            <wp:extent cx="5991225" cy="4419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91225" cy="441960"/>
                    </a:xfrm>
                    <a:prstGeom prst="rect">
                      <a:avLst/>
                    </a:prstGeom>
                    <a:noFill/>
                  </pic:spPr>
                </pic:pic>
              </a:graphicData>
            </a:graphic>
          </wp:anchor>
        </w:drawing>
      </w:r>
    </w:p>
    <w:p>
      <w:pPr>
        <w:sectPr>
          <w:pgSz w:w="11900" w:h="16840" w:orient="portrait"/>
          <w:cols w:equalWidth="0" w:num="1">
            <w:col w:w="10560"/>
          </w:cols>
          <w:pgMar w:left="660" w:top="893" w:right="680" w:bottom="1440" w:gutter="0" w:footer="0" w:header="0"/>
        </w:sectPr>
      </w:pPr>
    </w:p>
    <w:bookmarkStart w:id="21" w:name="page22"/>
    <w:bookmarkEnd w:id="21"/>
    <w:p>
      <w:pPr>
        <w:ind w:left="254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86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07505" cy="5867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02 </w:t>
      </w:r>
      <w:r>
        <w:rPr>
          <w:rFonts w:ascii="Arial" w:cs="Arial" w:eastAsia="Arial" w:hAnsi="Arial"/>
          <w:sz w:val="28"/>
          <w:szCs w:val="28"/>
          <w:color w:val="E93BAC"/>
        </w:rPr>
        <w:t>Deposits</w:t>
      </w:r>
    </w:p>
    <w:p>
      <w:pPr>
        <w:spacing w:after="0" w:line="196" w:lineRule="exact"/>
        <w:rPr>
          <w:sz w:val="20"/>
          <w:szCs w:val="20"/>
          <w:color w:val="auto"/>
        </w:rPr>
      </w:pPr>
    </w:p>
    <w:p>
      <w:pPr>
        <w:ind w:left="120" w:right="320"/>
        <w:spacing w:after="0" w:line="262" w:lineRule="auto"/>
        <w:rPr>
          <w:sz w:val="20"/>
          <w:szCs w:val="20"/>
          <w:color w:val="auto"/>
        </w:rPr>
      </w:pPr>
      <w:r>
        <w:rPr>
          <w:rFonts w:ascii="Arial" w:cs="Arial" w:eastAsia="Arial" w:hAnsi="Arial"/>
          <w:sz w:val="16"/>
          <w:szCs w:val="16"/>
          <w:color w:val="FFFFFF"/>
        </w:rPr>
        <w:t>This quarter, Total Deposits were once again impacted by asset revaluation at BCP Bolivia. If we exclude this impact, total deposits rose 1.3% QoQ and 5.9%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6707505" cy="14865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1486535"/>
                    </a:xfrm>
                    <a:prstGeom prst="rect">
                      <a:avLst/>
                    </a:prstGeom>
                    <a:noFill/>
                  </pic:spPr>
                </pic:pic>
              </a:graphicData>
            </a:graphic>
          </wp:anchor>
        </w:drawing>
      </w:r>
    </w:p>
    <w:p>
      <w:pPr>
        <w:spacing w:after="0" w:line="118" w:lineRule="exact"/>
        <w:rPr>
          <w:sz w:val="20"/>
          <w:szCs w:val="20"/>
          <w:color w:val="auto"/>
        </w:rPr>
      </w:pPr>
    </w:p>
    <w:p>
      <w:pPr>
        <w:jc w:val="both"/>
        <w:ind w:left="120" w:right="100"/>
        <w:spacing w:after="0" w:line="244" w:lineRule="auto"/>
        <w:rPr>
          <w:sz w:val="20"/>
          <w:szCs w:val="20"/>
          <w:color w:val="auto"/>
        </w:rPr>
      </w:pPr>
      <w:r>
        <w:rPr>
          <w:rFonts w:ascii="Arial" w:cs="Arial" w:eastAsia="Arial" w:hAnsi="Arial"/>
          <w:sz w:val="16"/>
          <w:szCs w:val="16"/>
          <w:color w:val="FFFFFF"/>
        </w:rPr>
        <w:t>Excluding the impact of the USD devaluation against PEN, total deposits grew 3.8% QoQ in FX neutral terms. This growth was primarily attributable to: (i) growth in the balance of demand deposits held by wholesale clients, (ii) expansion in the balance of Savings Deposits, which were bolstered by statutory bonus payments in July and (iii) an increase in the balance of time deposits in LC, which rose on the back of our funding strategy’s focus on growing captures of wholesale clients.</w:t>
      </w:r>
    </w:p>
    <w:p>
      <w:pPr>
        <w:spacing w:after="0" w:line="152" w:lineRule="exact"/>
        <w:rPr>
          <w:sz w:val="20"/>
          <w:szCs w:val="20"/>
          <w:color w:val="auto"/>
        </w:rPr>
      </w:pPr>
    </w:p>
    <w:p>
      <w:pPr>
        <w:ind w:left="120" w:right="220"/>
        <w:spacing w:after="0" w:line="262" w:lineRule="auto"/>
        <w:rPr>
          <w:sz w:val="20"/>
          <w:szCs w:val="20"/>
          <w:color w:val="auto"/>
        </w:rPr>
      </w:pPr>
      <w:r>
        <w:rPr>
          <w:rFonts w:ascii="Arial" w:cs="Arial" w:eastAsia="Arial" w:hAnsi="Arial"/>
          <w:sz w:val="16"/>
          <w:szCs w:val="16"/>
          <w:color w:val="FFFFFF"/>
        </w:rPr>
        <w:t>YoY, Total Deposits rose 10.8% in FX neutral terms. This increase, which was driven by the same factors that drove growth QoQ, was partially offset by a decline in LC Demand Deposits due the remaining impact of pension fund withdrawals.</w:t>
      </w:r>
    </w:p>
    <w:p>
      <w:pPr>
        <w:spacing w:after="0" w:line="138" w:lineRule="exact"/>
        <w:rPr>
          <w:sz w:val="20"/>
          <w:szCs w:val="20"/>
          <w:color w:val="auto"/>
        </w:rPr>
      </w:pPr>
    </w:p>
    <w:p>
      <w:pPr>
        <w:ind w:left="120" w:right="240"/>
        <w:spacing w:after="0" w:line="262" w:lineRule="auto"/>
        <w:rPr>
          <w:sz w:val="20"/>
          <w:szCs w:val="20"/>
          <w:color w:val="auto"/>
        </w:rPr>
      </w:pPr>
      <w:r>
        <w:rPr>
          <w:rFonts w:ascii="Arial" w:cs="Arial" w:eastAsia="Arial" w:hAnsi="Arial"/>
          <w:sz w:val="16"/>
          <w:szCs w:val="16"/>
          <w:color w:val="FFFFFF"/>
        </w:rPr>
        <w:t>At the end of 3Q25, 69.8% of Total Deposits were low cost (Demand + Savings). Credicorp continued to lead the market for low-cost deposits, with a market share of 39.5% at the end of September</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206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Deposits</w:t>
            </w:r>
          </w:p>
        </w:tc>
        <w:tc>
          <w:tcPr>
            <w:tcW w:w="940" w:type="dxa"/>
            <w:vAlign w:val="bottom"/>
            <w:tcBorders>
              <w:top w:val="single" w:sz="8" w:color="auto"/>
            </w:tcBorders>
            <w:shd w:val="clear" w:color="auto" w:fill="33CCCC"/>
          </w:tcPr>
          <w:p>
            <w:pPr>
              <w:spacing w:after="0"/>
              <w:rPr>
                <w:sz w:val="12"/>
                <w:szCs w:val="12"/>
                <w:color w:val="auto"/>
              </w:rPr>
            </w:pPr>
          </w:p>
        </w:tc>
        <w:tc>
          <w:tcPr>
            <w:tcW w:w="96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As of</w:t>
            </w:r>
          </w:p>
        </w:tc>
        <w:tc>
          <w:tcPr>
            <w:tcW w:w="960" w:type="dxa"/>
            <w:vAlign w:val="bottom"/>
            <w:tcBorders>
              <w:top w:val="single" w:sz="8" w:color="auto"/>
              <w:right w:val="single" w:sz="8" w:color="auto"/>
            </w:tcBorders>
            <w:shd w:val="clear" w:color="auto" w:fill="33CCCC"/>
          </w:tcPr>
          <w:p>
            <w:pPr>
              <w:spacing w:after="0"/>
              <w:rPr>
                <w:sz w:val="12"/>
                <w:szCs w:val="12"/>
                <w:color w:val="auto"/>
              </w:rPr>
            </w:pPr>
          </w:p>
        </w:tc>
        <w:tc>
          <w:tcPr>
            <w:tcW w:w="620" w:type="dxa"/>
            <w:vAlign w:val="bottom"/>
            <w:tcBorders>
              <w:top w:val="single" w:sz="8" w:color="auto"/>
            </w:tcBorders>
            <w:shd w:val="clear" w:color="auto" w:fill="33CCCC"/>
          </w:tcPr>
          <w:p>
            <w:pPr>
              <w:spacing w:after="0"/>
              <w:rPr>
                <w:sz w:val="12"/>
                <w:szCs w:val="12"/>
                <w:color w:val="auto"/>
              </w:rPr>
            </w:pPr>
          </w:p>
        </w:tc>
        <w:tc>
          <w:tcPr>
            <w:tcW w:w="1260" w:type="dxa"/>
            <w:vAlign w:val="bottom"/>
            <w:tcBorders>
              <w:top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Volume (%)</w:t>
            </w:r>
          </w:p>
        </w:tc>
        <w:tc>
          <w:tcPr>
            <w:tcW w:w="1880" w:type="dxa"/>
            <w:vAlign w:val="bottom"/>
            <w:tcBorders>
              <w:top w:val="single" w:sz="8" w:color="auto"/>
              <w:right w:val="single" w:sz="8" w:color="auto"/>
            </w:tcBorders>
            <w:gridSpan w:val="2"/>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USD/PEN Neutral</w:t>
            </w:r>
          </w:p>
        </w:tc>
        <w:tc>
          <w:tcPr>
            <w:tcW w:w="1900" w:type="dxa"/>
            <w:vAlign w:val="bottom"/>
            <w:tcBorders>
              <w:top w:val="single" w:sz="8" w:color="auto"/>
              <w:right w:val="single" w:sz="8" w:color="auto"/>
            </w:tcBorders>
            <w:gridSpan w:val="2"/>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USD/PEN Neutral</w:t>
            </w:r>
          </w:p>
        </w:tc>
      </w:tr>
      <w:tr>
        <w:trPr>
          <w:trHeight w:val="132"/>
        </w:trPr>
        <w:tc>
          <w:tcPr>
            <w:tcW w:w="2060" w:type="dxa"/>
            <w:vAlign w:val="bottom"/>
            <w:tcBorders>
              <w:left w:val="single" w:sz="8" w:color="auto"/>
              <w:right w:val="single" w:sz="8" w:color="auto"/>
            </w:tcBorders>
            <w:shd w:val="clear" w:color="auto" w:fill="33CCCC"/>
          </w:tcPr>
          <w:p>
            <w:pPr>
              <w:spacing w:after="0"/>
              <w:rPr>
                <w:sz w:val="11"/>
                <w:szCs w:val="11"/>
                <w:color w:val="auto"/>
              </w:rPr>
            </w:pPr>
          </w:p>
        </w:tc>
        <w:tc>
          <w:tcPr>
            <w:tcW w:w="940" w:type="dxa"/>
            <w:vAlign w:val="bottom"/>
            <w:shd w:val="clear" w:color="auto" w:fill="33CCCC"/>
          </w:tcPr>
          <w:p>
            <w:pPr>
              <w:spacing w:after="0"/>
              <w:rPr>
                <w:sz w:val="11"/>
                <w:szCs w:val="11"/>
                <w:color w:val="auto"/>
              </w:rPr>
            </w:pPr>
          </w:p>
        </w:tc>
        <w:tc>
          <w:tcPr>
            <w:tcW w:w="960" w:type="dxa"/>
            <w:vAlign w:val="bottom"/>
            <w:shd w:val="clear" w:color="auto" w:fill="33CCCC"/>
          </w:tcPr>
          <w:p>
            <w:pPr>
              <w:spacing w:after="0"/>
              <w:rPr>
                <w:sz w:val="11"/>
                <w:szCs w:val="11"/>
                <w:color w:val="auto"/>
              </w:rPr>
            </w:pPr>
          </w:p>
        </w:tc>
        <w:tc>
          <w:tcPr>
            <w:tcW w:w="960" w:type="dxa"/>
            <w:vAlign w:val="bottom"/>
            <w:tcBorders>
              <w:right w:val="single" w:sz="8" w:color="auto"/>
            </w:tcBorders>
            <w:shd w:val="clear" w:color="auto" w:fill="33CCCC"/>
          </w:tcPr>
          <w:p>
            <w:pPr>
              <w:spacing w:after="0"/>
              <w:rPr>
                <w:sz w:val="11"/>
                <w:szCs w:val="11"/>
                <w:color w:val="auto"/>
              </w:rPr>
            </w:pPr>
          </w:p>
        </w:tc>
        <w:tc>
          <w:tcPr>
            <w:tcW w:w="620" w:type="dxa"/>
            <w:vAlign w:val="bottom"/>
            <w:shd w:val="clear" w:color="auto" w:fill="33CCCC"/>
          </w:tcPr>
          <w:p>
            <w:pPr>
              <w:spacing w:after="0"/>
              <w:rPr>
                <w:sz w:val="11"/>
                <w:szCs w:val="11"/>
                <w:color w:val="auto"/>
              </w:rPr>
            </w:pPr>
          </w:p>
        </w:tc>
        <w:tc>
          <w:tcPr>
            <w:tcW w:w="1260" w:type="dxa"/>
            <w:vAlign w:val="bottom"/>
            <w:tcBorders>
              <w:right w:val="single" w:sz="8" w:color="auto"/>
            </w:tcBorders>
            <w:shd w:val="clear" w:color="auto" w:fill="33CCCC"/>
          </w:tcPr>
          <w:p>
            <w:pPr>
              <w:spacing w:after="0"/>
              <w:rPr>
                <w:sz w:val="11"/>
                <w:szCs w:val="11"/>
                <w:color w:val="auto"/>
              </w:rPr>
            </w:pPr>
          </w:p>
        </w:tc>
        <w:tc>
          <w:tcPr>
            <w:tcW w:w="1880" w:type="dxa"/>
            <w:vAlign w:val="bottom"/>
            <w:tcBorders>
              <w:right w:val="single" w:sz="8" w:color="auto"/>
            </w:tcBorders>
            <w:gridSpan w:val="2"/>
            <w:shd w:val="clear" w:color="auto" w:fill="33CCCC"/>
          </w:tcPr>
          <w:p>
            <w:pPr>
              <w:jc w:val="center"/>
              <w:spacing w:after="0"/>
              <w:rPr>
                <w:sz w:val="20"/>
                <w:szCs w:val="20"/>
                <w:color w:val="auto"/>
              </w:rPr>
            </w:pPr>
            <w:r>
              <w:rPr>
                <w:rFonts w:ascii="Arial" w:cs="Arial" w:eastAsia="Arial" w:hAnsi="Arial"/>
                <w:sz w:val="11"/>
                <w:szCs w:val="11"/>
                <w:b w:val="1"/>
                <w:bCs w:val="1"/>
                <w:color w:val="FFFFFF"/>
                <w:w w:val="98"/>
              </w:rPr>
              <w:t>Volume change</w:t>
            </w:r>
          </w:p>
        </w:tc>
        <w:tc>
          <w:tcPr>
            <w:tcW w:w="640" w:type="dxa"/>
            <w:vAlign w:val="bottom"/>
            <w:shd w:val="clear" w:color="auto" w:fill="33CCCC"/>
          </w:tcPr>
          <w:p>
            <w:pPr>
              <w:spacing w:after="0"/>
              <w:rPr>
                <w:sz w:val="11"/>
                <w:szCs w:val="11"/>
                <w:color w:val="auto"/>
              </w:rPr>
            </w:pPr>
          </w:p>
        </w:tc>
        <w:tc>
          <w:tcPr>
            <w:tcW w:w="1260" w:type="dxa"/>
            <w:vAlign w:val="bottom"/>
            <w:tcBorders>
              <w:right w:val="single" w:sz="8" w:color="auto"/>
            </w:tcBorders>
            <w:shd w:val="clear" w:color="auto" w:fill="33CCCC"/>
          </w:tcPr>
          <w:p>
            <w:pPr>
              <w:jc w:val="center"/>
              <w:ind w:right="606"/>
              <w:spacing w:after="0"/>
              <w:rPr>
                <w:sz w:val="20"/>
                <w:szCs w:val="20"/>
                <w:color w:val="auto"/>
              </w:rPr>
            </w:pPr>
            <w:r>
              <w:rPr>
                <w:rFonts w:ascii="Arial" w:cs="Arial" w:eastAsia="Arial" w:hAnsi="Arial"/>
                <w:sz w:val="11"/>
                <w:szCs w:val="11"/>
                <w:b w:val="1"/>
                <w:bCs w:val="1"/>
                <w:color w:val="FFFFFF"/>
                <w:w w:val="97"/>
              </w:rPr>
              <w:t>% Change</w:t>
            </w:r>
          </w:p>
        </w:tc>
      </w:tr>
      <w:tr>
        <w:trPr>
          <w:trHeight w:val="132"/>
        </w:trPr>
        <w:tc>
          <w:tcPr>
            <w:tcW w:w="206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S/000</w:t>
            </w:r>
          </w:p>
        </w:tc>
        <w:tc>
          <w:tcPr>
            <w:tcW w:w="940" w:type="dxa"/>
            <w:vAlign w:val="bottom"/>
            <w:tcBorders>
              <w:bottom w:val="single" w:sz="8" w:color="auto"/>
            </w:tcBorders>
            <w:shd w:val="clear" w:color="auto" w:fill="33CCCC"/>
          </w:tcPr>
          <w:p>
            <w:pPr>
              <w:ind w:left="300"/>
              <w:spacing w:after="0"/>
              <w:rPr>
                <w:sz w:val="20"/>
                <w:szCs w:val="20"/>
                <w:color w:val="auto"/>
              </w:rPr>
            </w:pPr>
            <w:r>
              <w:rPr>
                <w:rFonts w:ascii="Arial" w:cs="Arial" w:eastAsia="Arial" w:hAnsi="Arial"/>
                <w:sz w:val="11"/>
                <w:szCs w:val="11"/>
                <w:b w:val="1"/>
                <w:bCs w:val="1"/>
                <w:color w:val="FFFFFF"/>
              </w:rPr>
              <w:t>Sep 24</w:t>
            </w:r>
          </w:p>
        </w:tc>
        <w:tc>
          <w:tcPr>
            <w:tcW w:w="9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Jun 25</w:t>
            </w:r>
          </w:p>
        </w:tc>
        <w:tc>
          <w:tcPr>
            <w:tcW w:w="960" w:type="dxa"/>
            <w:vAlign w:val="bottom"/>
            <w:tcBorders>
              <w:bottom w:val="single" w:sz="8" w:color="auto"/>
              <w:right w:val="single" w:sz="8" w:color="auto"/>
            </w:tcBorders>
            <w:shd w:val="clear" w:color="auto" w:fill="33CCCC"/>
          </w:tcPr>
          <w:p>
            <w:pPr>
              <w:ind w:left="300"/>
              <w:spacing w:after="0"/>
              <w:rPr>
                <w:sz w:val="20"/>
                <w:szCs w:val="20"/>
                <w:color w:val="auto"/>
              </w:rPr>
            </w:pPr>
            <w:r>
              <w:rPr>
                <w:rFonts w:ascii="Arial" w:cs="Arial" w:eastAsia="Arial" w:hAnsi="Arial"/>
                <w:sz w:val="11"/>
                <w:szCs w:val="11"/>
                <w:b w:val="1"/>
                <w:bCs w:val="1"/>
                <w:color w:val="FFFFFF"/>
              </w:rPr>
              <w:t>Sep 25</w:t>
            </w:r>
          </w:p>
        </w:tc>
        <w:tc>
          <w:tcPr>
            <w:tcW w:w="620" w:type="dxa"/>
            <w:vAlign w:val="bottom"/>
            <w:tcBorders>
              <w:bottom w:val="single" w:sz="8" w:color="auto"/>
            </w:tcBorders>
            <w:shd w:val="clear" w:color="auto" w:fill="33CCCC"/>
          </w:tcPr>
          <w:p>
            <w:pPr>
              <w:ind w:left="360"/>
              <w:spacing w:after="0"/>
              <w:rPr>
                <w:sz w:val="20"/>
                <w:szCs w:val="20"/>
                <w:color w:val="auto"/>
              </w:rPr>
            </w:pPr>
            <w:r>
              <w:rPr>
                <w:rFonts w:ascii="Arial" w:cs="Arial" w:eastAsia="Arial" w:hAnsi="Arial"/>
                <w:sz w:val="11"/>
                <w:szCs w:val="11"/>
                <w:b w:val="1"/>
                <w:bCs w:val="1"/>
                <w:color w:val="FFFFFF"/>
              </w:rPr>
              <w:t>QoQ</w:t>
            </w:r>
          </w:p>
        </w:tc>
        <w:tc>
          <w:tcPr>
            <w:tcW w:w="1260" w:type="dxa"/>
            <w:vAlign w:val="bottom"/>
            <w:tcBorders>
              <w:bottom w:val="single" w:sz="8" w:color="auto"/>
              <w:right w:val="single" w:sz="8" w:color="auto"/>
            </w:tcBorders>
            <w:shd w:val="clear" w:color="auto" w:fill="33CCCC"/>
          </w:tcPr>
          <w:p>
            <w:pPr>
              <w:ind w:left="680"/>
              <w:spacing w:after="0"/>
              <w:rPr>
                <w:sz w:val="20"/>
                <w:szCs w:val="20"/>
                <w:color w:val="auto"/>
              </w:rPr>
            </w:pPr>
            <w:r>
              <w:rPr>
                <w:rFonts w:ascii="Arial" w:cs="Arial" w:eastAsia="Arial" w:hAnsi="Arial"/>
                <w:sz w:val="11"/>
                <w:szCs w:val="11"/>
                <w:b w:val="1"/>
                <w:bCs w:val="1"/>
                <w:color w:val="FFFFFF"/>
              </w:rPr>
              <w:t>YoY</w:t>
            </w:r>
          </w:p>
        </w:tc>
        <w:tc>
          <w:tcPr>
            <w:tcW w:w="920" w:type="dxa"/>
            <w:vAlign w:val="bottom"/>
            <w:tcBorders>
              <w:bottom w:val="single" w:sz="8" w:color="auto"/>
            </w:tcBorders>
            <w:shd w:val="clear" w:color="auto" w:fill="33CCCC"/>
          </w:tcPr>
          <w:p>
            <w:pPr>
              <w:ind w:left="360"/>
              <w:spacing w:after="0"/>
              <w:rPr>
                <w:sz w:val="20"/>
                <w:szCs w:val="20"/>
                <w:color w:val="auto"/>
              </w:rPr>
            </w:pPr>
            <w:r>
              <w:rPr>
                <w:rFonts w:ascii="Arial" w:cs="Arial" w:eastAsia="Arial" w:hAnsi="Arial"/>
                <w:sz w:val="11"/>
                <w:szCs w:val="11"/>
                <w:b w:val="1"/>
                <w:bCs w:val="1"/>
                <w:color w:val="FFFFFF"/>
              </w:rPr>
              <w:t>QoQ</w:t>
            </w:r>
          </w:p>
        </w:tc>
        <w:tc>
          <w:tcPr>
            <w:tcW w:w="960" w:type="dxa"/>
            <w:vAlign w:val="bottom"/>
            <w:tcBorders>
              <w:bottom w:val="single" w:sz="8" w:color="auto"/>
              <w:right w:val="single" w:sz="8" w:color="auto"/>
            </w:tcBorders>
            <w:shd w:val="clear" w:color="auto" w:fill="33CCCC"/>
          </w:tcPr>
          <w:p>
            <w:pPr>
              <w:ind w:left="380"/>
              <w:spacing w:after="0"/>
              <w:rPr>
                <w:sz w:val="20"/>
                <w:szCs w:val="20"/>
                <w:color w:val="auto"/>
              </w:rPr>
            </w:pPr>
            <w:r>
              <w:rPr>
                <w:rFonts w:ascii="Arial" w:cs="Arial" w:eastAsia="Arial" w:hAnsi="Arial"/>
                <w:sz w:val="11"/>
                <w:szCs w:val="11"/>
                <w:b w:val="1"/>
                <w:bCs w:val="1"/>
                <w:color w:val="FFFFFF"/>
              </w:rPr>
              <w:t>YoY</w:t>
            </w:r>
          </w:p>
        </w:tc>
        <w:tc>
          <w:tcPr>
            <w:tcW w:w="640" w:type="dxa"/>
            <w:vAlign w:val="bottom"/>
            <w:tcBorders>
              <w:bottom w:val="single" w:sz="8" w:color="auto"/>
            </w:tcBorders>
            <w:shd w:val="clear" w:color="auto" w:fill="33CCCC"/>
          </w:tcPr>
          <w:p>
            <w:pPr>
              <w:ind w:left="360"/>
              <w:spacing w:after="0"/>
              <w:rPr>
                <w:sz w:val="20"/>
                <w:szCs w:val="20"/>
                <w:color w:val="auto"/>
              </w:rPr>
            </w:pPr>
            <w:r>
              <w:rPr>
                <w:rFonts w:ascii="Arial" w:cs="Arial" w:eastAsia="Arial" w:hAnsi="Arial"/>
                <w:sz w:val="11"/>
                <w:szCs w:val="11"/>
                <w:b w:val="1"/>
                <w:bCs w:val="1"/>
                <w:color w:val="FFFFFF"/>
              </w:rPr>
              <w:t>QoQ</w:t>
            </w:r>
          </w:p>
        </w:tc>
        <w:tc>
          <w:tcPr>
            <w:tcW w:w="1260" w:type="dxa"/>
            <w:vAlign w:val="bottom"/>
            <w:tcBorders>
              <w:bottom w:val="single" w:sz="8" w:color="auto"/>
              <w:right w:val="single" w:sz="8" w:color="auto"/>
            </w:tcBorders>
            <w:shd w:val="clear" w:color="auto" w:fill="33CCCC"/>
          </w:tcPr>
          <w:p>
            <w:pPr>
              <w:ind w:left="680"/>
              <w:spacing w:after="0"/>
              <w:rPr>
                <w:sz w:val="20"/>
                <w:szCs w:val="20"/>
                <w:color w:val="auto"/>
              </w:rPr>
            </w:pPr>
            <w:r>
              <w:rPr>
                <w:rFonts w:ascii="Arial" w:cs="Arial" w:eastAsia="Arial" w:hAnsi="Arial"/>
                <w:sz w:val="11"/>
                <w:szCs w:val="11"/>
                <w:b w:val="1"/>
                <w:bCs w:val="1"/>
                <w:color w:val="FFFFFF"/>
              </w:rPr>
              <w:t>YoY</w:t>
            </w:r>
          </w:p>
        </w:tc>
      </w:tr>
      <w:tr>
        <w:trPr>
          <w:trHeight w:val="124"/>
        </w:trPr>
        <w:tc>
          <w:tcPr>
            <w:tcW w:w="206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Demand deposits</w:t>
            </w:r>
          </w:p>
        </w:tc>
        <w:tc>
          <w:tcPr>
            <w:tcW w:w="940" w:type="dxa"/>
            <w:vAlign w:val="bottom"/>
          </w:tcPr>
          <w:p>
            <w:pPr>
              <w:jc w:val="center"/>
              <w:spacing w:after="0" w:line="124" w:lineRule="exact"/>
              <w:rPr>
                <w:sz w:val="20"/>
                <w:szCs w:val="20"/>
                <w:color w:val="auto"/>
              </w:rPr>
            </w:pPr>
            <w:r>
              <w:rPr>
                <w:rFonts w:ascii="Arial" w:cs="Arial" w:eastAsia="Arial" w:hAnsi="Arial"/>
                <w:sz w:val="11"/>
                <w:szCs w:val="11"/>
                <w:color w:val="auto"/>
                <w:w w:val="98"/>
              </w:rPr>
              <w:t>53,149,144</w:t>
            </w:r>
          </w:p>
        </w:tc>
        <w:tc>
          <w:tcPr>
            <w:tcW w:w="960" w:type="dxa"/>
            <w:vAlign w:val="bottom"/>
          </w:tcPr>
          <w:p>
            <w:pPr>
              <w:jc w:val="center"/>
              <w:spacing w:after="0" w:line="124" w:lineRule="exact"/>
              <w:rPr>
                <w:sz w:val="20"/>
                <w:szCs w:val="20"/>
                <w:color w:val="auto"/>
              </w:rPr>
            </w:pPr>
            <w:r>
              <w:rPr>
                <w:rFonts w:ascii="Arial" w:cs="Arial" w:eastAsia="Arial" w:hAnsi="Arial"/>
                <w:sz w:val="11"/>
                <w:szCs w:val="11"/>
                <w:color w:val="auto"/>
                <w:w w:val="98"/>
              </w:rPr>
              <w:t>49,237,039</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8"/>
              </w:rPr>
              <w:t>50,930,173</w:t>
            </w:r>
          </w:p>
        </w:tc>
        <w:tc>
          <w:tcPr>
            <w:tcW w:w="620" w:type="dxa"/>
            <w:vAlign w:val="bottom"/>
          </w:tcPr>
          <w:p>
            <w:pPr>
              <w:jc w:val="center"/>
              <w:ind w:left="246"/>
              <w:spacing w:after="0" w:line="124" w:lineRule="exact"/>
              <w:rPr>
                <w:sz w:val="20"/>
                <w:szCs w:val="20"/>
                <w:color w:val="auto"/>
              </w:rPr>
            </w:pPr>
            <w:r>
              <w:rPr>
                <w:rFonts w:ascii="Arial" w:cs="Arial" w:eastAsia="Arial" w:hAnsi="Arial"/>
                <w:sz w:val="11"/>
                <w:szCs w:val="11"/>
                <w:color w:val="auto"/>
                <w:w w:val="95"/>
              </w:rPr>
              <w:t>3.4%</w:t>
            </w:r>
          </w:p>
        </w:tc>
        <w:tc>
          <w:tcPr>
            <w:tcW w:w="1260" w:type="dxa"/>
            <w:vAlign w:val="bottom"/>
            <w:tcBorders>
              <w:right w:val="single" w:sz="8" w:color="auto"/>
            </w:tcBorders>
          </w:tcPr>
          <w:p>
            <w:pPr>
              <w:jc w:val="center"/>
              <w:ind w:left="246"/>
              <w:spacing w:after="0" w:line="124" w:lineRule="exact"/>
              <w:rPr>
                <w:sz w:val="20"/>
                <w:szCs w:val="20"/>
                <w:color w:val="auto"/>
              </w:rPr>
            </w:pPr>
            <w:r>
              <w:rPr>
                <w:rFonts w:ascii="Arial" w:cs="Arial" w:eastAsia="Arial" w:hAnsi="Arial"/>
                <w:sz w:val="11"/>
                <w:szCs w:val="11"/>
                <w:color w:val="auto"/>
                <w:w w:val="97"/>
              </w:rPr>
              <w:t>-4.2%</w:t>
            </w:r>
          </w:p>
        </w:tc>
        <w:tc>
          <w:tcPr>
            <w:tcW w:w="920" w:type="dxa"/>
            <w:vAlign w:val="bottom"/>
          </w:tcPr>
          <w:p>
            <w:pPr>
              <w:jc w:val="center"/>
              <w:spacing w:after="0" w:line="124" w:lineRule="exact"/>
              <w:rPr>
                <w:sz w:val="20"/>
                <w:szCs w:val="20"/>
                <w:color w:val="auto"/>
              </w:rPr>
            </w:pPr>
            <w:r>
              <w:rPr>
                <w:rFonts w:ascii="Arial" w:cs="Arial" w:eastAsia="Arial" w:hAnsi="Arial"/>
                <w:sz w:val="11"/>
                <w:szCs w:val="11"/>
                <w:color w:val="auto"/>
                <w:w w:val="97"/>
              </w:rPr>
              <w:t>2,883,595</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2,332,144</w:t>
            </w:r>
          </w:p>
        </w:tc>
        <w:tc>
          <w:tcPr>
            <w:tcW w:w="640" w:type="dxa"/>
            <w:vAlign w:val="bottom"/>
          </w:tcPr>
          <w:p>
            <w:pPr>
              <w:jc w:val="center"/>
              <w:ind w:left="246"/>
              <w:spacing w:after="0" w:line="124" w:lineRule="exact"/>
              <w:rPr>
                <w:sz w:val="20"/>
                <w:szCs w:val="20"/>
                <w:color w:val="auto"/>
              </w:rPr>
            </w:pPr>
            <w:r>
              <w:rPr>
                <w:rFonts w:ascii="Arial" w:cs="Arial" w:eastAsia="Arial" w:hAnsi="Arial"/>
                <w:sz w:val="11"/>
                <w:szCs w:val="11"/>
                <w:color w:val="auto"/>
              </w:rPr>
              <w:t>5.6%</w:t>
            </w:r>
          </w:p>
        </w:tc>
        <w:tc>
          <w:tcPr>
            <w:tcW w:w="1260" w:type="dxa"/>
            <w:vAlign w:val="bottom"/>
            <w:tcBorders>
              <w:right w:val="single" w:sz="8" w:color="auto"/>
            </w:tcBorders>
          </w:tcPr>
          <w:p>
            <w:pPr>
              <w:jc w:val="center"/>
              <w:ind w:left="226"/>
              <w:spacing w:after="0" w:line="124" w:lineRule="exact"/>
              <w:rPr>
                <w:sz w:val="20"/>
                <w:szCs w:val="20"/>
                <w:color w:val="auto"/>
              </w:rPr>
            </w:pPr>
            <w:r>
              <w:rPr>
                <w:rFonts w:ascii="Arial" w:cs="Arial" w:eastAsia="Arial" w:hAnsi="Arial"/>
                <w:sz w:val="11"/>
                <w:szCs w:val="11"/>
                <w:color w:val="auto"/>
              </w:rPr>
              <w:t>4.4%</w:t>
            </w:r>
          </w:p>
        </w:tc>
      </w:tr>
      <w:tr>
        <w:trPr>
          <w:trHeight w:val="132"/>
        </w:trPr>
        <w:tc>
          <w:tcPr>
            <w:tcW w:w="2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Saving deposits</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54,474,960</w:t>
            </w:r>
          </w:p>
        </w:tc>
        <w:tc>
          <w:tcPr>
            <w:tcW w:w="960" w:type="dxa"/>
            <w:vAlign w:val="bottom"/>
          </w:tcPr>
          <w:p>
            <w:pPr>
              <w:jc w:val="center"/>
              <w:spacing w:after="0"/>
              <w:rPr>
                <w:sz w:val="20"/>
                <w:szCs w:val="20"/>
                <w:color w:val="auto"/>
              </w:rPr>
            </w:pPr>
            <w:r>
              <w:rPr>
                <w:rFonts w:ascii="Arial" w:cs="Arial" w:eastAsia="Arial" w:hAnsi="Arial"/>
                <w:sz w:val="11"/>
                <w:szCs w:val="11"/>
                <w:color w:val="auto"/>
                <w:w w:val="98"/>
              </w:rPr>
              <w:t>59,086,275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60,580,840</w:t>
            </w:r>
          </w:p>
        </w:tc>
        <w:tc>
          <w:tcPr>
            <w:tcW w:w="620" w:type="dxa"/>
            <w:vAlign w:val="bottom"/>
          </w:tcPr>
          <w:p>
            <w:pPr>
              <w:jc w:val="center"/>
              <w:ind w:left="246"/>
              <w:spacing w:after="0"/>
              <w:rPr>
                <w:sz w:val="20"/>
                <w:szCs w:val="20"/>
                <w:color w:val="auto"/>
              </w:rPr>
            </w:pPr>
            <w:r>
              <w:rPr>
                <w:rFonts w:ascii="Arial" w:cs="Arial" w:eastAsia="Arial" w:hAnsi="Arial"/>
                <w:sz w:val="11"/>
                <w:szCs w:val="11"/>
                <w:color w:val="auto"/>
                <w:w w:val="95"/>
              </w:rPr>
              <w:t>2.5%</w:t>
            </w:r>
          </w:p>
        </w:tc>
        <w:tc>
          <w:tcPr>
            <w:tcW w:w="1260" w:type="dxa"/>
            <w:vAlign w:val="bottom"/>
            <w:tcBorders>
              <w:right w:val="single" w:sz="8" w:color="auto"/>
            </w:tcBorders>
          </w:tcPr>
          <w:p>
            <w:pPr>
              <w:jc w:val="center"/>
              <w:ind w:left="226"/>
              <w:spacing w:after="0"/>
              <w:rPr>
                <w:sz w:val="20"/>
                <w:szCs w:val="20"/>
                <w:color w:val="auto"/>
              </w:rPr>
            </w:pPr>
            <w:r>
              <w:rPr>
                <w:rFonts w:ascii="Arial" w:cs="Arial" w:eastAsia="Arial" w:hAnsi="Arial"/>
                <w:sz w:val="11"/>
                <w:szCs w:val="11"/>
                <w:color w:val="auto"/>
                <w:w w:val="96"/>
              </w:rPr>
              <w:t>11.2%</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2,419,443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9,581,346</w:t>
            </w:r>
          </w:p>
        </w:tc>
        <w:tc>
          <w:tcPr>
            <w:tcW w:w="640" w:type="dxa"/>
            <w:vAlign w:val="bottom"/>
          </w:tcPr>
          <w:p>
            <w:pPr>
              <w:jc w:val="center"/>
              <w:ind w:left="246"/>
              <w:spacing w:after="0"/>
              <w:rPr>
                <w:sz w:val="20"/>
                <w:szCs w:val="20"/>
                <w:color w:val="auto"/>
              </w:rPr>
            </w:pPr>
            <w:r>
              <w:rPr>
                <w:rFonts w:ascii="Arial" w:cs="Arial" w:eastAsia="Arial" w:hAnsi="Arial"/>
                <w:sz w:val="11"/>
                <w:szCs w:val="11"/>
                <w:color w:val="auto"/>
              </w:rPr>
              <w:t>4.0%</w:t>
            </w:r>
          </w:p>
        </w:tc>
        <w:tc>
          <w:tcPr>
            <w:tcW w:w="1260" w:type="dxa"/>
            <w:vAlign w:val="bottom"/>
            <w:tcBorders>
              <w:right w:val="single" w:sz="8" w:color="auto"/>
            </w:tcBorders>
          </w:tcPr>
          <w:p>
            <w:pPr>
              <w:jc w:val="center"/>
              <w:ind w:left="226"/>
              <w:spacing w:after="0"/>
              <w:rPr>
                <w:sz w:val="20"/>
                <w:szCs w:val="20"/>
                <w:color w:val="auto"/>
              </w:rPr>
            </w:pPr>
            <w:r>
              <w:rPr>
                <w:rFonts w:ascii="Arial" w:cs="Arial" w:eastAsia="Arial" w:hAnsi="Arial"/>
                <w:sz w:val="11"/>
                <w:szCs w:val="11"/>
                <w:color w:val="auto"/>
                <w:w w:val="96"/>
              </w:rPr>
              <w:t>17.6%</w:t>
            </w:r>
          </w:p>
        </w:tc>
      </w:tr>
      <w:tr>
        <w:trPr>
          <w:trHeight w:val="132"/>
        </w:trPr>
        <w:tc>
          <w:tcPr>
            <w:tcW w:w="2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Time deposits</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42,514,849</w:t>
            </w:r>
          </w:p>
        </w:tc>
        <w:tc>
          <w:tcPr>
            <w:tcW w:w="960" w:type="dxa"/>
            <w:vAlign w:val="bottom"/>
          </w:tcPr>
          <w:p>
            <w:pPr>
              <w:jc w:val="center"/>
              <w:spacing w:after="0"/>
              <w:rPr>
                <w:sz w:val="20"/>
                <w:szCs w:val="20"/>
                <w:color w:val="auto"/>
              </w:rPr>
            </w:pPr>
            <w:r>
              <w:rPr>
                <w:rFonts w:ascii="Arial" w:cs="Arial" w:eastAsia="Arial" w:hAnsi="Arial"/>
                <w:sz w:val="11"/>
                <w:szCs w:val="11"/>
                <w:color w:val="auto"/>
                <w:w w:val="98"/>
              </w:rPr>
              <w:t>42,361,180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43,115,987</w:t>
            </w:r>
          </w:p>
        </w:tc>
        <w:tc>
          <w:tcPr>
            <w:tcW w:w="620" w:type="dxa"/>
            <w:vAlign w:val="bottom"/>
          </w:tcPr>
          <w:p>
            <w:pPr>
              <w:jc w:val="center"/>
              <w:ind w:left="246"/>
              <w:spacing w:after="0"/>
              <w:rPr>
                <w:sz w:val="20"/>
                <w:szCs w:val="20"/>
                <w:color w:val="auto"/>
              </w:rPr>
            </w:pPr>
            <w:r>
              <w:rPr>
                <w:rFonts w:ascii="Arial" w:cs="Arial" w:eastAsia="Arial" w:hAnsi="Arial"/>
                <w:sz w:val="11"/>
                <w:szCs w:val="11"/>
                <w:color w:val="auto"/>
                <w:w w:val="95"/>
              </w:rPr>
              <w:t>1.8%</w:t>
            </w:r>
          </w:p>
        </w:tc>
        <w:tc>
          <w:tcPr>
            <w:tcW w:w="1260" w:type="dxa"/>
            <w:vAlign w:val="bottom"/>
            <w:tcBorders>
              <w:right w:val="single" w:sz="8" w:color="auto"/>
            </w:tcBorders>
          </w:tcPr>
          <w:p>
            <w:pPr>
              <w:jc w:val="center"/>
              <w:ind w:left="246"/>
              <w:spacing w:after="0"/>
              <w:rPr>
                <w:sz w:val="20"/>
                <w:szCs w:val="20"/>
                <w:color w:val="auto"/>
              </w:rPr>
            </w:pPr>
            <w:r>
              <w:rPr>
                <w:rFonts w:ascii="Arial" w:cs="Arial" w:eastAsia="Arial" w:hAnsi="Arial"/>
                <w:sz w:val="11"/>
                <w:szCs w:val="11"/>
                <w:color w:val="auto"/>
                <w:w w:val="95"/>
              </w:rPr>
              <w:t>1.4%</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1,158,309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4,785,244</w:t>
            </w:r>
          </w:p>
        </w:tc>
        <w:tc>
          <w:tcPr>
            <w:tcW w:w="640" w:type="dxa"/>
            <w:vAlign w:val="bottom"/>
          </w:tcPr>
          <w:p>
            <w:pPr>
              <w:jc w:val="center"/>
              <w:ind w:left="246"/>
              <w:spacing w:after="0"/>
              <w:rPr>
                <w:sz w:val="20"/>
                <w:szCs w:val="20"/>
                <w:color w:val="auto"/>
              </w:rPr>
            </w:pPr>
            <w:r>
              <w:rPr>
                <w:rFonts w:ascii="Arial" w:cs="Arial" w:eastAsia="Arial" w:hAnsi="Arial"/>
                <w:sz w:val="11"/>
                <w:szCs w:val="11"/>
                <w:color w:val="auto"/>
              </w:rPr>
              <w:t>2.6%</w:t>
            </w:r>
          </w:p>
        </w:tc>
        <w:tc>
          <w:tcPr>
            <w:tcW w:w="1260" w:type="dxa"/>
            <w:vAlign w:val="bottom"/>
            <w:tcBorders>
              <w:right w:val="single" w:sz="8" w:color="auto"/>
            </w:tcBorders>
          </w:tcPr>
          <w:p>
            <w:pPr>
              <w:jc w:val="center"/>
              <w:ind w:left="226"/>
              <w:spacing w:after="0"/>
              <w:rPr>
                <w:sz w:val="20"/>
                <w:szCs w:val="20"/>
                <w:color w:val="auto"/>
              </w:rPr>
            </w:pPr>
            <w:r>
              <w:rPr>
                <w:rFonts w:ascii="Arial" w:cs="Arial" w:eastAsia="Arial" w:hAnsi="Arial"/>
                <w:sz w:val="11"/>
                <w:szCs w:val="11"/>
                <w:color w:val="auto"/>
                <w:w w:val="96"/>
              </w:rPr>
              <w:t>11.3%</w:t>
            </w:r>
          </w:p>
        </w:tc>
      </w:tr>
      <w:tr>
        <w:trPr>
          <w:trHeight w:val="132"/>
        </w:trPr>
        <w:tc>
          <w:tcPr>
            <w:tcW w:w="2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Severance indemnity deposits</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2,989,705</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3,268,583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2,956,446</w:t>
            </w:r>
          </w:p>
        </w:tc>
        <w:tc>
          <w:tcPr>
            <w:tcW w:w="620" w:type="dxa"/>
            <w:vAlign w:val="bottom"/>
          </w:tcPr>
          <w:p>
            <w:pPr>
              <w:jc w:val="center"/>
              <w:ind w:left="246"/>
              <w:spacing w:after="0"/>
              <w:rPr>
                <w:sz w:val="20"/>
                <w:szCs w:val="20"/>
                <w:color w:val="auto"/>
              </w:rPr>
            </w:pPr>
            <w:r>
              <w:rPr>
                <w:rFonts w:ascii="Arial" w:cs="Arial" w:eastAsia="Arial" w:hAnsi="Arial"/>
                <w:sz w:val="11"/>
                <w:szCs w:val="11"/>
                <w:color w:val="auto"/>
                <w:w w:val="97"/>
              </w:rPr>
              <w:t>-9.5%</w:t>
            </w:r>
          </w:p>
        </w:tc>
        <w:tc>
          <w:tcPr>
            <w:tcW w:w="1260" w:type="dxa"/>
            <w:vAlign w:val="bottom"/>
            <w:tcBorders>
              <w:right w:val="single" w:sz="8" w:color="auto"/>
            </w:tcBorders>
          </w:tcPr>
          <w:p>
            <w:pPr>
              <w:jc w:val="center"/>
              <w:ind w:left="246"/>
              <w:spacing w:after="0"/>
              <w:rPr>
                <w:sz w:val="20"/>
                <w:szCs w:val="20"/>
                <w:color w:val="auto"/>
              </w:rPr>
            </w:pPr>
            <w:r>
              <w:rPr>
                <w:rFonts w:ascii="Arial" w:cs="Arial" w:eastAsia="Arial" w:hAnsi="Arial"/>
                <w:sz w:val="11"/>
                <w:szCs w:val="11"/>
                <w:color w:val="auto"/>
                <w:w w:val="97"/>
              </w:rPr>
              <w:t>-1.1%</w:t>
            </w:r>
          </w:p>
        </w:tc>
        <w:tc>
          <w:tcPr>
            <w:tcW w:w="920" w:type="dxa"/>
            <w:vAlign w:val="bottom"/>
          </w:tcPr>
          <w:p>
            <w:pPr>
              <w:jc w:val="center"/>
              <w:spacing w:after="0"/>
              <w:rPr>
                <w:sz w:val="20"/>
                <w:szCs w:val="20"/>
                <w:color w:val="auto"/>
              </w:rPr>
            </w:pPr>
            <w:r>
              <w:rPr>
                <w:rFonts w:ascii="Arial" w:cs="Arial" w:eastAsia="Arial" w:hAnsi="Arial"/>
                <w:sz w:val="11"/>
                <w:szCs w:val="11"/>
                <w:color w:val="auto"/>
                <w:w w:val="96"/>
              </w:rPr>
              <w:t>-275,884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34,792</w:t>
            </w:r>
          </w:p>
        </w:tc>
        <w:tc>
          <w:tcPr>
            <w:tcW w:w="640" w:type="dxa"/>
            <w:vAlign w:val="bottom"/>
          </w:tcPr>
          <w:p>
            <w:pPr>
              <w:jc w:val="center"/>
              <w:ind w:left="226"/>
              <w:spacing w:after="0"/>
              <w:rPr>
                <w:sz w:val="20"/>
                <w:szCs w:val="20"/>
                <w:color w:val="auto"/>
              </w:rPr>
            </w:pPr>
            <w:r>
              <w:rPr>
                <w:rFonts w:ascii="Arial" w:cs="Arial" w:eastAsia="Arial" w:hAnsi="Arial"/>
                <w:sz w:val="11"/>
                <w:szCs w:val="11"/>
                <w:color w:val="auto"/>
                <w:w w:val="97"/>
              </w:rPr>
              <w:t>-8.4%</w:t>
            </w:r>
          </w:p>
        </w:tc>
        <w:tc>
          <w:tcPr>
            <w:tcW w:w="1260" w:type="dxa"/>
            <w:vAlign w:val="bottom"/>
            <w:tcBorders>
              <w:right w:val="single" w:sz="8" w:color="auto"/>
            </w:tcBorders>
          </w:tcPr>
          <w:p>
            <w:pPr>
              <w:jc w:val="center"/>
              <w:ind w:left="226"/>
              <w:spacing w:after="0"/>
              <w:rPr>
                <w:sz w:val="20"/>
                <w:szCs w:val="20"/>
                <w:color w:val="auto"/>
              </w:rPr>
            </w:pPr>
            <w:r>
              <w:rPr>
                <w:rFonts w:ascii="Arial" w:cs="Arial" w:eastAsia="Arial" w:hAnsi="Arial"/>
                <w:sz w:val="11"/>
                <w:szCs w:val="11"/>
                <w:color w:val="auto"/>
              </w:rPr>
              <w:t>1.2%</w:t>
            </w:r>
          </w:p>
        </w:tc>
      </w:tr>
      <w:tr>
        <w:trPr>
          <w:trHeight w:val="143"/>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Interest payable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1,306,793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770,257</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847,009</w:t>
            </w:r>
          </w:p>
        </w:tc>
        <w:tc>
          <w:tcPr>
            <w:tcW w:w="620" w:type="dxa"/>
            <w:vAlign w:val="bottom"/>
            <w:tcBorders>
              <w:bottom w:val="single" w:sz="8" w:color="auto"/>
            </w:tcBorders>
          </w:tcPr>
          <w:p>
            <w:pPr>
              <w:jc w:val="center"/>
              <w:ind w:left="266"/>
              <w:spacing w:after="0"/>
              <w:rPr>
                <w:sz w:val="20"/>
                <w:szCs w:val="20"/>
                <w:color w:val="auto"/>
              </w:rPr>
            </w:pPr>
            <w:r>
              <w:rPr>
                <w:rFonts w:ascii="Arial" w:cs="Arial" w:eastAsia="Arial" w:hAnsi="Arial"/>
                <w:sz w:val="11"/>
                <w:szCs w:val="11"/>
                <w:color w:val="auto"/>
                <w:w w:val="96"/>
              </w:rPr>
              <w:t>10.0%</w:t>
            </w:r>
          </w:p>
        </w:tc>
        <w:tc>
          <w:tcPr>
            <w:tcW w:w="1260" w:type="dxa"/>
            <w:vAlign w:val="bottom"/>
            <w:tcBorders>
              <w:bottom w:val="single" w:sz="8" w:color="auto"/>
              <w:right w:val="single" w:sz="8" w:color="auto"/>
            </w:tcBorders>
          </w:tcPr>
          <w:p>
            <w:pPr>
              <w:jc w:val="center"/>
              <w:ind w:left="226"/>
              <w:spacing w:after="0"/>
              <w:rPr>
                <w:sz w:val="20"/>
                <w:szCs w:val="20"/>
                <w:color w:val="auto"/>
              </w:rPr>
            </w:pPr>
            <w:r>
              <w:rPr>
                <w:rFonts w:ascii="Arial" w:cs="Arial" w:eastAsia="Arial" w:hAnsi="Arial"/>
                <w:sz w:val="11"/>
                <w:szCs w:val="11"/>
                <w:color w:val="auto"/>
                <w:w w:val="97"/>
              </w:rPr>
              <w:t>-35.2%</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4"/>
              </w:rPr>
              <w:t>10,367</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-1,108</w:t>
            </w:r>
          </w:p>
        </w:tc>
        <w:tc>
          <w:tcPr>
            <w:tcW w:w="640" w:type="dxa"/>
            <w:vAlign w:val="bottom"/>
            <w:tcBorders>
              <w:bottom w:val="single" w:sz="8" w:color="auto"/>
            </w:tcBorders>
          </w:tcPr>
          <w:p>
            <w:pPr>
              <w:jc w:val="center"/>
              <w:ind w:left="246"/>
              <w:spacing w:after="0"/>
              <w:rPr>
                <w:sz w:val="20"/>
                <w:szCs w:val="20"/>
                <w:color w:val="auto"/>
              </w:rPr>
            </w:pPr>
            <w:r>
              <w:rPr>
                <w:rFonts w:ascii="Arial" w:cs="Arial" w:eastAsia="Arial" w:hAnsi="Arial"/>
                <w:sz w:val="11"/>
                <w:szCs w:val="11"/>
                <w:color w:val="auto"/>
              </w:rPr>
              <w:t>0.8%</w:t>
            </w:r>
          </w:p>
        </w:tc>
        <w:tc>
          <w:tcPr>
            <w:tcW w:w="1260" w:type="dxa"/>
            <w:vAlign w:val="bottom"/>
            <w:tcBorders>
              <w:bottom w:val="single" w:sz="8" w:color="auto"/>
              <w:right w:val="single" w:sz="8" w:color="auto"/>
            </w:tcBorders>
          </w:tcPr>
          <w:p>
            <w:pPr>
              <w:jc w:val="center"/>
              <w:ind w:left="246"/>
              <w:spacing w:after="0"/>
              <w:rPr>
                <w:sz w:val="20"/>
                <w:szCs w:val="20"/>
                <w:color w:val="auto"/>
              </w:rPr>
            </w:pPr>
            <w:r>
              <w:rPr>
                <w:rFonts w:ascii="Arial" w:cs="Arial" w:eastAsia="Arial" w:hAnsi="Arial"/>
                <w:sz w:val="11"/>
                <w:szCs w:val="11"/>
                <w:color w:val="auto"/>
                <w:w w:val="97"/>
              </w:rPr>
              <w:t>-0.1%</w:t>
            </w:r>
          </w:p>
        </w:tc>
      </w:tr>
      <w:tr>
        <w:trPr>
          <w:trHeight w:val="137"/>
        </w:trPr>
        <w:tc>
          <w:tcPr>
            <w:tcW w:w="2060" w:type="dxa"/>
            <w:vAlign w:val="bottom"/>
            <w:tcBorders>
              <w:left w:val="single" w:sz="8" w:color="auto"/>
              <w:bottom w:val="single" w:sz="8" w:color="auto"/>
              <w:right w:val="single" w:sz="8" w:color="auto"/>
            </w:tcBorders>
          </w:tcPr>
          <w:p>
            <w:pPr>
              <w:ind w:left="20"/>
              <w:spacing w:after="0" w:line="137" w:lineRule="exact"/>
              <w:rPr>
                <w:sz w:val="20"/>
                <w:szCs w:val="20"/>
                <w:color w:val="auto"/>
              </w:rPr>
            </w:pPr>
            <w:r>
              <w:rPr>
                <w:rFonts w:ascii="Arial" w:cs="Arial" w:eastAsia="Arial" w:hAnsi="Arial"/>
                <w:sz w:val="10"/>
                <w:szCs w:val="10"/>
                <w:b w:val="1"/>
                <w:bCs w:val="1"/>
                <w:color w:val="auto"/>
              </w:rPr>
              <w:t xml:space="preserve">Low-cost deposits </w:t>
            </w:r>
            <w:r>
              <w:rPr>
                <w:rFonts w:ascii="Arial" w:cs="Arial" w:eastAsia="Arial" w:hAnsi="Arial"/>
                <w:sz w:val="15"/>
                <w:szCs w:val="15"/>
                <w:b w:val="1"/>
                <w:bCs w:val="1"/>
                <w:color w:val="auto"/>
                <w:vertAlign w:val="superscript"/>
              </w:rPr>
              <w:t>(1)</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107,624,104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108,323,314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111,511,013</w:t>
            </w:r>
          </w:p>
        </w:tc>
        <w:tc>
          <w:tcPr>
            <w:tcW w:w="620" w:type="dxa"/>
            <w:vAlign w:val="bottom"/>
            <w:tcBorders>
              <w:bottom w:val="single" w:sz="8" w:color="auto"/>
            </w:tcBorders>
          </w:tcPr>
          <w:p>
            <w:pPr>
              <w:jc w:val="center"/>
              <w:ind w:left="246"/>
              <w:spacing w:after="0"/>
              <w:rPr>
                <w:sz w:val="20"/>
                <w:szCs w:val="20"/>
                <w:color w:val="auto"/>
              </w:rPr>
            </w:pPr>
            <w:r>
              <w:rPr>
                <w:rFonts w:ascii="Arial" w:cs="Arial" w:eastAsia="Arial" w:hAnsi="Arial"/>
                <w:sz w:val="11"/>
                <w:szCs w:val="11"/>
                <w:b w:val="1"/>
                <w:bCs w:val="1"/>
                <w:color w:val="auto"/>
                <w:w w:val="95"/>
              </w:rPr>
              <w:t>2.9%</w:t>
            </w:r>
          </w:p>
        </w:tc>
        <w:tc>
          <w:tcPr>
            <w:tcW w:w="1260" w:type="dxa"/>
            <w:vAlign w:val="bottom"/>
            <w:tcBorders>
              <w:bottom w:val="single" w:sz="8" w:color="auto"/>
              <w:right w:val="single" w:sz="8" w:color="auto"/>
            </w:tcBorders>
          </w:tcPr>
          <w:p>
            <w:pPr>
              <w:jc w:val="center"/>
              <w:ind w:left="246"/>
              <w:spacing w:after="0"/>
              <w:rPr>
                <w:sz w:val="20"/>
                <w:szCs w:val="20"/>
                <w:color w:val="auto"/>
              </w:rPr>
            </w:pPr>
            <w:r>
              <w:rPr>
                <w:rFonts w:ascii="Arial" w:cs="Arial" w:eastAsia="Arial" w:hAnsi="Arial"/>
                <w:sz w:val="11"/>
                <w:szCs w:val="11"/>
                <w:b w:val="1"/>
                <w:bCs w:val="1"/>
                <w:color w:val="auto"/>
                <w:w w:val="95"/>
              </w:rPr>
              <w:t>3.6%</w:t>
            </w: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24"/>
        </w:trPr>
        <w:tc>
          <w:tcPr>
            <w:tcW w:w="206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Total Deposits</w:t>
            </w:r>
          </w:p>
        </w:tc>
        <w:tc>
          <w:tcPr>
            <w:tcW w:w="9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154,435,451</w:t>
            </w:r>
          </w:p>
        </w:tc>
        <w:tc>
          <w:tcPr>
            <w:tcW w:w="9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154,723,334</w:t>
            </w:r>
          </w:p>
        </w:tc>
        <w:tc>
          <w:tcPr>
            <w:tcW w:w="96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158,430,455</w:t>
            </w:r>
          </w:p>
        </w:tc>
        <w:tc>
          <w:tcPr>
            <w:tcW w:w="620" w:type="dxa"/>
            <w:vAlign w:val="bottom"/>
            <w:tcBorders>
              <w:bottom w:val="single" w:sz="8" w:color="auto"/>
            </w:tcBorders>
          </w:tcPr>
          <w:p>
            <w:pPr>
              <w:jc w:val="center"/>
              <w:ind w:left="246"/>
              <w:spacing w:after="0" w:line="124" w:lineRule="exact"/>
              <w:rPr>
                <w:sz w:val="20"/>
                <w:szCs w:val="20"/>
                <w:color w:val="auto"/>
              </w:rPr>
            </w:pPr>
            <w:r>
              <w:rPr>
                <w:rFonts w:ascii="Arial" w:cs="Arial" w:eastAsia="Arial" w:hAnsi="Arial"/>
                <w:sz w:val="11"/>
                <w:szCs w:val="11"/>
                <w:b w:val="1"/>
                <w:bCs w:val="1"/>
                <w:color w:val="auto"/>
                <w:w w:val="95"/>
              </w:rPr>
              <w:t>2.4%</w:t>
            </w:r>
          </w:p>
        </w:tc>
        <w:tc>
          <w:tcPr>
            <w:tcW w:w="1260" w:type="dxa"/>
            <w:vAlign w:val="bottom"/>
            <w:tcBorders>
              <w:bottom w:val="single" w:sz="8" w:color="auto"/>
              <w:right w:val="single" w:sz="8" w:color="auto"/>
            </w:tcBorders>
          </w:tcPr>
          <w:p>
            <w:pPr>
              <w:jc w:val="center"/>
              <w:ind w:left="246"/>
              <w:spacing w:after="0" w:line="124" w:lineRule="exact"/>
              <w:rPr>
                <w:sz w:val="20"/>
                <w:szCs w:val="20"/>
                <w:color w:val="auto"/>
              </w:rPr>
            </w:pPr>
            <w:r>
              <w:rPr>
                <w:rFonts w:ascii="Arial" w:cs="Arial" w:eastAsia="Arial" w:hAnsi="Arial"/>
                <w:sz w:val="11"/>
                <w:szCs w:val="11"/>
                <w:b w:val="1"/>
                <w:bCs w:val="1"/>
                <w:color w:val="auto"/>
                <w:w w:val="95"/>
              </w:rPr>
              <w:t>2.6%</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56"/>
        </w:trPr>
        <w:tc>
          <w:tcPr>
            <w:tcW w:w="20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Adjusted by Bolivia's revaluation</w:t>
            </w:r>
          </w:p>
        </w:tc>
        <w:tc>
          <w:tcPr>
            <w:tcW w:w="9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124"/>
        </w:trPr>
        <w:tc>
          <w:tcPr>
            <w:tcW w:w="206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0"/>
                <w:szCs w:val="10"/>
                <w:b w:val="1"/>
                <w:bCs w:val="1"/>
                <w:color w:val="auto"/>
              </w:rPr>
              <w:t xml:space="preserve">Low-cost deposits </w:t>
            </w:r>
            <w:r>
              <w:rPr>
                <w:rFonts w:ascii="Arial" w:cs="Arial" w:eastAsia="Arial" w:hAnsi="Arial"/>
                <w:sz w:val="14"/>
                <w:szCs w:val="14"/>
                <w:b w:val="1"/>
                <w:bCs w:val="1"/>
                <w:color w:val="auto"/>
                <w:vertAlign w:val="superscript"/>
              </w:rPr>
              <w:t>(1)</w:t>
            </w:r>
          </w:p>
        </w:tc>
        <w:tc>
          <w:tcPr>
            <w:tcW w:w="9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107,624,104</w:t>
            </w:r>
          </w:p>
        </w:tc>
        <w:tc>
          <w:tcPr>
            <w:tcW w:w="9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111,757,648</w:t>
            </w:r>
          </w:p>
        </w:tc>
        <w:tc>
          <w:tcPr>
            <w:tcW w:w="96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114,236,696</w:t>
            </w:r>
          </w:p>
        </w:tc>
        <w:tc>
          <w:tcPr>
            <w:tcW w:w="620" w:type="dxa"/>
            <w:vAlign w:val="bottom"/>
            <w:tcBorders>
              <w:bottom w:val="single" w:sz="8" w:color="auto"/>
            </w:tcBorders>
          </w:tcPr>
          <w:p>
            <w:pPr>
              <w:jc w:val="center"/>
              <w:ind w:left="246"/>
              <w:spacing w:after="0" w:line="124" w:lineRule="exact"/>
              <w:rPr>
                <w:sz w:val="20"/>
                <w:szCs w:val="20"/>
                <w:color w:val="auto"/>
              </w:rPr>
            </w:pPr>
            <w:r>
              <w:rPr>
                <w:rFonts w:ascii="Arial" w:cs="Arial" w:eastAsia="Arial" w:hAnsi="Arial"/>
                <w:sz w:val="11"/>
                <w:szCs w:val="11"/>
                <w:b w:val="1"/>
                <w:bCs w:val="1"/>
                <w:color w:val="auto"/>
                <w:w w:val="95"/>
              </w:rPr>
              <w:t>2.2%</w:t>
            </w:r>
          </w:p>
        </w:tc>
        <w:tc>
          <w:tcPr>
            <w:tcW w:w="1260" w:type="dxa"/>
            <w:vAlign w:val="bottom"/>
            <w:tcBorders>
              <w:bottom w:val="single" w:sz="8" w:color="auto"/>
              <w:right w:val="single" w:sz="8" w:color="auto"/>
            </w:tcBorders>
          </w:tcPr>
          <w:p>
            <w:pPr>
              <w:jc w:val="center"/>
              <w:ind w:left="246"/>
              <w:spacing w:after="0" w:line="124" w:lineRule="exact"/>
              <w:rPr>
                <w:sz w:val="20"/>
                <w:szCs w:val="20"/>
                <w:color w:val="auto"/>
              </w:rPr>
            </w:pPr>
            <w:r>
              <w:rPr>
                <w:rFonts w:ascii="Arial" w:cs="Arial" w:eastAsia="Arial" w:hAnsi="Arial"/>
                <w:sz w:val="11"/>
                <w:szCs w:val="11"/>
                <w:b w:val="1"/>
                <w:bCs w:val="1"/>
                <w:color w:val="auto"/>
                <w:w w:val="95"/>
              </w:rPr>
              <w:t>6.1%</w:t>
            </w:r>
          </w:p>
        </w:tc>
        <w:tc>
          <w:tcPr>
            <w:tcW w:w="9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5,303,038</w:t>
            </w:r>
          </w:p>
        </w:tc>
        <w:tc>
          <w:tcPr>
            <w:tcW w:w="96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11,913,490</w:t>
            </w:r>
          </w:p>
        </w:tc>
        <w:tc>
          <w:tcPr>
            <w:tcW w:w="640" w:type="dxa"/>
            <w:vAlign w:val="bottom"/>
            <w:tcBorders>
              <w:bottom w:val="single" w:sz="8" w:color="auto"/>
            </w:tcBorders>
          </w:tcPr>
          <w:p>
            <w:pPr>
              <w:jc w:val="center"/>
              <w:ind w:left="246"/>
              <w:spacing w:after="0" w:line="124" w:lineRule="exact"/>
              <w:rPr>
                <w:sz w:val="20"/>
                <w:szCs w:val="20"/>
                <w:color w:val="auto"/>
              </w:rPr>
            </w:pPr>
            <w:r>
              <w:rPr>
                <w:rFonts w:ascii="Arial" w:cs="Arial" w:eastAsia="Arial" w:hAnsi="Arial"/>
                <w:sz w:val="11"/>
                <w:szCs w:val="11"/>
                <w:b w:val="1"/>
                <w:bCs w:val="1"/>
                <w:color w:val="auto"/>
              </w:rPr>
              <w:t>4.7%</w:t>
            </w:r>
          </w:p>
        </w:tc>
        <w:tc>
          <w:tcPr>
            <w:tcW w:w="1260" w:type="dxa"/>
            <w:vAlign w:val="bottom"/>
            <w:tcBorders>
              <w:bottom w:val="single" w:sz="8" w:color="auto"/>
              <w:right w:val="single" w:sz="8" w:color="auto"/>
            </w:tcBorders>
          </w:tcPr>
          <w:p>
            <w:pPr>
              <w:jc w:val="center"/>
              <w:ind w:left="226"/>
              <w:spacing w:after="0" w:line="124" w:lineRule="exact"/>
              <w:rPr>
                <w:sz w:val="20"/>
                <w:szCs w:val="20"/>
                <w:color w:val="auto"/>
              </w:rPr>
            </w:pPr>
            <w:r>
              <w:rPr>
                <w:rFonts w:ascii="Arial" w:cs="Arial" w:eastAsia="Arial" w:hAnsi="Arial"/>
                <w:sz w:val="11"/>
                <w:szCs w:val="11"/>
                <w:b w:val="1"/>
                <w:bCs w:val="1"/>
                <w:color w:val="auto"/>
                <w:w w:val="96"/>
              </w:rPr>
              <w:t>11.1%</w:t>
            </w:r>
          </w:p>
        </w:tc>
      </w:tr>
      <w:tr>
        <w:trPr>
          <w:trHeight w:val="124"/>
        </w:trPr>
        <w:tc>
          <w:tcPr>
            <w:tcW w:w="206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Total Deposits</w:t>
            </w:r>
          </w:p>
        </w:tc>
        <w:tc>
          <w:tcPr>
            <w:tcW w:w="9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154,435,451</w:t>
            </w:r>
          </w:p>
        </w:tc>
        <w:tc>
          <w:tcPr>
            <w:tcW w:w="9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161,439,586</w:t>
            </w:r>
          </w:p>
        </w:tc>
        <w:tc>
          <w:tcPr>
            <w:tcW w:w="96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163,607,971</w:t>
            </w:r>
          </w:p>
        </w:tc>
        <w:tc>
          <w:tcPr>
            <w:tcW w:w="620" w:type="dxa"/>
            <w:vAlign w:val="bottom"/>
            <w:tcBorders>
              <w:bottom w:val="single" w:sz="8" w:color="auto"/>
            </w:tcBorders>
          </w:tcPr>
          <w:p>
            <w:pPr>
              <w:jc w:val="center"/>
              <w:ind w:left="246"/>
              <w:spacing w:after="0" w:line="124" w:lineRule="exact"/>
              <w:rPr>
                <w:sz w:val="20"/>
                <w:szCs w:val="20"/>
                <w:color w:val="auto"/>
              </w:rPr>
            </w:pPr>
            <w:r>
              <w:rPr>
                <w:rFonts w:ascii="Arial" w:cs="Arial" w:eastAsia="Arial" w:hAnsi="Arial"/>
                <w:sz w:val="11"/>
                <w:szCs w:val="11"/>
                <w:b w:val="1"/>
                <w:bCs w:val="1"/>
                <w:color w:val="auto"/>
                <w:w w:val="95"/>
              </w:rPr>
              <w:t>1.3%</w:t>
            </w:r>
          </w:p>
        </w:tc>
        <w:tc>
          <w:tcPr>
            <w:tcW w:w="1260" w:type="dxa"/>
            <w:vAlign w:val="bottom"/>
            <w:tcBorders>
              <w:bottom w:val="single" w:sz="8" w:color="auto"/>
              <w:right w:val="single" w:sz="8" w:color="auto"/>
            </w:tcBorders>
          </w:tcPr>
          <w:p>
            <w:pPr>
              <w:jc w:val="center"/>
              <w:ind w:left="246"/>
              <w:spacing w:after="0" w:line="124" w:lineRule="exact"/>
              <w:rPr>
                <w:sz w:val="20"/>
                <w:szCs w:val="20"/>
                <w:color w:val="auto"/>
              </w:rPr>
            </w:pPr>
            <w:r>
              <w:rPr>
                <w:rFonts w:ascii="Arial" w:cs="Arial" w:eastAsia="Arial" w:hAnsi="Arial"/>
                <w:sz w:val="11"/>
                <w:szCs w:val="11"/>
                <w:b w:val="1"/>
                <w:bCs w:val="1"/>
                <w:color w:val="auto"/>
                <w:w w:val="95"/>
              </w:rPr>
              <w:t>5.9%</w:t>
            </w:r>
          </w:p>
        </w:tc>
        <w:tc>
          <w:tcPr>
            <w:tcW w:w="9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6,195,830</w:t>
            </w:r>
          </w:p>
        </w:tc>
        <w:tc>
          <w:tcPr>
            <w:tcW w:w="96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16,732,417</w:t>
            </w:r>
          </w:p>
        </w:tc>
        <w:tc>
          <w:tcPr>
            <w:tcW w:w="640" w:type="dxa"/>
            <w:vAlign w:val="bottom"/>
            <w:tcBorders>
              <w:bottom w:val="single" w:sz="8" w:color="auto"/>
            </w:tcBorders>
          </w:tcPr>
          <w:p>
            <w:pPr>
              <w:jc w:val="center"/>
              <w:ind w:left="246"/>
              <w:spacing w:after="0" w:line="124" w:lineRule="exact"/>
              <w:rPr>
                <w:sz w:val="20"/>
                <w:szCs w:val="20"/>
                <w:color w:val="auto"/>
              </w:rPr>
            </w:pPr>
            <w:r>
              <w:rPr>
                <w:rFonts w:ascii="Arial" w:cs="Arial" w:eastAsia="Arial" w:hAnsi="Arial"/>
                <w:sz w:val="11"/>
                <w:szCs w:val="11"/>
                <w:b w:val="1"/>
                <w:bCs w:val="1"/>
                <w:color w:val="auto"/>
              </w:rPr>
              <w:t>3.8%</w:t>
            </w:r>
          </w:p>
        </w:tc>
        <w:tc>
          <w:tcPr>
            <w:tcW w:w="1260" w:type="dxa"/>
            <w:vAlign w:val="bottom"/>
            <w:tcBorders>
              <w:bottom w:val="single" w:sz="8" w:color="auto"/>
              <w:right w:val="single" w:sz="8" w:color="auto"/>
            </w:tcBorders>
          </w:tcPr>
          <w:p>
            <w:pPr>
              <w:jc w:val="center"/>
              <w:ind w:left="226"/>
              <w:spacing w:after="0" w:line="124" w:lineRule="exact"/>
              <w:rPr>
                <w:sz w:val="20"/>
                <w:szCs w:val="20"/>
                <w:color w:val="auto"/>
              </w:rPr>
            </w:pPr>
            <w:r>
              <w:rPr>
                <w:rFonts w:ascii="Arial" w:cs="Arial" w:eastAsia="Arial" w:hAnsi="Arial"/>
                <w:sz w:val="11"/>
                <w:szCs w:val="11"/>
                <w:b w:val="1"/>
                <w:bCs w:val="1"/>
                <w:color w:val="auto"/>
                <w:w w:val="96"/>
              </w:rPr>
              <w:t>10.8%</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1"/>
          <w:szCs w:val="11"/>
          <w:color w:val="auto"/>
        </w:rPr>
        <w:t>(1) Includes Demand Deposits and Saving Deposits</w:t>
      </w:r>
    </w:p>
    <w:p>
      <w:pPr>
        <w:spacing w:after="0" w:line="160" w:lineRule="exact"/>
        <w:rPr>
          <w:sz w:val="20"/>
          <w:szCs w:val="20"/>
          <w:color w:val="auto"/>
        </w:rPr>
      </w:pPr>
    </w:p>
    <w:p>
      <w:pPr>
        <w:jc w:val="both"/>
        <w:spacing w:after="0" w:line="207" w:lineRule="auto"/>
        <w:rPr>
          <w:sz w:val="20"/>
          <w:szCs w:val="20"/>
          <w:color w:val="auto"/>
        </w:rPr>
      </w:pPr>
      <w:r>
        <w:rPr>
          <w:rFonts w:ascii="Arial" w:cs="Arial" w:eastAsia="Arial" w:hAnsi="Arial"/>
          <w:sz w:val="16"/>
          <w:szCs w:val="16"/>
          <w:color w:val="auto"/>
        </w:rPr>
        <w:t xml:space="preserve">This quarter, Total Deposits increased 2.4% and 2.6%, </w:t>
      </w:r>
      <w:r>
        <w:rPr>
          <w:rFonts w:ascii="Arial" w:cs="Arial" w:eastAsia="Arial" w:hAnsi="Arial"/>
          <w:sz w:val="16"/>
          <w:szCs w:val="16"/>
          <w:b w:val="1"/>
          <w:bCs w:val="1"/>
          <w:color w:val="auto"/>
        </w:rPr>
        <w:t>QoQ and YoY</w:t>
      </w:r>
      <w:r>
        <w:rPr>
          <w:rFonts w:ascii="Arial" w:cs="Arial" w:eastAsia="Arial" w:hAnsi="Arial"/>
          <w:sz w:val="16"/>
          <w:szCs w:val="16"/>
          <w:color w:val="auto"/>
        </w:rPr>
        <w:t xml:space="preserve">, respectively. Both evolutions were impacted by the revaluation of assets at </w:t>
      </w:r>
      <w:r>
        <w:rPr>
          <w:rFonts w:ascii="Arial" w:cs="Arial" w:eastAsia="Arial" w:hAnsi="Arial"/>
          <w:sz w:val="16"/>
          <w:szCs w:val="16"/>
          <w:b w:val="1"/>
          <w:bCs w:val="1"/>
          <w:color w:val="auto"/>
        </w:rPr>
        <w:t>BCP</w:t>
      </w:r>
      <w:r>
        <w:rPr>
          <w:rFonts w:ascii="Arial" w:cs="Arial" w:eastAsia="Arial" w:hAnsi="Arial"/>
          <w:sz w:val="16"/>
          <w:szCs w:val="16"/>
          <w:color w:val="auto"/>
        </w:rPr>
        <w:t xml:space="preserve"> </w:t>
      </w:r>
      <w:r>
        <w:rPr>
          <w:rFonts w:ascii="Arial" w:cs="Arial" w:eastAsia="Arial" w:hAnsi="Arial"/>
          <w:sz w:val="16"/>
          <w:szCs w:val="16"/>
          <w:b w:val="1"/>
          <w:bCs w:val="1"/>
          <w:color w:val="auto"/>
        </w:rPr>
        <w:t>Bolivia</w:t>
      </w:r>
      <w:r>
        <w:rPr>
          <w:rFonts w:ascii="Arial" w:cs="Arial" w:eastAsia="Arial" w:hAnsi="Arial"/>
          <w:sz w:val="26"/>
          <w:szCs w:val="26"/>
          <w:color w:val="auto"/>
          <w:vertAlign w:val="superscript"/>
        </w:rPr>
        <w:t>1</w:t>
      </w:r>
      <w:r>
        <w:rPr>
          <w:rFonts w:ascii="Arial" w:cs="Arial" w:eastAsia="Arial" w:hAnsi="Arial"/>
          <w:sz w:val="16"/>
          <w:szCs w:val="16"/>
          <w:color w:val="auto"/>
        </w:rPr>
        <w:t>. If we exclude this impact, Deposits rose 1.3%</w:t>
      </w:r>
      <w:r>
        <w:rPr>
          <w:rFonts w:ascii="Arial" w:cs="Arial" w:eastAsia="Arial" w:hAnsi="Arial"/>
          <w:sz w:val="16"/>
          <w:szCs w:val="16"/>
          <w:b w:val="1"/>
          <w:bCs w:val="1"/>
          <w:color w:val="auto"/>
        </w:rPr>
        <w:t xml:space="preserve"> QoQ </w:t>
      </w:r>
      <w:r>
        <w:rPr>
          <w:rFonts w:ascii="Arial" w:cs="Arial" w:eastAsia="Arial" w:hAnsi="Arial"/>
          <w:sz w:val="16"/>
          <w:szCs w:val="16"/>
          <w:color w:val="auto"/>
        </w:rPr>
        <w:t>and 5.9%</w:t>
      </w:r>
      <w:r>
        <w:rPr>
          <w:rFonts w:ascii="Arial" w:cs="Arial" w:eastAsia="Arial" w:hAnsi="Arial"/>
          <w:sz w:val="16"/>
          <w:szCs w:val="16"/>
          <w:b w:val="1"/>
          <w:bCs w:val="1"/>
          <w:color w:val="auto"/>
        </w:rPr>
        <w:t xml:space="preserve"> YoY. </w:t>
      </w:r>
      <w:r>
        <w:rPr>
          <w:rFonts w:ascii="Arial" w:cs="Arial" w:eastAsia="Arial" w:hAnsi="Arial"/>
          <w:sz w:val="16"/>
          <w:szCs w:val="16"/>
          <w:color w:val="auto"/>
        </w:rPr>
        <w:t>Excluding the impact of the USD devaluation against PEN , deposits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increased 3.8% </w:t>
      </w:r>
      <w:r>
        <w:rPr>
          <w:rFonts w:ascii="Arial" w:cs="Arial" w:eastAsia="Arial" w:hAnsi="Arial"/>
          <w:sz w:val="16"/>
          <w:szCs w:val="16"/>
          <w:b w:val="1"/>
          <w:bCs w:val="1"/>
          <w:color w:val="auto"/>
        </w:rPr>
        <w:t>QoQ</w:t>
      </w:r>
      <w:r>
        <w:rPr>
          <w:rFonts w:ascii="Arial" w:cs="Arial" w:eastAsia="Arial" w:hAnsi="Arial"/>
          <w:sz w:val="16"/>
          <w:szCs w:val="16"/>
          <w:color w:val="auto"/>
        </w:rPr>
        <w:t xml:space="preserve"> and 10.8% </w:t>
      </w:r>
      <w:r>
        <w:rPr>
          <w:rFonts w:ascii="Arial" w:cs="Arial" w:eastAsia="Arial" w:hAnsi="Arial"/>
          <w:sz w:val="16"/>
          <w:szCs w:val="16"/>
          <w:b w:val="1"/>
          <w:bCs w:val="1"/>
          <w:color w:val="auto"/>
        </w:rPr>
        <w:t>YoY</w:t>
      </w:r>
      <w:r>
        <w:rPr>
          <w:rFonts w:ascii="Arial" w:cs="Arial" w:eastAsia="Arial" w:hAnsi="Arial"/>
          <w:sz w:val="16"/>
          <w:szCs w:val="16"/>
          <w:color w:val="auto"/>
        </w:rPr>
        <w:t xml:space="preserve"> in FX neutral terms, as follows: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QoQ, </w:t>
      </w:r>
      <w:r>
        <w:rPr>
          <w:rFonts w:ascii="Arial" w:cs="Arial" w:eastAsia="Arial" w:hAnsi="Arial"/>
          <w:sz w:val="16"/>
          <w:szCs w:val="16"/>
          <w:color w:val="auto"/>
        </w:rPr>
        <w:t>our</w:t>
      </w:r>
      <w:r>
        <w:rPr>
          <w:rFonts w:ascii="Arial" w:cs="Arial" w:eastAsia="Arial" w:hAnsi="Arial"/>
          <w:sz w:val="16"/>
          <w:szCs w:val="16"/>
          <w:b w:val="1"/>
          <w:bCs w:val="1"/>
          <w:color w:val="auto"/>
        </w:rPr>
        <w:t xml:space="preserve"> Total Deposit </w:t>
      </w:r>
      <w:r>
        <w:rPr>
          <w:rFonts w:ascii="Arial" w:cs="Arial" w:eastAsia="Arial" w:hAnsi="Arial"/>
          <w:sz w:val="16"/>
          <w:szCs w:val="16"/>
          <w:color w:val="auto"/>
        </w:rPr>
        <w:t>balance rose 3.8%, due primarily to:</w:t>
      </w:r>
    </w:p>
    <w:p>
      <w:pPr>
        <w:spacing w:after="0" w:line="12" w:lineRule="exact"/>
        <w:rPr>
          <w:sz w:val="20"/>
          <w:szCs w:val="20"/>
          <w:color w:val="auto"/>
        </w:rPr>
      </w:pPr>
    </w:p>
    <w:p>
      <w:pPr>
        <w:jc w:val="both"/>
        <w:ind w:left="720" w:hanging="294"/>
        <w:spacing w:after="0" w:line="234"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Growth of 5.6% in the balance of </w:t>
      </w:r>
      <w:r>
        <w:rPr>
          <w:rFonts w:ascii="Arial" w:cs="Arial" w:eastAsia="Arial" w:hAnsi="Arial"/>
          <w:sz w:val="16"/>
          <w:szCs w:val="16"/>
          <w:b w:val="1"/>
          <w:bCs w:val="1"/>
          <w:color w:val="auto"/>
        </w:rPr>
        <w:t>Demand Deposits,</w:t>
      </w:r>
      <w:r>
        <w:rPr>
          <w:rFonts w:ascii="Arial" w:cs="Arial" w:eastAsia="Arial" w:hAnsi="Arial"/>
          <w:sz w:val="16"/>
          <w:szCs w:val="16"/>
          <w:color w:val="auto"/>
        </w:rPr>
        <w:t xml:space="preserve"> fueled mainly by growth in volumes of FC deposits held by wholesale clients at </w:t>
      </w:r>
      <w:r>
        <w:rPr>
          <w:rFonts w:ascii="Arial" w:cs="Arial" w:eastAsia="Arial" w:hAnsi="Arial"/>
          <w:sz w:val="16"/>
          <w:szCs w:val="16"/>
          <w:b w:val="1"/>
          <w:bCs w:val="1"/>
          <w:color w:val="auto"/>
        </w:rPr>
        <w:t>BCP</w:t>
      </w:r>
      <w:r>
        <w:rPr>
          <w:rFonts w:ascii="Arial" w:cs="Arial" w:eastAsia="Arial" w:hAnsi="Arial"/>
          <w:sz w:val="16"/>
          <w:szCs w:val="16"/>
          <w:color w:val="auto"/>
        </w:rPr>
        <w:t xml:space="preserve"> </w:t>
      </w:r>
      <w:r>
        <w:rPr>
          <w:rFonts w:ascii="Arial" w:cs="Arial" w:eastAsia="Arial" w:hAnsi="Arial"/>
          <w:sz w:val="16"/>
          <w:szCs w:val="16"/>
          <w:b w:val="1"/>
          <w:bCs w:val="1"/>
          <w:color w:val="auto"/>
        </w:rPr>
        <w:t>Stand-alone</w:t>
      </w:r>
      <w:r>
        <w:rPr>
          <w:rFonts w:ascii="Arial" w:cs="Arial" w:eastAsia="Arial" w:hAnsi="Arial"/>
          <w:sz w:val="16"/>
          <w:szCs w:val="16"/>
          <w:color w:val="auto"/>
        </w:rPr>
        <w:t>. These deposits rose primarily on the back of an upswing in institutional activity and secondarily due to a drop in the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rate, which led institutional clients to convert funds.</w:t>
      </w:r>
    </w:p>
    <w:p>
      <w:pPr>
        <w:spacing w:after="0" w:line="1" w:lineRule="exact"/>
        <w:rPr>
          <w:rFonts w:ascii="Arial" w:cs="Arial" w:eastAsia="Arial" w:hAnsi="Arial"/>
          <w:sz w:val="16"/>
          <w:szCs w:val="16"/>
          <w:color w:val="auto"/>
        </w:rPr>
      </w:pPr>
    </w:p>
    <w:p>
      <w:pPr>
        <w:jc w:val="both"/>
        <w:ind w:left="720" w:hanging="294"/>
        <w:spacing w:after="0" w:line="268" w:lineRule="auto"/>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An 4% increase in the balance of </w:t>
      </w:r>
      <w:r>
        <w:rPr>
          <w:rFonts w:ascii="Arial" w:cs="Arial" w:eastAsia="Arial" w:hAnsi="Arial"/>
          <w:sz w:val="14"/>
          <w:szCs w:val="14"/>
          <w:b w:val="1"/>
          <w:bCs w:val="1"/>
          <w:color w:val="auto"/>
        </w:rPr>
        <w:t>Savings Deposits,</w:t>
      </w:r>
      <w:r>
        <w:rPr>
          <w:rFonts w:ascii="Arial" w:cs="Arial" w:eastAsia="Arial" w:hAnsi="Arial"/>
          <w:sz w:val="14"/>
          <w:szCs w:val="14"/>
          <w:color w:val="auto"/>
        </w:rPr>
        <w:t xml:space="preserve"> which was driven primarily by growth in volumes at BCP Stand-alone and in Individuals in particular, spurred by: (i) an increase in the volume in LC, fueled by statutory bonus payments in July and (ii) an increase in the FC volume, given that clients sought to save in USD following three consecutive quarters of declines in the USDPEN FX. Growth in the balance of Savings Deposits reflects the success of our transactional offering, which allows us to capture deposits in an environment marked by higher liquidity.</w:t>
      </w:r>
    </w:p>
    <w:p>
      <w:pPr>
        <w:spacing w:after="0" w:line="1" w:lineRule="exact"/>
        <w:rPr>
          <w:rFonts w:ascii="Arial" w:cs="Arial" w:eastAsia="Arial" w:hAnsi="Arial"/>
          <w:sz w:val="14"/>
          <w:szCs w:val="14"/>
          <w:color w:val="auto"/>
        </w:rPr>
      </w:pPr>
    </w:p>
    <w:p>
      <w:pPr>
        <w:ind w:left="700" w:right="20" w:hanging="274"/>
        <w:spacing w:after="0" w:line="254"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An increase of 2.6% in the balance for </w:t>
      </w:r>
      <w:r>
        <w:rPr>
          <w:rFonts w:ascii="Arial" w:cs="Arial" w:eastAsia="Arial" w:hAnsi="Arial"/>
          <w:sz w:val="16"/>
          <w:szCs w:val="16"/>
          <w:b w:val="1"/>
          <w:bCs w:val="1"/>
          <w:color w:val="auto"/>
        </w:rPr>
        <w:t>Time Deposits,</w:t>
      </w:r>
      <w:r>
        <w:rPr>
          <w:rFonts w:ascii="Arial" w:cs="Arial" w:eastAsia="Arial" w:hAnsi="Arial"/>
          <w:sz w:val="16"/>
          <w:szCs w:val="16"/>
          <w:color w:val="auto"/>
        </w:rPr>
        <w:t xml:space="preserve"> which was driven by growth in captures of LC deposits held by wholesale clients at </w:t>
      </w:r>
      <w:r>
        <w:rPr>
          <w:rFonts w:ascii="Arial" w:cs="Arial" w:eastAsia="Arial" w:hAnsi="Arial"/>
          <w:sz w:val="16"/>
          <w:szCs w:val="16"/>
          <w:b w:val="1"/>
          <w:bCs w:val="1"/>
          <w:color w:val="auto"/>
        </w:rPr>
        <w:t>BCP Stand-alone</w:t>
      </w:r>
      <w:r>
        <w:rPr>
          <w:rFonts w:ascii="Arial" w:cs="Arial" w:eastAsia="Arial" w:hAnsi="Arial"/>
          <w:sz w:val="16"/>
          <w:szCs w:val="16"/>
          <w:color w:val="auto"/>
        </w:rPr>
        <w:t>, in line with the objectives of our funding strategy.</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our balance for</w:t>
      </w:r>
      <w:r>
        <w:rPr>
          <w:rFonts w:ascii="Arial" w:cs="Arial" w:eastAsia="Arial" w:hAnsi="Arial"/>
          <w:sz w:val="16"/>
          <w:szCs w:val="16"/>
          <w:b w:val="1"/>
          <w:bCs w:val="1"/>
          <w:color w:val="auto"/>
        </w:rPr>
        <w:t xml:space="preserve"> Total Deposits </w:t>
      </w:r>
      <w:r>
        <w:rPr>
          <w:rFonts w:ascii="Arial" w:cs="Arial" w:eastAsia="Arial" w:hAnsi="Arial"/>
          <w:sz w:val="16"/>
          <w:szCs w:val="16"/>
          <w:color w:val="auto"/>
        </w:rPr>
        <w:t>increased 10.8%, driven primarily by:</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 xml:space="preserve">Growth of 17.6% and 11.3% in the balance for </w:t>
      </w:r>
      <w:r>
        <w:rPr>
          <w:rFonts w:ascii="Arial" w:cs="Arial" w:eastAsia="Arial" w:hAnsi="Arial"/>
          <w:sz w:val="16"/>
          <w:szCs w:val="16"/>
          <w:b w:val="1"/>
          <w:bCs w:val="1"/>
          <w:color w:val="auto"/>
        </w:rPr>
        <w:t>Savings Deposits</w:t>
      </w:r>
      <w:r>
        <w:rPr>
          <w:rFonts w:ascii="Arial" w:cs="Arial" w:eastAsia="Arial" w:hAnsi="Arial"/>
          <w:sz w:val="16"/>
          <w:szCs w:val="16"/>
          <w:color w:val="auto"/>
        </w:rPr>
        <w:t xml:space="preserve"> and </w:t>
      </w:r>
      <w:r>
        <w:rPr>
          <w:rFonts w:ascii="Arial" w:cs="Arial" w:eastAsia="Arial" w:hAnsi="Arial"/>
          <w:sz w:val="16"/>
          <w:szCs w:val="16"/>
          <w:b w:val="1"/>
          <w:bCs w:val="1"/>
          <w:color w:val="auto"/>
        </w:rPr>
        <w:t>Time Deposits,</w:t>
      </w:r>
      <w:r>
        <w:rPr>
          <w:rFonts w:ascii="Arial" w:cs="Arial" w:eastAsia="Arial" w:hAnsi="Arial"/>
          <w:sz w:val="16"/>
          <w:szCs w:val="16"/>
          <w:color w:val="auto"/>
        </w:rPr>
        <w:t xml:space="preserve"> respectively. Both evolutions were mainly driven by the same dynamics observed QoQ. The balance for </w:t>
      </w:r>
      <w:r>
        <w:rPr>
          <w:rFonts w:ascii="Arial" w:cs="Arial" w:eastAsia="Arial" w:hAnsi="Arial"/>
          <w:sz w:val="16"/>
          <w:szCs w:val="16"/>
          <w:b w:val="1"/>
          <w:bCs w:val="1"/>
          <w:color w:val="auto"/>
        </w:rPr>
        <w:t>Demand Deposits</w:t>
      </w:r>
      <w:r>
        <w:rPr>
          <w:rFonts w:ascii="Arial" w:cs="Arial" w:eastAsia="Arial" w:hAnsi="Arial"/>
          <w:sz w:val="16"/>
          <w:szCs w:val="16"/>
          <w:color w:val="auto"/>
        </w:rPr>
        <w:t xml:space="preserve"> rose 4.4%, driven primarily by the same factors in play QoQ; this evolution was offset by a drop in the LC balance, which was impacted by a remaining impact from last year’s pension fund withdrawals, which were initially received in Demand Deposit accounts.</w:t>
      </w:r>
    </w:p>
    <w:p>
      <w:pPr>
        <w:spacing w:after="0" w:line="142"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auto"/>
        </w:rPr>
        <w:t>Thanks to our investments in digital infrastructure and better customer engagement, we increased our low-cost deposits YoY by 13bps to account for 69.8% of total deposits. By September, this helped us reach a 39.5% market share in low-cost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167703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166" w:lineRule="exact"/>
        <w:rPr>
          <w:sz w:val="20"/>
          <w:szCs w:val="20"/>
          <w:color w:val="auto"/>
        </w:rPr>
      </w:pPr>
    </w:p>
    <w:p>
      <w:pPr>
        <w:ind w:left="100" w:hanging="94"/>
        <w:spacing w:after="0"/>
        <w:tabs>
          <w:tab w:leader="none" w:pos="100" w:val="left"/>
        </w:tabs>
        <w:numPr>
          <w:ilvl w:val="0"/>
          <w:numId w:val="19"/>
        </w:numPr>
        <w:rPr>
          <w:rFonts w:ascii="Arial" w:cs="Arial" w:eastAsia="Arial" w:hAnsi="Arial"/>
          <w:sz w:val="8"/>
          <w:szCs w:val="8"/>
          <w:color w:val="auto"/>
        </w:rPr>
      </w:pPr>
      <w:r>
        <w:rPr>
          <w:rFonts w:ascii="Arial" w:cs="Arial" w:eastAsia="Arial" w:hAnsi="Arial"/>
          <w:sz w:val="13"/>
          <w:szCs w:val="13"/>
          <w:color w:val="auto"/>
        </w:rPr>
        <w:t>As in recent quarters, this evolution is impacted by a non-cash accounting adjustment for the revaluation of assets related to the balance sheet of 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750570</wp:posOffset>
            </wp:positionV>
            <wp:extent cx="670750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156210</wp:posOffset>
            </wp:positionV>
            <wp:extent cx="5991225" cy="5029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91225" cy="502920"/>
                    </a:xfrm>
                    <a:prstGeom prst="rect">
                      <a:avLst/>
                    </a:prstGeom>
                    <a:noFill/>
                  </pic:spPr>
                </pic:pic>
              </a:graphicData>
            </a:graphic>
          </wp:anchor>
        </w:drawing>
      </w:r>
    </w:p>
    <w:p>
      <w:pPr>
        <w:sectPr>
          <w:pgSz w:w="11900" w:h="16840" w:orient="portrait"/>
          <w:cols w:equalWidth="0" w:num="1">
            <w:col w:w="10580"/>
          </w:cols>
          <w:pgMar w:left="660" w:top="929" w:right="660" w:bottom="1440" w:gutter="0" w:footer="0" w:header="0"/>
        </w:sectPr>
      </w:pPr>
    </w:p>
    <w:bookmarkStart w:id="22" w:name="page23"/>
    <w:bookmarkEnd w:id="22"/>
    <w:p>
      <w:pPr>
        <w:ind w:left="254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92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07505" cy="79248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02. Deposits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Dollarization Level of Deposits</w:t>
      </w:r>
    </w:p>
    <w:p>
      <w:pPr>
        <w:spacing w:after="0" w:line="173" w:lineRule="exact"/>
        <w:rPr>
          <w:sz w:val="20"/>
          <w:szCs w:val="20"/>
          <w:color w:val="auto"/>
        </w:rPr>
      </w:pPr>
    </w:p>
    <w:tbl>
      <w:tblPr>
        <w:tblLayout w:type="fixed"/>
        <w:tblInd w:w="1480" w:type="dxa"/>
        <w:tblCellMar>
          <w:top w:w="0" w:type="dxa"/>
          <w:left w:w="0" w:type="dxa"/>
          <w:bottom w:w="0" w:type="dxa"/>
          <w:right w:w="0" w:type="dxa"/>
        </w:tblCellMar>
      </w:tblPr>
      <w:tr>
        <w:trPr>
          <w:trHeight w:val="184"/>
        </w:trPr>
        <w:tc>
          <w:tcPr>
            <w:tcW w:w="3060" w:type="dxa"/>
            <w:vAlign w:val="bottom"/>
          </w:tcPr>
          <w:p>
            <w:pPr>
              <w:jc w:val="center"/>
              <w:ind w:right="888"/>
              <w:spacing w:after="0"/>
              <w:rPr>
                <w:sz w:val="20"/>
                <w:szCs w:val="20"/>
                <w:color w:val="auto"/>
              </w:rPr>
            </w:pPr>
            <w:r>
              <w:rPr>
                <w:rFonts w:ascii="Arial" w:cs="Arial" w:eastAsia="Arial" w:hAnsi="Arial"/>
                <w:sz w:val="16"/>
                <w:szCs w:val="16"/>
                <w:b w:val="1"/>
                <w:bCs w:val="1"/>
                <w:color w:val="auto"/>
                <w:w w:val="97"/>
              </w:rPr>
              <w:t>Deposits by Currency</w:t>
            </w:r>
          </w:p>
        </w:tc>
        <w:tc>
          <w:tcPr>
            <w:tcW w:w="6100" w:type="dxa"/>
            <w:vAlign w:val="bottom"/>
          </w:tcPr>
          <w:p>
            <w:pPr>
              <w:ind w:left="960"/>
              <w:spacing w:after="0"/>
              <w:rPr>
                <w:sz w:val="20"/>
                <w:szCs w:val="20"/>
                <w:color w:val="auto"/>
              </w:rPr>
            </w:pPr>
            <w:r>
              <w:rPr>
                <w:rFonts w:ascii="Arial" w:cs="Arial" w:eastAsia="Arial" w:hAnsi="Arial"/>
                <w:sz w:val="16"/>
                <w:szCs w:val="16"/>
                <w:color w:val="auto"/>
                <w:w w:val="98"/>
              </w:rPr>
              <w:t xml:space="preserve">At the end of September 2025, the level of dollarization of </w:t>
            </w:r>
            <w:r>
              <w:rPr>
                <w:rFonts w:ascii="Arial" w:cs="Arial" w:eastAsia="Arial" w:hAnsi="Arial"/>
                <w:sz w:val="16"/>
                <w:szCs w:val="16"/>
                <w:b w:val="1"/>
                <w:bCs w:val="1"/>
                <w:color w:val="auto"/>
                <w:w w:val="98"/>
              </w:rPr>
              <w:t>Total Deposits</w:t>
            </w:r>
          </w:p>
        </w:tc>
      </w:tr>
      <w:tr>
        <w:trPr>
          <w:trHeight w:val="182"/>
        </w:trPr>
        <w:tc>
          <w:tcPr>
            <w:tcW w:w="3060" w:type="dxa"/>
            <w:vAlign w:val="bottom"/>
          </w:tcPr>
          <w:p>
            <w:pPr>
              <w:jc w:val="center"/>
              <w:ind w:right="868"/>
              <w:spacing w:after="0"/>
              <w:rPr>
                <w:sz w:val="20"/>
                <w:szCs w:val="20"/>
                <w:color w:val="auto"/>
              </w:rPr>
            </w:pPr>
            <w:r>
              <w:rPr>
                <w:rFonts w:ascii="Arial" w:cs="Arial" w:eastAsia="Arial" w:hAnsi="Arial"/>
                <w:sz w:val="13"/>
                <w:szCs w:val="13"/>
                <w:color w:val="auto"/>
              </w:rPr>
              <w:t>(measured at quarter-end balances)</w:t>
            </w:r>
          </w:p>
        </w:tc>
        <w:tc>
          <w:tcPr>
            <w:tcW w:w="6100" w:type="dxa"/>
            <w:vAlign w:val="bottom"/>
          </w:tcPr>
          <w:p>
            <w:pPr>
              <w:ind w:left="960"/>
              <w:spacing w:after="0" w:line="182" w:lineRule="exact"/>
              <w:rPr>
                <w:sz w:val="20"/>
                <w:szCs w:val="20"/>
                <w:color w:val="auto"/>
              </w:rPr>
            </w:pPr>
            <w:r>
              <w:rPr>
                <w:rFonts w:ascii="Arial" w:cs="Arial" w:eastAsia="Arial" w:hAnsi="Arial"/>
                <w:sz w:val="16"/>
                <w:szCs w:val="16"/>
                <w:color w:val="auto"/>
              </w:rPr>
              <w:t xml:space="preserve">dropped 53 bps </w:t>
            </w:r>
            <w:r>
              <w:rPr>
                <w:rFonts w:ascii="Arial" w:cs="Arial" w:eastAsia="Arial" w:hAnsi="Arial"/>
                <w:sz w:val="16"/>
                <w:szCs w:val="16"/>
                <w:b w:val="1"/>
                <w:bCs w:val="1"/>
                <w:color w:val="auto"/>
              </w:rPr>
              <w:t>QoQ</w:t>
            </w:r>
            <w:r>
              <w:rPr>
                <w:rFonts w:ascii="Arial" w:cs="Arial" w:eastAsia="Arial" w:hAnsi="Arial"/>
                <w:sz w:val="16"/>
                <w:szCs w:val="16"/>
                <w:color w:val="auto"/>
              </w:rPr>
              <w:t xml:space="preserve"> to stand at 44.6% (still below the average for the</w:t>
            </w:r>
          </w:p>
        </w:tc>
      </w:tr>
      <w:tr>
        <w:trPr>
          <w:trHeight w:val="178"/>
        </w:trPr>
        <w:tc>
          <w:tcPr>
            <w:tcW w:w="3060" w:type="dxa"/>
            <w:vAlign w:val="bottom"/>
          </w:tcPr>
          <w:p>
            <w:pPr>
              <w:spacing w:after="0"/>
              <w:rPr>
                <w:sz w:val="15"/>
                <w:szCs w:val="15"/>
                <w:color w:val="auto"/>
              </w:rPr>
            </w:pPr>
          </w:p>
        </w:tc>
        <w:tc>
          <w:tcPr>
            <w:tcW w:w="6100" w:type="dxa"/>
            <w:vAlign w:val="bottom"/>
          </w:tcPr>
          <w:p>
            <w:pPr>
              <w:ind w:left="960"/>
              <w:spacing w:after="0" w:line="178" w:lineRule="exact"/>
              <w:rPr>
                <w:sz w:val="20"/>
                <w:szCs w:val="20"/>
                <w:color w:val="auto"/>
              </w:rPr>
            </w:pPr>
            <w:r>
              <w:rPr>
                <w:rFonts w:ascii="Arial" w:cs="Arial" w:eastAsia="Arial" w:hAnsi="Arial"/>
                <w:sz w:val="16"/>
                <w:szCs w:val="16"/>
                <w:color w:val="auto"/>
                <w:w w:val="99"/>
              </w:rPr>
              <w:t>last 3 years of 48.7%). This evolution was primarily attributable to growth</w:t>
            </w:r>
          </w:p>
        </w:tc>
      </w:tr>
      <w:tr>
        <w:trPr>
          <w:trHeight w:val="182"/>
        </w:trPr>
        <w:tc>
          <w:tcPr>
            <w:tcW w:w="3060" w:type="dxa"/>
            <w:vAlign w:val="bottom"/>
          </w:tcPr>
          <w:p>
            <w:pPr>
              <w:spacing w:after="0"/>
              <w:rPr>
                <w:sz w:val="15"/>
                <w:szCs w:val="15"/>
                <w:color w:val="auto"/>
              </w:rPr>
            </w:pPr>
          </w:p>
        </w:tc>
        <w:tc>
          <w:tcPr>
            <w:tcW w:w="6100" w:type="dxa"/>
            <w:vAlign w:val="bottom"/>
          </w:tcPr>
          <w:p>
            <w:pPr>
              <w:ind w:left="960"/>
              <w:spacing w:after="0" w:line="182" w:lineRule="exact"/>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auto"/>
              </w:rPr>
              <w:t>Savings Deposits</w:t>
            </w:r>
            <w:r>
              <w:rPr>
                <w:rFonts w:ascii="Arial" w:cs="Arial" w:eastAsia="Arial" w:hAnsi="Arial"/>
                <w:sz w:val="16"/>
                <w:szCs w:val="16"/>
                <w:color w:val="auto"/>
              </w:rPr>
              <w:t xml:space="preserve"> in LC, which rose on the back of fund inflows from</w:t>
            </w:r>
          </w:p>
        </w:tc>
      </w:tr>
      <w:tr>
        <w:trPr>
          <w:trHeight w:val="180"/>
        </w:trPr>
        <w:tc>
          <w:tcPr>
            <w:tcW w:w="3060" w:type="dxa"/>
            <w:vAlign w:val="bottom"/>
          </w:tcPr>
          <w:p>
            <w:pPr>
              <w:spacing w:after="0"/>
              <w:rPr>
                <w:sz w:val="15"/>
                <w:szCs w:val="15"/>
                <w:color w:val="auto"/>
              </w:rPr>
            </w:pPr>
          </w:p>
        </w:tc>
        <w:tc>
          <w:tcPr>
            <w:tcW w:w="6100" w:type="dxa"/>
            <w:vAlign w:val="bottom"/>
          </w:tcPr>
          <w:p>
            <w:pPr>
              <w:ind w:left="960"/>
              <w:spacing w:after="0" w:line="180" w:lineRule="exact"/>
              <w:rPr>
                <w:sz w:val="20"/>
                <w:szCs w:val="20"/>
                <w:color w:val="auto"/>
              </w:rPr>
            </w:pPr>
            <w:r>
              <w:rPr>
                <w:rFonts w:ascii="Arial" w:cs="Arial" w:eastAsia="Arial" w:hAnsi="Arial"/>
                <w:sz w:val="16"/>
                <w:szCs w:val="16"/>
                <w:color w:val="auto"/>
              </w:rPr>
              <w:t>statutory bonus payments in Individuals and secondarily, to growth in</w:t>
            </w:r>
          </w:p>
        </w:tc>
      </w:tr>
      <w:tr>
        <w:trPr>
          <w:trHeight w:val="180"/>
        </w:trPr>
        <w:tc>
          <w:tcPr>
            <w:tcW w:w="3060" w:type="dxa"/>
            <w:vAlign w:val="bottom"/>
          </w:tcPr>
          <w:p>
            <w:pPr>
              <w:spacing w:after="0"/>
              <w:rPr>
                <w:sz w:val="15"/>
                <w:szCs w:val="15"/>
                <w:color w:val="auto"/>
              </w:rPr>
            </w:pPr>
          </w:p>
        </w:tc>
        <w:tc>
          <w:tcPr>
            <w:tcW w:w="6100" w:type="dxa"/>
            <w:vAlign w:val="bottom"/>
          </w:tcPr>
          <w:p>
            <w:pPr>
              <w:ind w:left="960"/>
              <w:spacing w:after="0" w:line="180" w:lineRule="exact"/>
              <w:rPr>
                <w:sz w:val="20"/>
                <w:szCs w:val="20"/>
                <w:color w:val="auto"/>
              </w:rPr>
            </w:pPr>
            <w:r>
              <w:rPr>
                <w:rFonts w:ascii="Arial" w:cs="Arial" w:eastAsia="Arial" w:hAnsi="Arial"/>
                <w:sz w:val="16"/>
                <w:szCs w:val="16"/>
                <w:color w:val="auto"/>
              </w:rPr>
              <w:t>Time Deposits in LC, which increased under strategic funding initiatives</w:t>
            </w:r>
          </w:p>
        </w:tc>
      </w:tr>
      <w:tr>
        <w:trPr>
          <w:trHeight w:val="205"/>
        </w:trPr>
        <w:tc>
          <w:tcPr>
            <w:tcW w:w="3060" w:type="dxa"/>
            <w:vAlign w:val="bottom"/>
          </w:tcPr>
          <w:p>
            <w:pPr>
              <w:spacing w:after="0"/>
              <w:rPr>
                <w:sz w:val="17"/>
                <w:szCs w:val="17"/>
                <w:color w:val="auto"/>
              </w:rPr>
            </w:pPr>
          </w:p>
        </w:tc>
        <w:tc>
          <w:tcPr>
            <w:tcW w:w="6100" w:type="dxa"/>
            <w:vAlign w:val="bottom"/>
          </w:tcPr>
          <w:p>
            <w:pPr>
              <w:ind w:left="960"/>
              <w:spacing w:after="0"/>
              <w:rPr>
                <w:sz w:val="20"/>
                <w:szCs w:val="20"/>
                <w:color w:val="auto"/>
              </w:rPr>
            </w:pPr>
            <w:r>
              <w:rPr>
                <w:rFonts w:ascii="Arial" w:cs="Arial" w:eastAsia="Arial" w:hAnsi="Arial"/>
                <w:sz w:val="16"/>
                <w:szCs w:val="16"/>
                <w:color w:val="auto"/>
              </w:rPr>
              <w:t>to capture more low-cost funding.</w:t>
            </w:r>
          </w:p>
        </w:tc>
      </w:tr>
      <w:tr>
        <w:trPr>
          <w:trHeight w:val="335"/>
        </w:trPr>
        <w:tc>
          <w:tcPr>
            <w:tcW w:w="3060" w:type="dxa"/>
            <w:vAlign w:val="bottom"/>
          </w:tcPr>
          <w:p>
            <w:pPr>
              <w:spacing w:after="0"/>
              <w:rPr>
                <w:sz w:val="24"/>
                <w:szCs w:val="24"/>
                <w:color w:val="auto"/>
              </w:rPr>
            </w:pPr>
          </w:p>
        </w:tc>
        <w:tc>
          <w:tcPr>
            <w:tcW w:w="6100" w:type="dxa"/>
            <w:vAlign w:val="bottom"/>
          </w:tcPr>
          <w:p>
            <w:pPr>
              <w:ind w:left="960"/>
              <w:spacing w:after="0"/>
              <w:rPr>
                <w:sz w:val="20"/>
                <w:szCs w:val="20"/>
                <w:color w:val="auto"/>
              </w:rPr>
            </w:pPr>
            <w:r>
              <w:rPr>
                <w:rFonts w:ascii="Arial" w:cs="Arial" w:eastAsia="Arial" w:hAnsi="Arial"/>
                <w:sz w:val="16"/>
                <w:szCs w:val="16"/>
                <w:b w:val="1"/>
                <w:bCs w:val="1"/>
                <w:color w:val="auto"/>
                <w:w w:val="98"/>
              </w:rPr>
              <w:t>YoY</w:t>
            </w:r>
            <w:r>
              <w:rPr>
                <w:rFonts w:ascii="Arial" w:cs="Arial" w:eastAsia="Arial" w:hAnsi="Arial"/>
                <w:sz w:val="16"/>
                <w:szCs w:val="16"/>
                <w:color w:val="auto"/>
                <w:w w:val="98"/>
              </w:rPr>
              <w:t>, the dollarization level dropped 341 bps. This evolution was primarily</w:t>
            </w:r>
          </w:p>
        </w:tc>
      </w:tr>
      <w:tr>
        <w:trPr>
          <w:trHeight w:val="180"/>
        </w:trPr>
        <w:tc>
          <w:tcPr>
            <w:tcW w:w="3060" w:type="dxa"/>
            <w:vAlign w:val="bottom"/>
          </w:tcPr>
          <w:p>
            <w:pPr>
              <w:spacing w:after="0"/>
              <w:rPr>
                <w:sz w:val="15"/>
                <w:szCs w:val="15"/>
                <w:color w:val="auto"/>
              </w:rPr>
            </w:pPr>
          </w:p>
        </w:tc>
        <w:tc>
          <w:tcPr>
            <w:tcW w:w="6100" w:type="dxa"/>
            <w:vAlign w:val="bottom"/>
          </w:tcPr>
          <w:p>
            <w:pPr>
              <w:ind w:left="960"/>
              <w:spacing w:after="0" w:line="180" w:lineRule="exact"/>
              <w:rPr>
                <w:sz w:val="20"/>
                <w:szCs w:val="20"/>
                <w:color w:val="auto"/>
              </w:rPr>
            </w:pPr>
            <w:r>
              <w:rPr>
                <w:rFonts w:ascii="Arial" w:cs="Arial" w:eastAsia="Arial" w:hAnsi="Arial"/>
                <w:sz w:val="16"/>
                <w:szCs w:val="16"/>
                <w:color w:val="auto"/>
              </w:rPr>
              <w:t>driven by a drop in the USD/PEN FX, which impacted our balances in</w:t>
            </w:r>
          </w:p>
        </w:tc>
      </w:tr>
      <w:tr>
        <w:trPr>
          <w:trHeight w:val="205"/>
        </w:trPr>
        <w:tc>
          <w:tcPr>
            <w:tcW w:w="3060" w:type="dxa"/>
            <w:vAlign w:val="bottom"/>
          </w:tcPr>
          <w:p>
            <w:pPr>
              <w:spacing w:after="0"/>
              <w:rPr>
                <w:sz w:val="17"/>
                <w:szCs w:val="17"/>
                <w:color w:val="auto"/>
              </w:rPr>
            </w:pPr>
          </w:p>
        </w:tc>
        <w:tc>
          <w:tcPr>
            <w:tcW w:w="6100" w:type="dxa"/>
            <w:vAlign w:val="bottom"/>
          </w:tcPr>
          <w:p>
            <w:pPr>
              <w:ind w:left="960"/>
              <w:spacing w:after="0"/>
              <w:rPr>
                <w:sz w:val="20"/>
                <w:szCs w:val="20"/>
                <w:color w:val="auto"/>
              </w:rPr>
            </w:pPr>
            <w:r>
              <w:rPr>
                <w:rFonts w:ascii="Arial" w:cs="Arial" w:eastAsia="Arial" w:hAnsi="Arial"/>
                <w:sz w:val="16"/>
                <w:szCs w:val="16"/>
                <w:color w:val="auto"/>
              </w:rPr>
              <w:t>FC, and by the same dynamics that led our balances in LC to rise QoQ.</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-953135</wp:posOffset>
            </wp:positionV>
            <wp:extent cx="2880995" cy="19361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80995" cy="193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Deposits by Currency and Type</w:t>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1"/>
          <w:szCs w:val="11"/>
          <w:color w:val="auto"/>
        </w:rPr>
        <w:t>(measured at quarter-end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-2540</wp:posOffset>
            </wp:positionV>
            <wp:extent cx="6151245" cy="1517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5124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Loan/Deposit Ratio (L/D ratio)</w:t>
      </w:r>
    </w:p>
    <w:p>
      <w:pPr>
        <w:spacing w:after="0" w:line="153" w:lineRule="exact"/>
        <w:rPr>
          <w:sz w:val="20"/>
          <w:szCs w:val="20"/>
          <w:color w:val="auto"/>
        </w:rPr>
      </w:pPr>
    </w:p>
    <w:p>
      <w:pPr>
        <w:jc w:val="both"/>
        <w:ind w:left="5500" w:right="60"/>
        <w:spacing w:after="0" w:line="241" w:lineRule="auto"/>
        <w:rPr>
          <w:sz w:val="20"/>
          <w:szCs w:val="20"/>
          <w:color w:val="auto"/>
        </w:rPr>
      </w:pPr>
      <w:r>
        <w:rPr>
          <w:rFonts w:ascii="Arial" w:cs="Arial" w:eastAsia="Arial" w:hAnsi="Arial"/>
          <w:sz w:val="16"/>
          <w:szCs w:val="16"/>
          <w:b w:val="1"/>
          <w:bCs w:val="1"/>
          <w:color w:val="auto"/>
        </w:rPr>
        <w:t xml:space="preserve">QoQ, </w:t>
      </w:r>
      <w:r>
        <w:rPr>
          <w:rFonts w:ascii="Arial" w:cs="Arial" w:eastAsia="Arial" w:hAnsi="Arial"/>
          <w:sz w:val="16"/>
          <w:szCs w:val="16"/>
          <w:color w:val="auto"/>
        </w:rPr>
        <w:t>the L/D ratio rose 134 bps at</w:t>
      </w:r>
      <w:r>
        <w:rPr>
          <w:rFonts w:ascii="Arial" w:cs="Arial" w:eastAsia="Arial" w:hAnsi="Arial"/>
          <w:sz w:val="16"/>
          <w:szCs w:val="16"/>
          <w:b w:val="1"/>
          <w:bCs w:val="1"/>
          <w:color w:val="auto"/>
        </w:rPr>
        <w:t xml:space="preserve"> BCP Stand -alone. </w:t>
      </w:r>
      <w:r>
        <w:rPr>
          <w:rFonts w:ascii="Arial" w:cs="Arial" w:eastAsia="Arial" w:hAnsi="Arial"/>
          <w:sz w:val="16"/>
          <w:szCs w:val="16"/>
          <w:color w:val="auto"/>
        </w:rPr>
        <w:t>This evolution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was fueled by growth in the loan balance, which was mainly driven by retail, and partially offset by an increase in the balance of </w:t>
      </w:r>
      <w:r>
        <w:rPr>
          <w:rFonts w:ascii="Arial" w:cs="Arial" w:eastAsia="Arial" w:hAnsi="Arial"/>
          <w:sz w:val="16"/>
          <w:szCs w:val="16"/>
          <w:b w:val="1"/>
          <w:bCs w:val="1"/>
          <w:color w:val="auto"/>
        </w:rPr>
        <w:t>Low-Cost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Deposits </w:t>
      </w:r>
      <w:r>
        <w:rPr>
          <w:rFonts w:ascii="Arial" w:cs="Arial" w:eastAsia="Arial" w:hAnsi="Arial"/>
          <w:sz w:val="16"/>
          <w:szCs w:val="16"/>
          <w:color w:val="auto"/>
        </w:rPr>
        <w:t>. At</w:t>
      </w:r>
      <w:r>
        <w:rPr>
          <w:rFonts w:ascii="Arial" w:cs="Arial" w:eastAsia="Arial" w:hAnsi="Arial"/>
          <w:sz w:val="16"/>
          <w:szCs w:val="16"/>
          <w:b w:val="1"/>
          <w:bCs w:val="1"/>
          <w:color w:val="auto"/>
        </w:rPr>
        <w:t xml:space="preserve"> Mibanco</w:t>
      </w:r>
      <w:r>
        <w:rPr>
          <w:rFonts w:ascii="Arial" w:cs="Arial" w:eastAsia="Arial" w:hAnsi="Arial"/>
          <w:sz w:val="16"/>
          <w:szCs w:val="16"/>
          <w:color w:val="auto"/>
        </w:rPr>
        <w:t>, the ratio increased 219 bps- spurred mainly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 uptick in loans, which rose on the back of improvements in models and initiatives to broaden product offerings to new clients- and partially offset by an increase in </w:t>
      </w:r>
      <w:r>
        <w:rPr>
          <w:rFonts w:ascii="Arial" w:cs="Arial" w:eastAsia="Arial" w:hAnsi="Arial"/>
          <w:sz w:val="16"/>
          <w:szCs w:val="16"/>
          <w:b w:val="1"/>
          <w:bCs w:val="1"/>
          <w:color w:val="auto"/>
        </w:rPr>
        <w:t>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-766445</wp:posOffset>
            </wp:positionV>
            <wp:extent cx="2469515" cy="11436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69515" cy="1143635"/>
                    </a:xfrm>
                    <a:prstGeom prst="rect">
                      <a:avLst/>
                    </a:prstGeom>
                    <a:noFill/>
                  </pic:spPr>
                </pic:pic>
              </a:graphicData>
            </a:graphic>
          </wp:anchor>
        </w:drawing>
      </w:r>
    </w:p>
    <w:p>
      <w:pPr>
        <w:spacing w:after="0" w:line="127" w:lineRule="exact"/>
        <w:rPr>
          <w:sz w:val="20"/>
          <w:szCs w:val="20"/>
          <w:color w:val="auto"/>
        </w:rPr>
      </w:pPr>
    </w:p>
    <w:p>
      <w:pPr>
        <w:jc w:val="both"/>
        <w:ind w:left="5500" w:right="60"/>
        <w:spacing w:after="0" w:line="241" w:lineRule="auto"/>
        <w:rPr>
          <w:sz w:val="20"/>
          <w:szCs w:val="20"/>
          <w:color w:val="auto"/>
        </w:rPr>
      </w:pPr>
      <w:r>
        <w:rPr>
          <w:rFonts w:ascii="Arial" w:cs="Arial" w:eastAsia="Arial" w:hAnsi="Arial"/>
          <w:sz w:val="16"/>
          <w:szCs w:val="16"/>
          <w:b w:val="1"/>
          <w:bCs w:val="1"/>
          <w:color w:val="auto"/>
        </w:rPr>
        <w:t xml:space="preserve">YoY, </w:t>
      </w:r>
      <w:r>
        <w:rPr>
          <w:rFonts w:ascii="Arial" w:cs="Arial" w:eastAsia="Arial" w:hAnsi="Arial"/>
          <w:sz w:val="16"/>
          <w:szCs w:val="16"/>
          <w:color w:val="auto"/>
        </w:rPr>
        <w:t>the L/D ticked up 19 bps and 796 bps at</w:t>
      </w:r>
      <w:r>
        <w:rPr>
          <w:rFonts w:ascii="Arial" w:cs="Arial" w:eastAsia="Arial" w:hAnsi="Arial"/>
          <w:sz w:val="16"/>
          <w:szCs w:val="16"/>
          <w:b w:val="1"/>
          <w:bCs w:val="1"/>
          <w:color w:val="auto"/>
        </w:rPr>
        <w:t xml:space="preserve"> BCP Stand-alone and Mibanco, </w:t>
      </w:r>
      <w:r>
        <w:rPr>
          <w:rFonts w:ascii="Arial" w:cs="Arial" w:eastAsia="Arial" w:hAnsi="Arial"/>
          <w:sz w:val="16"/>
          <w:szCs w:val="16"/>
          <w:color w:val="auto"/>
        </w:rPr>
        <w:t>respectively.</w:t>
      </w:r>
      <w:r>
        <w:rPr>
          <w:rFonts w:ascii="Arial" w:cs="Arial" w:eastAsia="Arial" w:hAnsi="Arial"/>
          <w:sz w:val="16"/>
          <w:szCs w:val="16"/>
          <w:b w:val="1"/>
          <w:bCs w:val="1"/>
          <w:color w:val="auto"/>
        </w:rPr>
        <w:t xml:space="preserve"> At BCP Stand -alone</w:t>
      </w:r>
      <w:r>
        <w:rPr>
          <w:rFonts w:ascii="Arial" w:cs="Arial" w:eastAsia="Arial" w:hAnsi="Arial"/>
          <w:sz w:val="16"/>
          <w:szCs w:val="16"/>
          <w:color w:val="auto"/>
        </w:rPr>
        <w:t>, the increase was driven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loan balance across segments, which was offset by growth in </w:t>
      </w:r>
      <w:r>
        <w:rPr>
          <w:rFonts w:ascii="Arial" w:cs="Arial" w:eastAsia="Arial" w:hAnsi="Arial"/>
          <w:sz w:val="16"/>
          <w:szCs w:val="16"/>
          <w:b w:val="1"/>
          <w:bCs w:val="1"/>
          <w:color w:val="auto"/>
        </w:rPr>
        <w:t xml:space="preserve">Savings Deposits </w:t>
      </w:r>
      <w:r>
        <w:rPr>
          <w:rFonts w:ascii="Arial" w:cs="Arial" w:eastAsia="Arial" w:hAnsi="Arial"/>
          <w:sz w:val="16"/>
          <w:szCs w:val="16"/>
          <w:color w:val="auto"/>
        </w:rPr>
        <w:t>and</w:t>
      </w:r>
      <w:r>
        <w:rPr>
          <w:rFonts w:ascii="Arial" w:cs="Arial" w:eastAsia="Arial" w:hAnsi="Arial"/>
          <w:sz w:val="16"/>
          <w:szCs w:val="16"/>
          <w:b w:val="1"/>
          <w:bCs w:val="1"/>
          <w:color w:val="auto"/>
        </w:rPr>
        <w:t xml:space="preserve"> Time Deposits</w:t>
      </w:r>
      <w:r>
        <w:rPr>
          <w:rFonts w:ascii="Arial" w:cs="Arial" w:eastAsia="Arial" w:hAnsi="Arial"/>
          <w:sz w:val="16"/>
          <w:szCs w:val="16"/>
          <w:color w:val="auto"/>
        </w:rPr>
        <w:t>.</w:t>
      </w:r>
      <w:r>
        <w:rPr>
          <w:rFonts w:ascii="Arial" w:cs="Arial" w:eastAsia="Arial" w:hAnsi="Arial"/>
          <w:sz w:val="16"/>
          <w:szCs w:val="16"/>
          <w:b w:val="1"/>
          <w:bCs w:val="1"/>
          <w:color w:val="auto"/>
        </w:rPr>
        <w:t xml:space="preserve"> At Mibanco</w:t>
      </w:r>
      <w:r>
        <w:rPr>
          <w:rFonts w:ascii="Arial" w:cs="Arial" w:eastAsia="Arial" w:hAnsi="Arial"/>
          <w:sz w:val="16"/>
          <w:szCs w:val="16"/>
          <w:color w:val="auto"/>
        </w:rPr>
        <w:t>, the ratio rose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back of loan growth, which was fueled by the same factors in play QoQ. This growth was partially offset by an increase in </w:t>
      </w:r>
      <w:r>
        <w:rPr>
          <w:rFonts w:ascii="Arial" w:cs="Arial" w:eastAsia="Arial" w:hAnsi="Arial"/>
          <w:sz w:val="16"/>
          <w:szCs w:val="16"/>
          <w:b w:val="1"/>
          <w:bCs w:val="1"/>
          <w:color w:val="auto"/>
        </w:rPr>
        <w:t>Savings</w:t>
      </w:r>
      <w:r>
        <w:rPr>
          <w:rFonts w:ascii="Arial" w:cs="Arial" w:eastAsia="Arial" w:hAnsi="Arial"/>
          <w:sz w:val="16"/>
          <w:szCs w:val="16"/>
          <w:color w:val="auto"/>
        </w:rPr>
        <w:t xml:space="preserve"> </w:t>
      </w:r>
      <w:r>
        <w:rPr>
          <w:rFonts w:ascii="Arial" w:cs="Arial" w:eastAsia="Arial" w:hAnsi="Arial"/>
          <w:sz w:val="16"/>
          <w:szCs w:val="16"/>
          <w:b w:val="1"/>
          <w:bCs w:val="1"/>
          <w:color w:val="auto"/>
        </w:rPr>
        <w:t>Deposits</w:t>
      </w:r>
      <w:r>
        <w:rPr>
          <w:rFonts w:ascii="Arial" w:cs="Arial" w:eastAsia="Arial" w:hAnsi="Arial"/>
          <w:sz w:val="16"/>
          <w:szCs w:val="16"/>
          <w:color w:val="auto"/>
        </w:rPr>
        <w:t>, which was spurred by high liquidity throughout the system.</w:t>
      </w:r>
    </w:p>
    <w:p>
      <w:pPr>
        <w:spacing w:after="0" w:line="14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In this context, Credicorp’s L/D ratio stood at 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706120</wp:posOffset>
            </wp:positionV>
            <wp:extent cx="670750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111125</wp:posOffset>
            </wp:positionV>
            <wp:extent cx="5991225" cy="5029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91225" cy="502920"/>
                    </a:xfrm>
                    <a:prstGeom prst="rect">
                      <a:avLst/>
                    </a:prstGeom>
                    <a:noFill/>
                  </pic:spPr>
                </pic:pic>
              </a:graphicData>
            </a:graphic>
          </wp:anchor>
        </w:drawing>
      </w:r>
    </w:p>
    <w:p>
      <w:pPr>
        <w:sectPr>
          <w:pgSz w:w="11900" w:h="16840" w:orient="portrait"/>
          <w:cols w:equalWidth="0" w:num="1">
            <w:col w:w="10640"/>
          </w:cols>
          <w:pgMar w:left="660" w:top="929" w:right="600" w:bottom="1440" w:gutter="0" w:footer="0" w:header="0"/>
        </w:sectPr>
      </w:pPr>
    </w:p>
    <w:bookmarkStart w:id="23" w:name="page24"/>
    <w:bookmarkEnd w:id="23"/>
    <w:p>
      <w:pPr>
        <w:ind w:left="254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92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07505" cy="79248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02. Deposits</w:t>
      </w:r>
    </w:p>
    <w:p>
      <w:pPr>
        <w:spacing w:after="0" w:line="226" w:lineRule="exact"/>
        <w:rPr>
          <w:sz w:val="20"/>
          <w:szCs w:val="20"/>
          <w:color w:val="auto"/>
        </w:rPr>
      </w:pPr>
    </w:p>
    <w:p>
      <w:pPr>
        <w:ind w:left="1600"/>
        <w:spacing w:after="0"/>
        <w:tabs>
          <w:tab w:leader="none" w:pos="7000" w:val="left"/>
        </w:tabs>
        <w:rPr>
          <w:sz w:val="20"/>
          <w:szCs w:val="20"/>
          <w:color w:val="auto"/>
        </w:rPr>
      </w:pPr>
      <w:r>
        <w:rPr>
          <w:rFonts w:ascii="Arial" w:cs="Arial" w:eastAsia="Arial" w:hAnsi="Arial"/>
          <w:sz w:val="16"/>
          <w:szCs w:val="16"/>
          <w:b w:val="1"/>
          <w:bCs w:val="1"/>
          <w:color w:val="auto"/>
        </w:rPr>
        <w:t>L/D Ratio Local Currency</w:t>
      </w:r>
      <w:r>
        <w:rPr>
          <w:sz w:val="20"/>
          <w:szCs w:val="20"/>
          <w:color w:val="auto"/>
        </w:rPr>
        <w:tab/>
      </w:r>
      <w:r>
        <w:rPr>
          <w:rFonts w:ascii="Arial" w:cs="Arial" w:eastAsia="Arial" w:hAnsi="Arial"/>
          <w:sz w:val="14"/>
          <w:szCs w:val="14"/>
          <w:b w:val="1"/>
          <w:bCs w:val="1"/>
          <w:color w:val="auto"/>
        </w:rPr>
        <w:t>L/D Ratio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5715</wp:posOffset>
            </wp:positionV>
            <wp:extent cx="6097905" cy="129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97905" cy="129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Share (MS) of Deposits in the Peruvian Financial System</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Share of the Deposit Market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37465</wp:posOffset>
            </wp:positionV>
            <wp:extent cx="5320030" cy="20046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20030" cy="200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Ath the end of September 2025, the MS of </w:t>
      </w:r>
      <w:r>
        <w:rPr>
          <w:rFonts w:ascii="Arial" w:cs="Arial" w:eastAsia="Arial" w:hAnsi="Arial"/>
          <w:sz w:val="16"/>
          <w:szCs w:val="16"/>
          <w:b w:val="1"/>
          <w:bCs w:val="1"/>
          <w:color w:val="auto"/>
        </w:rPr>
        <w:t>Total Deposits</w:t>
      </w:r>
      <w:r>
        <w:rPr>
          <w:rFonts w:ascii="Arial" w:cs="Arial" w:eastAsia="Arial" w:hAnsi="Arial"/>
          <w:sz w:val="16"/>
          <w:szCs w:val="16"/>
          <w:color w:val="auto"/>
        </w:rPr>
        <w:t xml:space="preserve"> held by BCP Stand Alone and Mibanco in Peru was 32.1% and 2.6% (51 bps and -3 pbs vs Sep 2024, respectively). In this context, BCP continued to lead the market for total deposits.</w:t>
      </w:r>
    </w:p>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 xml:space="preserve">BCP </w:t>
      </w:r>
      <w:r>
        <w:rPr>
          <w:rFonts w:ascii="Arial" w:cs="Arial" w:eastAsia="Arial" w:hAnsi="Arial"/>
          <w:sz w:val="16"/>
          <w:szCs w:val="16"/>
          <w:color w:val="auto"/>
        </w:rPr>
        <w:t>registered YoY growth in the balance for</w:t>
      </w:r>
      <w:r>
        <w:rPr>
          <w:rFonts w:ascii="Arial" w:cs="Arial" w:eastAsia="Arial" w:hAnsi="Arial"/>
          <w:sz w:val="16"/>
          <w:szCs w:val="16"/>
          <w:b w:val="1"/>
          <w:bCs w:val="1"/>
          <w:color w:val="auto"/>
        </w:rPr>
        <w:t xml:space="preserve"> Low -Cost Deposits </w:t>
      </w:r>
      <w:r>
        <w:rPr>
          <w:rFonts w:ascii="Arial" w:cs="Arial" w:eastAsia="Arial" w:hAnsi="Arial"/>
          <w:sz w:val="16"/>
          <w:szCs w:val="16"/>
          <w:color w:val="auto"/>
        </w:rPr>
        <w:t>(+2.2%). This figure, although below the rise reported by the financial system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(+6.0%), allowed </w:t>
      </w:r>
      <w:r>
        <w:rPr>
          <w:rFonts w:ascii="Arial" w:cs="Arial" w:eastAsia="Arial" w:hAnsi="Arial"/>
          <w:sz w:val="16"/>
          <w:szCs w:val="16"/>
          <w:b w:val="1"/>
          <w:bCs w:val="1"/>
          <w:color w:val="auto"/>
        </w:rPr>
        <w:t>BCP</w:t>
      </w:r>
      <w:r>
        <w:rPr>
          <w:rFonts w:ascii="Arial" w:cs="Arial" w:eastAsia="Arial" w:hAnsi="Arial"/>
          <w:sz w:val="16"/>
          <w:szCs w:val="16"/>
          <w:color w:val="auto"/>
        </w:rPr>
        <w:t xml:space="preserve"> to continue to lead the market for </w:t>
      </w:r>
      <w:r>
        <w:rPr>
          <w:rFonts w:ascii="Arial" w:cs="Arial" w:eastAsia="Arial" w:hAnsi="Arial"/>
          <w:sz w:val="16"/>
          <w:szCs w:val="16"/>
          <w:b w:val="1"/>
          <w:bCs w:val="1"/>
          <w:color w:val="auto"/>
        </w:rPr>
        <w:t>Low -Cost Deposits</w:t>
      </w:r>
      <w:r>
        <w:rPr>
          <w:rFonts w:ascii="Arial" w:cs="Arial" w:eastAsia="Arial" w:hAnsi="Arial"/>
          <w:sz w:val="16"/>
          <w:szCs w:val="16"/>
          <w:color w:val="auto"/>
        </w:rPr>
        <w:t xml:space="preserve"> with an MS of 38.8% at the end of September 2025 (-142 bps vs Sep 2024). The financial system reported a decline in the balance for Time Deposits (-2.8% vs Sep 2024); </w:t>
      </w:r>
      <w:r>
        <w:rPr>
          <w:rFonts w:ascii="Arial" w:cs="Arial" w:eastAsia="Arial" w:hAnsi="Arial"/>
          <w:sz w:val="16"/>
          <w:szCs w:val="16"/>
          <w:b w:val="1"/>
          <w:bCs w:val="1"/>
          <w:color w:val="auto"/>
        </w:rPr>
        <w:t>BCP</w:t>
      </w:r>
      <w:r>
        <w:rPr>
          <w:rFonts w:ascii="Arial" w:cs="Arial" w:eastAsia="Arial" w:hAnsi="Arial"/>
          <w:sz w:val="16"/>
          <w:szCs w:val="16"/>
          <w:color w:val="auto"/>
        </w:rPr>
        <w:t>, in contrast, registered growth 8.9% with regard to Sep 2024. In this context, BCP’s MS rose (266 bps vs Sep 2024) to stand at 20.1% at the end of September 2025.</w:t>
      </w:r>
    </w:p>
    <w:p>
      <w:pPr>
        <w:spacing w:after="0" w:line="152"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 xml:space="preserve">Credicorp’s share </w:t>
      </w:r>
      <w:r>
        <w:rPr>
          <w:rFonts w:ascii="Arial" w:cs="Arial" w:eastAsia="Arial" w:hAnsi="Arial"/>
          <w:sz w:val="14"/>
          <w:szCs w:val="14"/>
          <w:b w:val="1"/>
          <w:bCs w:val="1"/>
          <w:color w:val="auto"/>
        </w:rPr>
        <w:t>(BCP + Mibanco)</w:t>
      </w:r>
      <w:r>
        <w:rPr>
          <w:rFonts w:ascii="Arial" w:cs="Arial" w:eastAsia="Arial" w:hAnsi="Arial"/>
          <w:sz w:val="14"/>
          <w:szCs w:val="14"/>
          <w:color w:val="auto"/>
        </w:rPr>
        <w:t xml:space="preserve"> of the </w:t>
      </w:r>
      <w:r>
        <w:rPr>
          <w:rFonts w:ascii="Arial" w:cs="Arial" w:eastAsia="Arial" w:hAnsi="Arial"/>
          <w:sz w:val="14"/>
          <w:szCs w:val="14"/>
          <w:b w:val="1"/>
          <w:bCs w:val="1"/>
          <w:color w:val="auto"/>
        </w:rPr>
        <w:t>Low-Cost Deposit</w:t>
      </w:r>
      <w:r>
        <w:rPr>
          <w:rFonts w:ascii="Arial" w:cs="Arial" w:eastAsia="Arial" w:hAnsi="Arial"/>
          <w:sz w:val="14"/>
          <w:szCs w:val="14"/>
          <w:color w:val="auto"/>
        </w:rPr>
        <w:t xml:space="preserve"> market fell 138bps versus September 2024, standing at 39.5% at the end of September 2025. Credicorp’s share of the </w:t>
      </w:r>
      <w:r>
        <w:rPr>
          <w:rFonts w:ascii="Arial" w:cs="Arial" w:eastAsia="Arial" w:hAnsi="Arial"/>
          <w:sz w:val="14"/>
          <w:szCs w:val="14"/>
          <w:b w:val="1"/>
          <w:bCs w:val="1"/>
          <w:color w:val="auto"/>
        </w:rPr>
        <w:t>Time Deposit</w:t>
      </w:r>
      <w:r>
        <w:rPr>
          <w:rFonts w:ascii="Arial" w:cs="Arial" w:eastAsia="Arial" w:hAnsi="Arial"/>
          <w:sz w:val="14"/>
          <w:szCs w:val="14"/>
          <w:color w:val="auto"/>
        </w:rPr>
        <w:t xml:space="preserve"> market rose 279bps versus September 2024 to stand at 26.0% at the end of September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663575</wp:posOffset>
            </wp:positionV>
            <wp:extent cx="670750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76835</wp:posOffset>
            </wp:positionV>
            <wp:extent cx="5991225" cy="495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91225" cy="495300"/>
                    </a:xfrm>
                    <a:prstGeom prst="rect">
                      <a:avLst/>
                    </a:prstGeom>
                    <a:noFill/>
                  </pic:spPr>
                </pic:pic>
              </a:graphicData>
            </a:graphic>
          </wp:anchor>
        </w:drawing>
      </w:r>
    </w:p>
    <w:p>
      <w:pPr>
        <w:sectPr>
          <w:pgSz w:w="11900" w:h="16840" w:orient="portrait"/>
          <w:cols w:equalWidth="0" w:num="1">
            <w:col w:w="10560"/>
          </w:cols>
          <w:pgMar w:left="660" w:top="929" w:right="680" w:bottom="1440" w:gutter="0" w:footer="0" w:header="0"/>
        </w:sectPr>
      </w:pPr>
    </w:p>
    <w:bookmarkStart w:id="24" w:name="page25"/>
    <w:bookmarkEnd w:id="24"/>
    <w:p>
      <w:pPr>
        <w:ind w:left="254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86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07505" cy="5867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364"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03 </w:t>
      </w:r>
      <w:r>
        <w:rPr>
          <w:rFonts w:ascii="Arial" w:cs="Arial" w:eastAsia="Arial" w:hAnsi="Arial"/>
          <w:sz w:val="28"/>
          <w:szCs w:val="28"/>
          <w:color w:val="E93BAC"/>
        </w:rPr>
        <w:t>Interest-earning Assets (IEA) and Funding</w:t>
      </w:r>
    </w:p>
    <w:p>
      <w:pPr>
        <w:spacing w:after="0" w:line="196" w:lineRule="exact"/>
        <w:rPr>
          <w:sz w:val="20"/>
          <w:szCs w:val="20"/>
          <w:color w:val="auto"/>
        </w:rPr>
      </w:pPr>
    </w:p>
    <w:p>
      <w:pPr>
        <w:jc w:val="both"/>
        <w:ind w:left="120" w:right="120"/>
        <w:spacing w:after="0" w:line="262" w:lineRule="auto"/>
        <w:rPr>
          <w:sz w:val="20"/>
          <w:szCs w:val="20"/>
          <w:color w:val="auto"/>
        </w:rPr>
      </w:pPr>
      <w:r>
        <w:rPr>
          <w:rFonts w:ascii="Arial" w:cs="Arial" w:eastAsia="Arial" w:hAnsi="Arial"/>
          <w:sz w:val="16"/>
          <w:szCs w:val="16"/>
          <w:color w:val="FFFFFF"/>
        </w:rPr>
        <w:t>In 3Q25, IEA rose 1.7% QoQ and 0.4% YoY. Funding, in turn, dropped 2.0% QoQ and 0.5% YoY. If we exclude the impact on Credicorp’s balance sheet of the accounting adjustment in BCP Bolivia, the evolution of IEA and Funding was driven by the following 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6707505" cy="11353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07505" cy="1135380"/>
                    </a:xfrm>
                    <a:prstGeom prst="rect">
                      <a:avLst/>
                    </a:prstGeom>
                    <a:noFill/>
                  </pic:spPr>
                </pic:pic>
              </a:graphicData>
            </a:graphic>
          </wp:anchor>
        </w:drawing>
      </w:r>
    </w:p>
    <w:p>
      <w:pPr>
        <w:spacing w:after="0" w:line="118" w:lineRule="exact"/>
        <w:rPr>
          <w:sz w:val="20"/>
          <w:szCs w:val="20"/>
          <w:color w:val="auto"/>
        </w:rPr>
      </w:pPr>
    </w:p>
    <w:p>
      <w:pPr>
        <w:jc w:val="both"/>
        <w:ind w:left="120" w:right="100"/>
        <w:spacing w:after="0" w:line="248" w:lineRule="auto"/>
        <w:rPr>
          <w:sz w:val="20"/>
          <w:szCs w:val="20"/>
          <w:color w:val="auto"/>
        </w:rPr>
      </w:pPr>
      <w:r>
        <w:rPr>
          <w:rFonts w:ascii="Arial" w:cs="Arial" w:eastAsia="Arial" w:hAnsi="Arial"/>
          <w:sz w:val="16"/>
          <w:szCs w:val="16"/>
          <w:color w:val="FFFFFF"/>
        </w:rPr>
        <w:t>QoQ, IEA rose 0.9% due to loan expansion at BCP and Mibanco. Growth in the balance for Cash and due from banks, which reflected an increase in Deposits, also contributed to growth in IEA, albeit to a lesser extent. Funding rose 0.6%, primarily on the back of an increase in Deposits, while an uptick in the balance for BCRP Instruments, which reflects an increase in positions to diversify funding, acted as a secondary driver.</w:t>
      </w:r>
    </w:p>
    <w:p>
      <w:pPr>
        <w:spacing w:after="0" w:line="138" w:lineRule="exact"/>
        <w:rPr>
          <w:sz w:val="20"/>
          <w:szCs w:val="20"/>
          <w:color w:val="auto"/>
        </w:rPr>
      </w:pPr>
    </w:p>
    <w:p>
      <w:pPr>
        <w:jc w:val="both"/>
        <w:ind w:left="120" w:right="100"/>
        <w:spacing w:after="0" w:line="248" w:lineRule="auto"/>
        <w:rPr>
          <w:sz w:val="20"/>
          <w:szCs w:val="20"/>
          <w:color w:val="auto"/>
        </w:rPr>
      </w:pPr>
      <w:r>
        <w:rPr>
          <w:rFonts w:ascii="Arial" w:cs="Arial" w:eastAsia="Arial" w:hAnsi="Arial"/>
          <w:sz w:val="16"/>
          <w:szCs w:val="16"/>
          <w:color w:val="FFFFFF"/>
        </w:rPr>
        <w:t>YoY, IEA rose 2.3%, driven by loan growth, primarily at BCP. This dynamic was partially offset by a reduction in balances for Cash and due from banks and Total investments as part of balance sheet management. Finally, Funding rose 3.1%, driven by Deposits, and low-cost deposits in particular. This growth was partially offset by a reduction for balances for Bonds and notes issued, impacted by recent debt expirations.</w:t>
      </w:r>
    </w:p>
    <w:p>
      <w:pPr>
        <w:spacing w:after="0" w:line="1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was the case in previous quarters, our balance figures for 3Q25 continue to be impacted by an accounting adjustment (which does not affect cash flow). This year, Credicorp has revalued BCP Bolivia's balance sheet using an exchange rate that better reflects the market rate. This revaluation led Credicorp’s total assets to register an accounting contraction of 2.1% in September.</w:t>
      </w:r>
    </w:p>
    <w:p>
      <w:pPr>
        <w:spacing w:after="0" w:line="138" w:lineRule="exact"/>
        <w:rPr>
          <w:sz w:val="20"/>
          <w:szCs w:val="20"/>
          <w:color w:val="auto"/>
        </w:rPr>
      </w:pPr>
    </w:p>
    <w:p>
      <w:pPr>
        <w:ind w:right="1560"/>
        <w:spacing w:after="0" w:line="262" w:lineRule="auto"/>
        <w:rPr>
          <w:sz w:val="20"/>
          <w:szCs w:val="20"/>
          <w:color w:val="auto"/>
        </w:rPr>
      </w:pPr>
      <w:r>
        <w:rPr>
          <w:rFonts w:ascii="Arial" w:cs="Arial" w:eastAsia="Arial" w:hAnsi="Arial"/>
          <w:sz w:val="16"/>
          <w:szCs w:val="16"/>
          <w:color w:val="auto"/>
        </w:rPr>
        <w:t>The analysis of the evolution of IEA and Funding will focus on the business’s underlying dynamics and exclude the aforementioned accounting adjustment.</w:t>
      </w:r>
    </w:p>
    <w:p>
      <w:pPr>
        <w:spacing w:after="0" w:line="12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4"/>
          <w:szCs w:val="14"/>
          <w:b w:val="1"/>
          <w:bCs w:val="1"/>
          <w:color w:val="auto"/>
        </w:rPr>
        <w:t>IEA</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rPr>
              <w:t>Interest Earning Assets</w:t>
            </w:r>
          </w:p>
        </w:tc>
        <w:tc>
          <w:tcPr>
            <w:tcW w:w="1180" w:type="dxa"/>
            <w:vAlign w:val="bottom"/>
            <w:tcBorders>
              <w:top w:val="single" w:sz="8" w:color="auto"/>
            </w:tcBorders>
            <w:shd w:val="clear" w:color="auto" w:fill="33CCCC"/>
          </w:tcPr>
          <w:p>
            <w:pPr>
              <w:spacing w:after="0"/>
              <w:rPr>
                <w:sz w:val="16"/>
                <w:szCs w:val="16"/>
                <w:color w:val="auto"/>
              </w:rPr>
            </w:pPr>
          </w:p>
        </w:tc>
        <w:tc>
          <w:tcPr>
            <w:tcW w:w="120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4"/>
              </w:rPr>
              <w:t>As of</w:t>
            </w:r>
          </w:p>
        </w:tc>
        <w:tc>
          <w:tcPr>
            <w:tcW w:w="1220" w:type="dxa"/>
            <w:vAlign w:val="bottom"/>
            <w:tcBorders>
              <w:top w:val="single" w:sz="8" w:color="auto"/>
              <w:right w:val="single" w:sz="8" w:color="auto"/>
            </w:tcBorders>
            <w:shd w:val="clear" w:color="auto" w:fill="33CCCC"/>
          </w:tcPr>
          <w:p>
            <w:pPr>
              <w:spacing w:after="0"/>
              <w:rPr>
                <w:sz w:val="16"/>
                <w:szCs w:val="16"/>
                <w:color w:val="auto"/>
              </w:rPr>
            </w:pPr>
          </w:p>
        </w:tc>
        <w:tc>
          <w:tcPr>
            <w:tcW w:w="1160" w:type="dxa"/>
            <w:vAlign w:val="bottom"/>
            <w:tcBorders>
              <w:top w:val="single" w:sz="8" w:color="auto"/>
              <w:right w:val="single" w:sz="8" w:color="auto"/>
            </w:tcBorders>
            <w:gridSpan w:val="2"/>
            <w:shd w:val="clear" w:color="auto" w:fill="33CCCC"/>
          </w:tcPr>
          <w:p>
            <w:pPr>
              <w:jc w:val="right"/>
              <w:ind w:right="162"/>
              <w:spacing w:after="0"/>
              <w:rPr>
                <w:sz w:val="20"/>
                <w:szCs w:val="20"/>
                <w:color w:val="auto"/>
              </w:rPr>
            </w:pPr>
            <w:r>
              <w:rPr>
                <w:rFonts w:ascii="Arial" w:cs="Arial" w:eastAsia="Arial" w:hAnsi="Arial"/>
                <w:sz w:val="16"/>
                <w:szCs w:val="16"/>
                <w:b w:val="1"/>
                <w:bCs w:val="1"/>
                <w:color w:val="FFFFFF"/>
              </w:rPr>
              <w:t>% change</w:t>
            </w:r>
          </w:p>
        </w:tc>
      </w:tr>
      <w:tr>
        <w:trPr>
          <w:trHeight w:val="180"/>
        </w:trPr>
        <w:tc>
          <w:tcPr>
            <w:tcW w:w="5820" w:type="dxa"/>
            <w:vAlign w:val="bottom"/>
            <w:tcBorders>
              <w:left w:val="single" w:sz="8" w:color="auto"/>
              <w:bottom w:val="single" w:sz="8" w:color="auto"/>
              <w:right w:val="single" w:sz="8" w:color="auto"/>
            </w:tcBorders>
            <w:shd w:val="clear" w:color="auto" w:fill="33CCCC"/>
          </w:tcPr>
          <w:p>
            <w:pPr>
              <w:ind w:left="20"/>
              <w:spacing w:after="0" w:line="180" w:lineRule="exact"/>
              <w:rPr>
                <w:sz w:val="20"/>
                <w:szCs w:val="20"/>
                <w:color w:val="auto"/>
              </w:rPr>
            </w:pPr>
            <w:r>
              <w:rPr>
                <w:rFonts w:ascii="Arial" w:cs="Arial" w:eastAsia="Arial" w:hAnsi="Arial"/>
                <w:sz w:val="16"/>
                <w:szCs w:val="16"/>
                <w:b w:val="1"/>
                <w:bCs w:val="1"/>
                <w:color w:val="FFFFFF"/>
              </w:rPr>
              <w:t>S/000</w:t>
            </w:r>
          </w:p>
        </w:tc>
        <w:tc>
          <w:tcPr>
            <w:tcW w:w="1180" w:type="dxa"/>
            <w:vAlign w:val="bottom"/>
            <w:tcBorders>
              <w:bottom w:val="single" w:sz="8" w:color="auto"/>
            </w:tcBorders>
            <w:shd w:val="clear" w:color="auto" w:fill="33CCCC"/>
          </w:tcPr>
          <w:p>
            <w:pPr>
              <w:ind w:left="340"/>
              <w:spacing w:after="0" w:line="180" w:lineRule="exact"/>
              <w:rPr>
                <w:sz w:val="20"/>
                <w:szCs w:val="20"/>
                <w:color w:val="auto"/>
              </w:rPr>
            </w:pPr>
            <w:r>
              <w:rPr>
                <w:rFonts w:ascii="Arial" w:cs="Arial" w:eastAsia="Arial" w:hAnsi="Arial"/>
                <w:sz w:val="16"/>
                <w:szCs w:val="16"/>
                <w:b w:val="1"/>
                <w:bCs w:val="1"/>
                <w:color w:val="FFFFFF"/>
              </w:rPr>
              <w:t>Sep 24</w:t>
            </w:r>
          </w:p>
        </w:tc>
        <w:tc>
          <w:tcPr>
            <w:tcW w:w="1200" w:type="dxa"/>
            <w:vAlign w:val="bottom"/>
            <w:tcBorders>
              <w:bottom w:val="single" w:sz="8" w:color="auto"/>
            </w:tcBorders>
            <w:shd w:val="clear" w:color="auto" w:fill="33CCCC"/>
          </w:tcPr>
          <w:p>
            <w:pPr>
              <w:jc w:val="center"/>
              <w:spacing w:after="0" w:line="180" w:lineRule="exact"/>
              <w:rPr>
                <w:sz w:val="20"/>
                <w:szCs w:val="20"/>
                <w:color w:val="auto"/>
              </w:rPr>
            </w:pPr>
            <w:r>
              <w:rPr>
                <w:rFonts w:ascii="Arial" w:cs="Arial" w:eastAsia="Arial" w:hAnsi="Arial"/>
                <w:sz w:val="16"/>
                <w:szCs w:val="16"/>
                <w:b w:val="1"/>
                <w:bCs w:val="1"/>
                <w:color w:val="FFFFFF"/>
                <w:w w:val="98"/>
              </w:rPr>
              <w:t>Jun 25</w:t>
            </w:r>
          </w:p>
        </w:tc>
        <w:tc>
          <w:tcPr>
            <w:tcW w:w="1220" w:type="dxa"/>
            <w:vAlign w:val="bottom"/>
            <w:tcBorders>
              <w:bottom w:val="single" w:sz="8" w:color="auto"/>
              <w:right w:val="single" w:sz="8" w:color="auto"/>
            </w:tcBorders>
            <w:shd w:val="clear" w:color="auto" w:fill="33CCCC"/>
          </w:tcPr>
          <w:p>
            <w:pPr>
              <w:ind w:left="360"/>
              <w:spacing w:after="0" w:line="180" w:lineRule="exact"/>
              <w:rPr>
                <w:sz w:val="20"/>
                <w:szCs w:val="20"/>
                <w:color w:val="auto"/>
              </w:rPr>
            </w:pPr>
            <w:r>
              <w:rPr>
                <w:rFonts w:ascii="Arial" w:cs="Arial" w:eastAsia="Arial" w:hAnsi="Arial"/>
                <w:sz w:val="16"/>
                <w:szCs w:val="16"/>
                <w:b w:val="1"/>
                <w:bCs w:val="1"/>
                <w:color w:val="FFFFFF"/>
              </w:rPr>
              <w:t>Sep 25</w:t>
            </w:r>
          </w:p>
        </w:tc>
        <w:tc>
          <w:tcPr>
            <w:tcW w:w="580" w:type="dxa"/>
            <w:vAlign w:val="bottom"/>
            <w:tcBorders>
              <w:bottom w:val="single" w:sz="8" w:color="auto"/>
            </w:tcBorders>
            <w:shd w:val="clear" w:color="auto" w:fill="33CCCC"/>
          </w:tcPr>
          <w:p>
            <w:pPr>
              <w:ind w:left="140"/>
              <w:spacing w:after="0" w:line="180" w:lineRule="exact"/>
              <w:rPr>
                <w:sz w:val="20"/>
                <w:szCs w:val="20"/>
                <w:color w:val="auto"/>
              </w:rPr>
            </w:pPr>
            <w:r>
              <w:rPr>
                <w:rFonts w:ascii="Arial" w:cs="Arial" w:eastAsia="Arial" w:hAnsi="Arial"/>
                <w:sz w:val="16"/>
                <w:szCs w:val="16"/>
                <w:b w:val="1"/>
                <w:bCs w:val="1"/>
                <w:color w:val="FFFFFF"/>
              </w:rPr>
              <w:t>QoQ</w:t>
            </w:r>
          </w:p>
        </w:tc>
        <w:tc>
          <w:tcPr>
            <w:tcW w:w="580" w:type="dxa"/>
            <w:vAlign w:val="bottom"/>
            <w:tcBorders>
              <w:bottom w:val="single" w:sz="8" w:color="auto"/>
              <w:right w:val="single" w:sz="8" w:color="auto"/>
            </w:tcBorders>
            <w:shd w:val="clear" w:color="auto" w:fill="33CCCC"/>
          </w:tcPr>
          <w:p>
            <w:pPr>
              <w:jc w:val="right"/>
              <w:ind w:right="62"/>
              <w:spacing w:after="0" w:line="180" w:lineRule="exact"/>
              <w:rPr>
                <w:sz w:val="20"/>
                <w:szCs w:val="20"/>
                <w:color w:val="auto"/>
              </w:rPr>
            </w:pPr>
            <w:r>
              <w:rPr>
                <w:rFonts w:ascii="Arial" w:cs="Arial" w:eastAsia="Arial" w:hAnsi="Arial"/>
                <w:sz w:val="16"/>
                <w:szCs w:val="16"/>
                <w:b w:val="1"/>
                <w:bCs w:val="1"/>
                <w:color w:val="FFFFFF"/>
              </w:rPr>
              <w:t>YoY</w:t>
            </w:r>
          </w:p>
        </w:tc>
      </w:tr>
      <w:tr>
        <w:trPr>
          <w:trHeight w:val="161"/>
        </w:trPr>
        <w:tc>
          <w:tcPr>
            <w:tcW w:w="582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Cash and due from banks</w:t>
            </w:r>
          </w:p>
        </w:tc>
        <w:tc>
          <w:tcPr>
            <w:tcW w:w="1180" w:type="dxa"/>
            <w:vAlign w:val="bottom"/>
          </w:tcPr>
          <w:p>
            <w:pPr>
              <w:jc w:val="center"/>
              <w:spacing w:after="0" w:line="161" w:lineRule="exact"/>
              <w:rPr>
                <w:sz w:val="20"/>
                <w:szCs w:val="20"/>
                <w:color w:val="auto"/>
              </w:rPr>
            </w:pPr>
            <w:r>
              <w:rPr>
                <w:rFonts w:ascii="Arial" w:cs="Arial" w:eastAsia="Arial" w:hAnsi="Arial"/>
                <w:sz w:val="16"/>
                <w:szCs w:val="16"/>
                <w:color w:val="auto"/>
                <w:w w:val="97"/>
              </w:rPr>
              <w:t>37,007,966</w:t>
            </w:r>
          </w:p>
        </w:tc>
        <w:tc>
          <w:tcPr>
            <w:tcW w:w="1200" w:type="dxa"/>
            <w:vAlign w:val="bottom"/>
          </w:tcPr>
          <w:p>
            <w:pPr>
              <w:jc w:val="center"/>
              <w:spacing w:after="0" w:line="161" w:lineRule="exact"/>
              <w:rPr>
                <w:sz w:val="20"/>
                <w:szCs w:val="20"/>
                <w:color w:val="auto"/>
              </w:rPr>
            </w:pPr>
            <w:r>
              <w:rPr>
                <w:rFonts w:ascii="Arial" w:cs="Arial" w:eastAsia="Arial" w:hAnsi="Arial"/>
                <w:sz w:val="16"/>
                <w:szCs w:val="16"/>
                <w:color w:val="auto"/>
                <w:w w:val="97"/>
              </w:rPr>
              <w:t>34,206,000</w:t>
            </w:r>
          </w:p>
        </w:tc>
        <w:tc>
          <w:tcPr>
            <w:tcW w:w="12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6"/>
                <w:szCs w:val="16"/>
                <w:color w:val="auto"/>
                <w:w w:val="97"/>
              </w:rPr>
              <w:t>35,862,184</w:t>
            </w:r>
          </w:p>
        </w:tc>
        <w:tc>
          <w:tcPr>
            <w:tcW w:w="580" w:type="dxa"/>
            <w:vAlign w:val="bottom"/>
          </w:tcPr>
          <w:p>
            <w:pPr>
              <w:jc w:val="center"/>
              <w:spacing w:after="0" w:line="161" w:lineRule="exact"/>
              <w:rPr>
                <w:sz w:val="20"/>
                <w:szCs w:val="20"/>
                <w:color w:val="auto"/>
              </w:rPr>
            </w:pPr>
            <w:r>
              <w:rPr>
                <w:rFonts w:ascii="Arial" w:cs="Arial" w:eastAsia="Arial" w:hAnsi="Arial"/>
                <w:sz w:val="16"/>
                <w:szCs w:val="16"/>
                <w:color w:val="auto"/>
                <w:w w:val="98"/>
              </w:rPr>
              <w:t>4.8%</w:t>
            </w:r>
          </w:p>
        </w:tc>
        <w:tc>
          <w:tcPr>
            <w:tcW w:w="58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6"/>
                <w:szCs w:val="16"/>
                <w:color w:val="auto"/>
              </w:rPr>
              <w:t>-3.1%</w:t>
            </w:r>
          </w:p>
        </w:tc>
      </w:tr>
      <w:tr>
        <w:trPr>
          <w:trHeight w:val="180"/>
        </w:trPr>
        <w:tc>
          <w:tcPr>
            <w:tcW w:w="582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Total investments</w:t>
            </w:r>
          </w:p>
        </w:tc>
        <w:tc>
          <w:tcPr>
            <w:tcW w:w="1180" w:type="dxa"/>
            <w:vAlign w:val="bottom"/>
          </w:tcPr>
          <w:p>
            <w:pPr>
              <w:jc w:val="center"/>
              <w:spacing w:after="0" w:line="180" w:lineRule="exact"/>
              <w:rPr>
                <w:sz w:val="20"/>
                <w:szCs w:val="20"/>
                <w:color w:val="auto"/>
              </w:rPr>
            </w:pPr>
            <w:r>
              <w:rPr>
                <w:rFonts w:ascii="Arial" w:cs="Arial" w:eastAsia="Arial" w:hAnsi="Arial"/>
                <w:sz w:val="16"/>
                <w:szCs w:val="16"/>
                <w:color w:val="auto"/>
                <w:w w:val="97"/>
              </w:rPr>
              <w:t>53,328,873</w:t>
            </w:r>
          </w:p>
        </w:tc>
        <w:tc>
          <w:tcPr>
            <w:tcW w:w="1200" w:type="dxa"/>
            <w:vAlign w:val="bottom"/>
          </w:tcPr>
          <w:p>
            <w:pPr>
              <w:jc w:val="center"/>
              <w:spacing w:after="0" w:line="180" w:lineRule="exact"/>
              <w:rPr>
                <w:sz w:val="20"/>
                <w:szCs w:val="20"/>
                <w:color w:val="auto"/>
              </w:rPr>
            </w:pPr>
            <w:r>
              <w:rPr>
                <w:rFonts w:ascii="Arial" w:cs="Arial" w:eastAsia="Arial" w:hAnsi="Arial"/>
                <w:sz w:val="16"/>
                <w:szCs w:val="16"/>
                <w:color w:val="auto"/>
                <w:w w:val="97"/>
              </w:rPr>
              <w:t>51,603,447</w:t>
            </w:r>
          </w:p>
        </w:tc>
        <w:tc>
          <w:tcPr>
            <w:tcW w:w="12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7"/>
              </w:rPr>
              <w:t>51,186,579</w:t>
            </w:r>
          </w:p>
        </w:tc>
        <w:tc>
          <w:tcPr>
            <w:tcW w:w="580" w:type="dxa"/>
            <w:vAlign w:val="bottom"/>
          </w:tcPr>
          <w:p>
            <w:pPr>
              <w:jc w:val="center"/>
              <w:spacing w:after="0" w:line="180" w:lineRule="exact"/>
              <w:rPr>
                <w:sz w:val="20"/>
                <w:szCs w:val="20"/>
                <w:color w:val="auto"/>
              </w:rPr>
            </w:pPr>
            <w:r>
              <w:rPr>
                <w:rFonts w:ascii="Arial" w:cs="Arial" w:eastAsia="Arial" w:hAnsi="Arial"/>
                <w:sz w:val="16"/>
                <w:szCs w:val="16"/>
                <w:color w:val="auto"/>
                <w:w w:val="95"/>
              </w:rPr>
              <w:t>-0.8%</w:t>
            </w:r>
          </w:p>
        </w:tc>
        <w:tc>
          <w:tcPr>
            <w:tcW w:w="58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rPr>
              <w:t>-4.0%</w:t>
            </w:r>
          </w:p>
        </w:tc>
      </w:tr>
      <w:tr>
        <w:trPr>
          <w:trHeight w:val="180"/>
        </w:trPr>
        <w:tc>
          <w:tcPr>
            <w:tcW w:w="582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Cash collateral, reverse repurchase agreements and securities borrowing</w:t>
            </w:r>
          </w:p>
        </w:tc>
        <w:tc>
          <w:tcPr>
            <w:tcW w:w="1180" w:type="dxa"/>
            <w:vAlign w:val="bottom"/>
          </w:tcPr>
          <w:p>
            <w:pPr>
              <w:jc w:val="center"/>
              <w:spacing w:after="0" w:line="180" w:lineRule="exact"/>
              <w:rPr>
                <w:sz w:val="20"/>
                <w:szCs w:val="20"/>
                <w:color w:val="auto"/>
              </w:rPr>
            </w:pPr>
            <w:r>
              <w:rPr>
                <w:rFonts w:ascii="Arial" w:cs="Arial" w:eastAsia="Arial" w:hAnsi="Arial"/>
                <w:sz w:val="16"/>
                <w:szCs w:val="16"/>
                <w:color w:val="auto"/>
                <w:w w:val="98"/>
              </w:rPr>
              <w:t>1,419,305</w:t>
            </w:r>
          </w:p>
        </w:tc>
        <w:tc>
          <w:tcPr>
            <w:tcW w:w="1200" w:type="dxa"/>
            <w:vAlign w:val="bottom"/>
          </w:tcPr>
          <w:p>
            <w:pPr>
              <w:jc w:val="center"/>
              <w:spacing w:after="0" w:line="180" w:lineRule="exact"/>
              <w:rPr>
                <w:sz w:val="20"/>
                <w:szCs w:val="20"/>
                <w:color w:val="auto"/>
              </w:rPr>
            </w:pPr>
            <w:r>
              <w:rPr>
                <w:rFonts w:ascii="Arial" w:cs="Arial" w:eastAsia="Arial" w:hAnsi="Arial"/>
                <w:sz w:val="16"/>
                <w:szCs w:val="16"/>
                <w:color w:val="auto"/>
                <w:w w:val="95"/>
              </w:rPr>
              <w:t>4,593,501</w:t>
            </w:r>
          </w:p>
        </w:tc>
        <w:tc>
          <w:tcPr>
            <w:tcW w:w="12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5"/>
              </w:rPr>
              <w:t>3,404,639</w:t>
            </w:r>
          </w:p>
        </w:tc>
        <w:tc>
          <w:tcPr>
            <w:tcW w:w="1160" w:type="dxa"/>
            <w:vAlign w:val="bottom"/>
            <w:tcBorders>
              <w:right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-25.9% 139.9%</w:t>
            </w:r>
          </w:p>
        </w:tc>
      </w:tr>
      <w:tr>
        <w:trPr>
          <w:trHeight w:val="191"/>
        </w:trPr>
        <w:tc>
          <w:tcPr>
            <w:tcW w:w="5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Loans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142,568,785</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140,961,978</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144,752,254</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2.7%</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1.5%</w:t>
            </w:r>
          </w:p>
        </w:tc>
      </w:tr>
      <w:tr>
        <w:trPr>
          <w:trHeight w:val="172"/>
        </w:trPr>
        <w:tc>
          <w:tcPr>
            <w:tcW w:w="5820" w:type="dxa"/>
            <w:vAlign w:val="bottom"/>
            <w:tcBorders>
              <w:left w:val="single" w:sz="8" w:color="auto"/>
              <w:bottom w:val="single" w:sz="8" w:color="auto"/>
              <w:right w:val="single" w:sz="8" w:color="auto"/>
            </w:tcBorders>
          </w:tcPr>
          <w:p>
            <w:pPr>
              <w:ind w:left="20"/>
              <w:spacing w:after="0" w:line="172" w:lineRule="exact"/>
              <w:rPr>
                <w:sz w:val="20"/>
                <w:szCs w:val="20"/>
                <w:color w:val="auto"/>
              </w:rPr>
            </w:pPr>
            <w:r>
              <w:rPr>
                <w:rFonts w:ascii="Arial" w:cs="Arial" w:eastAsia="Arial" w:hAnsi="Arial"/>
                <w:sz w:val="16"/>
                <w:szCs w:val="16"/>
                <w:b w:val="1"/>
                <w:bCs w:val="1"/>
                <w:color w:val="auto"/>
              </w:rPr>
              <w:t>Total interest earning assets</w:t>
            </w:r>
          </w:p>
        </w:tc>
        <w:tc>
          <w:tcPr>
            <w:tcW w:w="118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234,324,929</w:t>
            </w:r>
          </w:p>
        </w:tc>
        <w:tc>
          <w:tcPr>
            <w:tcW w:w="12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231,364,926</w:t>
            </w:r>
          </w:p>
        </w:tc>
        <w:tc>
          <w:tcPr>
            <w:tcW w:w="122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235,205,656</w:t>
            </w:r>
          </w:p>
        </w:tc>
        <w:tc>
          <w:tcPr>
            <w:tcW w:w="58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8"/>
              </w:rPr>
              <w:t>1.7%</w:t>
            </w:r>
          </w:p>
        </w:tc>
        <w:tc>
          <w:tcPr>
            <w:tcW w:w="58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3"/>
              </w:rPr>
              <w:t>0.4%</w:t>
            </w:r>
          </w:p>
        </w:tc>
      </w:tr>
      <w:tr>
        <w:trPr>
          <w:trHeight w:val="172"/>
        </w:trPr>
        <w:tc>
          <w:tcPr>
            <w:tcW w:w="5820" w:type="dxa"/>
            <w:vAlign w:val="bottom"/>
            <w:tcBorders>
              <w:left w:val="single" w:sz="8" w:color="auto"/>
              <w:bottom w:val="single" w:sz="8" w:color="auto"/>
              <w:right w:val="single" w:sz="8" w:color="auto"/>
            </w:tcBorders>
          </w:tcPr>
          <w:p>
            <w:pPr>
              <w:ind w:left="20"/>
              <w:spacing w:after="0" w:line="172" w:lineRule="exact"/>
              <w:rPr>
                <w:sz w:val="20"/>
                <w:szCs w:val="20"/>
                <w:color w:val="auto"/>
              </w:rPr>
            </w:pPr>
            <w:r>
              <w:rPr>
                <w:rFonts w:ascii="Arial" w:cs="Arial" w:eastAsia="Arial" w:hAnsi="Arial"/>
                <w:sz w:val="16"/>
                <w:szCs w:val="16"/>
                <w:b w:val="1"/>
                <w:bCs w:val="1"/>
                <w:color w:val="auto"/>
              </w:rPr>
              <w:t>Total interest earning assets (Adjusted for Asset Revaluation)</w:t>
            </w:r>
          </w:p>
        </w:tc>
        <w:tc>
          <w:tcPr>
            <w:tcW w:w="118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234,324,929</w:t>
            </w:r>
          </w:p>
        </w:tc>
        <w:tc>
          <w:tcPr>
            <w:tcW w:w="12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237,642,758</w:t>
            </w:r>
          </w:p>
        </w:tc>
        <w:tc>
          <w:tcPr>
            <w:tcW w:w="122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239,824,996</w:t>
            </w:r>
          </w:p>
        </w:tc>
        <w:tc>
          <w:tcPr>
            <w:tcW w:w="58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8"/>
              </w:rPr>
              <w:t>0.9%</w:t>
            </w:r>
          </w:p>
        </w:tc>
        <w:tc>
          <w:tcPr>
            <w:tcW w:w="58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3"/>
              </w:rPr>
              <w:t>2.3%</w:t>
            </w:r>
          </w:p>
        </w:tc>
      </w:tr>
      <w:tr>
        <w:trPr>
          <w:trHeight w:val="172"/>
        </w:trPr>
        <w:tc>
          <w:tcPr>
            <w:tcW w:w="7000" w:type="dxa"/>
            <w:vAlign w:val="bottom"/>
            <w:tcBorders>
              <w:left w:val="single" w:sz="8" w:color="auto"/>
              <w:bottom w:val="single" w:sz="8" w:color="auto"/>
            </w:tcBorders>
            <w:gridSpan w:val="2"/>
          </w:tcPr>
          <w:p>
            <w:pPr>
              <w:ind w:left="20"/>
              <w:spacing w:after="0" w:line="172" w:lineRule="exact"/>
              <w:rPr>
                <w:sz w:val="20"/>
                <w:szCs w:val="20"/>
                <w:color w:val="auto"/>
              </w:rPr>
            </w:pPr>
            <w:r>
              <w:rPr>
                <w:rFonts w:ascii="Arial" w:cs="Arial" w:eastAsia="Arial" w:hAnsi="Arial"/>
                <w:sz w:val="16"/>
                <w:szCs w:val="16"/>
                <w:b w:val="1"/>
                <w:bCs w:val="1"/>
                <w:color w:val="auto"/>
              </w:rPr>
              <w:t>Total interest earning assets (Adjusted for Asset Revaluation, FX Neutral USDPEN)</w:t>
            </w:r>
          </w:p>
        </w:tc>
        <w:tc>
          <w:tcPr>
            <w:tcW w:w="1200" w:type="dxa"/>
            <w:vAlign w:val="bottom"/>
            <w:tcBorders>
              <w:bottom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8"/>
              </w:rPr>
              <w:t>1.8%</w:t>
            </w:r>
          </w:p>
        </w:tc>
        <w:tc>
          <w:tcPr>
            <w:tcW w:w="58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3"/>
              </w:rPr>
              <w:t>5.5%</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IEA rose 1.7% QoQ and 0.4% YoY. If we exclude the effect of asset revaluation at BCP Bolivia, IEA evolved as follows:</w:t>
      </w:r>
    </w:p>
    <w:p>
      <w:pPr>
        <w:spacing w:after="0" w:line="174"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IEA increased 0.9%, driven primarily by loan growth at BCP, particularly in retail segments, followed by loan expansion at Mibanco (for more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details on this evolution, review </w:t>
      </w:r>
      <w:r>
        <w:rPr>
          <w:rFonts w:ascii="Arial" w:cs="Arial" w:eastAsia="Arial" w:hAnsi="Arial"/>
          <w:sz w:val="16"/>
          <w:szCs w:val="16"/>
          <w:b w:val="1"/>
          <w:bCs w:val="1"/>
          <w:color w:val="auto"/>
        </w:rPr>
        <w:t>chapter 1. Loan Portfolio</w:t>
      </w:r>
      <w:r>
        <w:rPr>
          <w:rFonts w:ascii="Arial" w:cs="Arial" w:eastAsia="Arial" w:hAnsi="Arial"/>
          <w:sz w:val="16"/>
          <w:szCs w:val="16"/>
          <w:color w:val="auto"/>
        </w:rPr>
        <w:t>). Growth in Cash and due from banks was a secondary factor behind IEA growth, as BCP’s increased its balances of savings and times deposits as part of its funding strategy. The positive impact of the aforementioned drivers was partially offset by a reduction in Cash collateral, reverse repurchase agreements and securities borrowing.</w:t>
      </w:r>
    </w:p>
    <w:p>
      <w:pPr>
        <w:spacing w:after="0" w:line="140"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IEA expanded 2.3%, driven by growth in the loan balance, mainly at BCP. Growth in cash collateral, reverse repurchase agreements,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borrowing also contributed to the uptick in IEAs, albeit to a lesser extent. These dynamics were partially offset by the following factors: i) a reduction in the Investment balance due to the liquidation of investments at BCP under a strategy to manage the balances, and ii) a drop in Cash and due from banks, which was attributable to cash outflows to pay bond expirations over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683895</wp:posOffset>
            </wp:positionV>
            <wp:extent cx="670750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97155</wp:posOffset>
            </wp:positionV>
            <wp:extent cx="5991225" cy="495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91225" cy="495300"/>
                    </a:xfrm>
                    <a:prstGeom prst="rect">
                      <a:avLst/>
                    </a:prstGeom>
                    <a:noFill/>
                  </pic:spPr>
                </pic:pic>
              </a:graphicData>
            </a:graphic>
          </wp:anchor>
        </w:drawing>
      </w:r>
    </w:p>
    <w:p>
      <w:pPr>
        <w:sectPr>
          <w:pgSz w:w="11900" w:h="16840" w:orient="portrait"/>
          <w:cols w:equalWidth="0" w:num="1">
            <w:col w:w="10580"/>
          </w:cols>
          <w:pgMar w:left="660" w:top="929" w:right="660" w:bottom="1440" w:gutter="0" w:footer="0" w:header="0"/>
        </w:sectPr>
      </w:pPr>
    </w:p>
    <w:bookmarkStart w:id="25" w:name="page26"/>
    <w:bookmarkEnd w:id="25"/>
    <w:p>
      <w:pPr>
        <w:ind w:left="254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92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07505" cy="79248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03. Interest-earning Assets (IEA) and Funding</w:t>
      </w:r>
    </w:p>
    <w:p>
      <w:pPr>
        <w:spacing w:after="0" w:line="226"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Funding</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4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rPr>
              <w:t>Funding</w:t>
            </w:r>
          </w:p>
        </w:tc>
        <w:tc>
          <w:tcPr>
            <w:tcW w:w="1200" w:type="dxa"/>
            <w:vAlign w:val="bottom"/>
            <w:tcBorders>
              <w:top w:val="single" w:sz="8" w:color="auto"/>
            </w:tcBorders>
            <w:shd w:val="clear" w:color="auto" w:fill="33CCCC"/>
          </w:tcPr>
          <w:p>
            <w:pPr>
              <w:spacing w:after="0"/>
              <w:rPr>
                <w:sz w:val="16"/>
                <w:szCs w:val="16"/>
                <w:color w:val="auto"/>
              </w:rPr>
            </w:pPr>
          </w:p>
        </w:tc>
        <w:tc>
          <w:tcPr>
            <w:tcW w:w="120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9"/>
              </w:rPr>
              <w:t>As of</w:t>
            </w:r>
          </w:p>
        </w:tc>
        <w:tc>
          <w:tcPr>
            <w:tcW w:w="1240" w:type="dxa"/>
            <w:vAlign w:val="bottom"/>
            <w:tcBorders>
              <w:top w:val="single" w:sz="8" w:color="auto"/>
              <w:right w:val="single" w:sz="8" w:color="auto"/>
            </w:tcBorders>
            <w:shd w:val="clear" w:color="auto" w:fill="33CCCC"/>
          </w:tcPr>
          <w:p>
            <w:pPr>
              <w:spacing w:after="0"/>
              <w:rPr>
                <w:sz w:val="16"/>
                <w:szCs w:val="16"/>
                <w:color w:val="auto"/>
              </w:rPr>
            </w:pPr>
          </w:p>
        </w:tc>
        <w:tc>
          <w:tcPr>
            <w:tcW w:w="1100" w:type="dxa"/>
            <w:vAlign w:val="bottom"/>
            <w:tcBorders>
              <w:top w:val="single" w:sz="8" w:color="auto"/>
              <w:right w:val="single" w:sz="8" w:color="auto"/>
            </w:tcBorders>
            <w:gridSpan w:val="2"/>
            <w:shd w:val="clear" w:color="auto" w:fill="33CCCC"/>
          </w:tcPr>
          <w:p>
            <w:pPr>
              <w:jc w:val="center"/>
              <w:spacing w:after="0"/>
              <w:rPr>
                <w:sz w:val="20"/>
                <w:szCs w:val="20"/>
                <w:color w:val="auto"/>
              </w:rPr>
            </w:pPr>
            <w:r>
              <w:rPr>
                <w:rFonts w:ascii="Arial" w:cs="Arial" w:eastAsia="Arial" w:hAnsi="Arial"/>
                <w:sz w:val="16"/>
                <w:szCs w:val="16"/>
                <w:b w:val="1"/>
                <w:bCs w:val="1"/>
                <w:color w:val="FFFFFF"/>
                <w:w w:val="99"/>
              </w:rPr>
              <w:t>% change</w:t>
            </w:r>
          </w:p>
        </w:tc>
      </w:tr>
      <w:tr>
        <w:trPr>
          <w:trHeight w:val="180"/>
        </w:trPr>
        <w:tc>
          <w:tcPr>
            <w:tcW w:w="5840" w:type="dxa"/>
            <w:vAlign w:val="bottom"/>
            <w:tcBorders>
              <w:left w:val="single" w:sz="8" w:color="auto"/>
              <w:bottom w:val="single" w:sz="8" w:color="auto"/>
              <w:right w:val="single" w:sz="8" w:color="auto"/>
            </w:tcBorders>
            <w:shd w:val="clear" w:color="auto" w:fill="33CCCC"/>
          </w:tcPr>
          <w:p>
            <w:pPr>
              <w:ind w:left="20"/>
              <w:spacing w:after="0" w:line="180" w:lineRule="exact"/>
              <w:rPr>
                <w:sz w:val="20"/>
                <w:szCs w:val="20"/>
                <w:color w:val="auto"/>
              </w:rPr>
            </w:pPr>
            <w:r>
              <w:rPr>
                <w:rFonts w:ascii="Arial" w:cs="Arial" w:eastAsia="Arial" w:hAnsi="Arial"/>
                <w:sz w:val="16"/>
                <w:szCs w:val="16"/>
                <w:b w:val="1"/>
                <w:bCs w:val="1"/>
                <w:color w:val="FFFFFF"/>
              </w:rPr>
              <w:t>S/ 000</w:t>
            </w:r>
          </w:p>
        </w:tc>
        <w:tc>
          <w:tcPr>
            <w:tcW w:w="1200" w:type="dxa"/>
            <w:vAlign w:val="bottom"/>
            <w:tcBorders>
              <w:bottom w:val="single" w:sz="8" w:color="auto"/>
            </w:tcBorders>
            <w:shd w:val="clear" w:color="auto" w:fill="33CCCC"/>
          </w:tcPr>
          <w:p>
            <w:pPr>
              <w:ind w:left="340"/>
              <w:spacing w:after="0" w:line="180" w:lineRule="exact"/>
              <w:rPr>
                <w:sz w:val="20"/>
                <w:szCs w:val="20"/>
                <w:color w:val="auto"/>
              </w:rPr>
            </w:pPr>
            <w:r>
              <w:rPr>
                <w:rFonts w:ascii="Arial" w:cs="Arial" w:eastAsia="Arial" w:hAnsi="Arial"/>
                <w:sz w:val="16"/>
                <w:szCs w:val="16"/>
                <w:b w:val="1"/>
                <w:bCs w:val="1"/>
                <w:color w:val="FFFFFF"/>
              </w:rPr>
              <w:t>Sep 24</w:t>
            </w:r>
          </w:p>
        </w:tc>
        <w:tc>
          <w:tcPr>
            <w:tcW w:w="1200" w:type="dxa"/>
            <w:vAlign w:val="bottom"/>
            <w:tcBorders>
              <w:bottom w:val="single" w:sz="8" w:color="auto"/>
            </w:tcBorders>
            <w:shd w:val="clear" w:color="auto" w:fill="33CCCC"/>
          </w:tcPr>
          <w:p>
            <w:pPr>
              <w:jc w:val="center"/>
              <w:spacing w:after="0" w:line="180" w:lineRule="exact"/>
              <w:rPr>
                <w:sz w:val="20"/>
                <w:szCs w:val="20"/>
                <w:color w:val="auto"/>
              </w:rPr>
            </w:pPr>
            <w:r>
              <w:rPr>
                <w:rFonts w:ascii="Arial" w:cs="Arial" w:eastAsia="Arial" w:hAnsi="Arial"/>
                <w:sz w:val="16"/>
                <w:szCs w:val="16"/>
                <w:b w:val="1"/>
                <w:bCs w:val="1"/>
                <w:color w:val="FFFFFF"/>
                <w:w w:val="98"/>
              </w:rPr>
              <w:t>Jun 25</w:t>
            </w:r>
          </w:p>
        </w:tc>
        <w:tc>
          <w:tcPr>
            <w:tcW w:w="1240" w:type="dxa"/>
            <w:vAlign w:val="bottom"/>
            <w:tcBorders>
              <w:bottom w:val="single" w:sz="8" w:color="auto"/>
              <w:right w:val="single" w:sz="8" w:color="auto"/>
            </w:tcBorders>
            <w:shd w:val="clear" w:color="auto" w:fill="33CCCC"/>
          </w:tcPr>
          <w:p>
            <w:pPr>
              <w:ind w:left="360"/>
              <w:spacing w:after="0" w:line="180" w:lineRule="exact"/>
              <w:rPr>
                <w:sz w:val="20"/>
                <w:szCs w:val="20"/>
                <w:color w:val="auto"/>
              </w:rPr>
            </w:pPr>
            <w:r>
              <w:rPr>
                <w:rFonts w:ascii="Arial" w:cs="Arial" w:eastAsia="Arial" w:hAnsi="Arial"/>
                <w:sz w:val="16"/>
                <w:szCs w:val="16"/>
                <w:b w:val="1"/>
                <w:bCs w:val="1"/>
                <w:color w:val="FFFFFF"/>
              </w:rPr>
              <w:t>Sep 25</w:t>
            </w:r>
          </w:p>
        </w:tc>
        <w:tc>
          <w:tcPr>
            <w:tcW w:w="560" w:type="dxa"/>
            <w:vAlign w:val="bottom"/>
            <w:tcBorders>
              <w:bottom w:val="single" w:sz="8" w:color="auto"/>
            </w:tcBorders>
            <w:shd w:val="clear" w:color="auto" w:fill="33CCCC"/>
          </w:tcPr>
          <w:p>
            <w:pPr>
              <w:ind w:left="120"/>
              <w:spacing w:after="0" w:line="180" w:lineRule="exact"/>
              <w:rPr>
                <w:sz w:val="20"/>
                <w:szCs w:val="20"/>
                <w:color w:val="auto"/>
              </w:rPr>
            </w:pPr>
            <w:r>
              <w:rPr>
                <w:rFonts w:ascii="Arial" w:cs="Arial" w:eastAsia="Arial" w:hAnsi="Arial"/>
                <w:sz w:val="16"/>
                <w:szCs w:val="16"/>
                <w:b w:val="1"/>
                <w:bCs w:val="1"/>
                <w:color w:val="FFFFFF"/>
              </w:rPr>
              <w:t>QoQ</w:t>
            </w:r>
          </w:p>
        </w:tc>
        <w:tc>
          <w:tcPr>
            <w:tcW w:w="540" w:type="dxa"/>
            <w:vAlign w:val="bottom"/>
            <w:tcBorders>
              <w:bottom w:val="single" w:sz="8" w:color="auto"/>
              <w:right w:val="single" w:sz="8" w:color="auto"/>
            </w:tcBorders>
            <w:shd w:val="clear" w:color="auto" w:fill="33CCCC"/>
          </w:tcPr>
          <w:p>
            <w:pPr>
              <w:ind w:left="120"/>
              <w:spacing w:after="0" w:line="180" w:lineRule="exact"/>
              <w:rPr>
                <w:sz w:val="20"/>
                <w:szCs w:val="20"/>
                <w:color w:val="auto"/>
              </w:rPr>
            </w:pPr>
            <w:r>
              <w:rPr>
                <w:rFonts w:ascii="Arial" w:cs="Arial" w:eastAsia="Arial" w:hAnsi="Arial"/>
                <w:sz w:val="16"/>
                <w:szCs w:val="16"/>
                <w:b w:val="1"/>
                <w:bCs w:val="1"/>
                <w:color w:val="FFFFFF"/>
              </w:rPr>
              <w:t>YoY</w:t>
            </w:r>
          </w:p>
        </w:tc>
      </w:tr>
      <w:tr>
        <w:trPr>
          <w:trHeight w:val="161"/>
        </w:trPr>
        <w:tc>
          <w:tcPr>
            <w:tcW w:w="584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Deposits and obligations</w:t>
            </w:r>
          </w:p>
        </w:tc>
        <w:tc>
          <w:tcPr>
            <w:tcW w:w="1200" w:type="dxa"/>
            <w:vAlign w:val="bottom"/>
          </w:tcPr>
          <w:p>
            <w:pPr>
              <w:jc w:val="center"/>
              <w:spacing w:after="0" w:line="161" w:lineRule="exact"/>
              <w:rPr>
                <w:sz w:val="20"/>
                <w:szCs w:val="20"/>
                <w:color w:val="auto"/>
              </w:rPr>
            </w:pPr>
            <w:r>
              <w:rPr>
                <w:rFonts w:ascii="Arial" w:cs="Arial" w:eastAsia="Arial" w:hAnsi="Arial"/>
                <w:sz w:val="16"/>
                <w:szCs w:val="16"/>
                <w:color w:val="auto"/>
                <w:w w:val="96"/>
              </w:rPr>
              <w:t>154,435,451</w:t>
            </w:r>
          </w:p>
        </w:tc>
        <w:tc>
          <w:tcPr>
            <w:tcW w:w="1200" w:type="dxa"/>
            <w:vAlign w:val="bottom"/>
          </w:tcPr>
          <w:p>
            <w:pPr>
              <w:jc w:val="center"/>
              <w:spacing w:after="0" w:line="161" w:lineRule="exact"/>
              <w:rPr>
                <w:sz w:val="20"/>
                <w:szCs w:val="20"/>
                <w:color w:val="auto"/>
              </w:rPr>
            </w:pPr>
            <w:r>
              <w:rPr>
                <w:rFonts w:ascii="Arial" w:cs="Arial" w:eastAsia="Arial" w:hAnsi="Arial"/>
                <w:sz w:val="16"/>
                <w:szCs w:val="16"/>
                <w:color w:val="auto"/>
                <w:w w:val="96"/>
              </w:rPr>
              <w:t>154,723,334</w:t>
            </w:r>
          </w:p>
        </w:tc>
        <w:tc>
          <w:tcPr>
            <w:tcW w:w="124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6"/>
                <w:szCs w:val="16"/>
                <w:color w:val="auto"/>
                <w:w w:val="96"/>
              </w:rPr>
              <w:t>158,430,455</w:t>
            </w:r>
          </w:p>
        </w:tc>
        <w:tc>
          <w:tcPr>
            <w:tcW w:w="560" w:type="dxa"/>
            <w:vAlign w:val="bottom"/>
          </w:tcPr>
          <w:p>
            <w:pPr>
              <w:jc w:val="center"/>
              <w:spacing w:after="0" w:line="161" w:lineRule="exact"/>
              <w:rPr>
                <w:sz w:val="20"/>
                <w:szCs w:val="20"/>
                <w:color w:val="auto"/>
              </w:rPr>
            </w:pPr>
            <w:r>
              <w:rPr>
                <w:rFonts w:ascii="Arial" w:cs="Arial" w:eastAsia="Arial" w:hAnsi="Arial"/>
                <w:sz w:val="16"/>
                <w:szCs w:val="16"/>
                <w:color w:val="auto"/>
                <w:w w:val="93"/>
              </w:rPr>
              <w:t>2.4%</w:t>
            </w:r>
          </w:p>
        </w:tc>
        <w:tc>
          <w:tcPr>
            <w:tcW w:w="54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6"/>
                <w:szCs w:val="16"/>
                <w:color w:val="auto"/>
                <w:w w:val="98"/>
              </w:rPr>
              <w:t>2.6%</w:t>
            </w:r>
          </w:p>
        </w:tc>
      </w:tr>
      <w:tr>
        <w:trPr>
          <w:trHeight w:val="180"/>
        </w:trPr>
        <w:tc>
          <w:tcPr>
            <w:tcW w:w="584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Due to banks and correspondents</w:t>
            </w:r>
          </w:p>
        </w:tc>
        <w:tc>
          <w:tcPr>
            <w:tcW w:w="1200" w:type="dxa"/>
            <w:vAlign w:val="bottom"/>
          </w:tcPr>
          <w:p>
            <w:pPr>
              <w:jc w:val="center"/>
              <w:spacing w:after="0" w:line="180" w:lineRule="exact"/>
              <w:rPr>
                <w:sz w:val="20"/>
                <w:szCs w:val="20"/>
                <w:color w:val="auto"/>
              </w:rPr>
            </w:pPr>
            <w:r>
              <w:rPr>
                <w:rFonts w:ascii="Arial" w:cs="Arial" w:eastAsia="Arial" w:hAnsi="Arial"/>
                <w:sz w:val="16"/>
                <w:szCs w:val="16"/>
                <w:color w:val="auto"/>
                <w:w w:val="97"/>
              </w:rPr>
              <w:t>12,704,234</w:t>
            </w:r>
          </w:p>
        </w:tc>
        <w:tc>
          <w:tcPr>
            <w:tcW w:w="1200" w:type="dxa"/>
            <w:vAlign w:val="bottom"/>
          </w:tcPr>
          <w:p>
            <w:pPr>
              <w:jc w:val="center"/>
              <w:spacing w:after="0" w:line="180" w:lineRule="exact"/>
              <w:rPr>
                <w:sz w:val="20"/>
                <w:szCs w:val="20"/>
                <w:color w:val="auto"/>
              </w:rPr>
            </w:pPr>
            <w:r>
              <w:rPr>
                <w:rFonts w:ascii="Arial" w:cs="Arial" w:eastAsia="Arial" w:hAnsi="Arial"/>
                <w:sz w:val="16"/>
                <w:szCs w:val="16"/>
                <w:color w:val="auto"/>
                <w:w w:val="97"/>
              </w:rPr>
              <w:t>11,152,813</w:t>
            </w:r>
          </w:p>
        </w:tc>
        <w:tc>
          <w:tcPr>
            <w:tcW w:w="12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7"/>
              </w:rPr>
              <w:t>11,241,079</w:t>
            </w:r>
          </w:p>
        </w:tc>
        <w:tc>
          <w:tcPr>
            <w:tcW w:w="560" w:type="dxa"/>
            <w:vAlign w:val="bottom"/>
          </w:tcPr>
          <w:p>
            <w:pPr>
              <w:jc w:val="center"/>
              <w:spacing w:after="0" w:line="180" w:lineRule="exact"/>
              <w:rPr>
                <w:sz w:val="20"/>
                <w:szCs w:val="20"/>
                <w:color w:val="auto"/>
              </w:rPr>
            </w:pPr>
            <w:r>
              <w:rPr>
                <w:rFonts w:ascii="Arial" w:cs="Arial" w:eastAsia="Arial" w:hAnsi="Arial"/>
                <w:sz w:val="16"/>
                <w:szCs w:val="16"/>
                <w:color w:val="auto"/>
                <w:w w:val="93"/>
              </w:rPr>
              <w:t>0.8%</w:t>
            </w:r>
          </w:p>
        </w:tc>
        <w:tc>
          <w:tcPr>
            <w:tcW w:w="5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74"/>
              </w:rPr>
              <w:t>-</w:t>
            </w:r>
          </w:p>
        </w:tc>
      </w:tr>
      <w:tr>
        <w:trPr>
          <w:trHeight w:val="180"/>
        </w:trPr>
        <w:tc>
          <w:tcPr>
            <w:tcW w:w="5840" w:type="dxa"/>
            <w:vAlign w:val="bottom"/>
            <w:tcBorders>
              <w:left w:val="single" w:sz="8" w:color="auto"/>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6"/>
              </w:rPr>
              <w:t>11.5%</w:t>
            </w:r>
          </w:p>
        </w:tc>
      </w:tr>
      <w:tr>
        <w:trPr>
          <w:trHeight w:val="180"/>
        </w:trPr>
        <w:tc>
          <w:tcPr>
            <w:tcW w:w="584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BCRP instruments</w:t>
            </w:r>
          </w:p>
        </w:tc>
        <w:tc>
          <w:tcPr>
            <w:tcW w:w="1200" w:type="dxa"/>
            <w:vAlign w:val="bottom"/>
          </w:tcPr>
          <w:p>
            <w:pPr>
              <w:jc w:val="center"/>
              <w:spacing w:after="0" w:line="180" w:lineRule="exact"/>
              <w:rPr>
                <w:sz w:val="20"/>
                <w:szCs w:val="20"/>
                <w:color w:val="auto"/>
              </w:rPr>
            </w:pPr>
            <w:r>
              <w:rPr>
                <w:rFonts w:ascii="Arial" w:cs="Arial" w:eastAsia="Arial" w:hAnsi="Arial"/>
                <w:sz w:val="16"/>
                <w:szCs w:val="16"/>
                <w:color w:val="auto"/>
                <w:w w:val="98"/>
              </w:rPr>
              <w:t>4,788,939</w:t>
            </w:r>
          </w:p>
        </w:tc>
        <w:tc>
          <w:tcPr>
            <w:tcW w:w="1200" w:type="dxa"/>
            <w:vAlign w:val="bottom"/>
          </w:tcPr>
          <w:p>
            <w:pPr>
              <w:jc w:val="center"/>
              <w:spacing w:after="0" w:line="180" w:lineRule="exact"/>
              <w:rPr>
                <w:sz w:val="20"/>
                <w:szCs w:val="20"/>
                <w:color w:val="auto"/>
              </w:rPr>
            </w:pPr>
            <w:r>
              <w:rPr>
                <w:rFonts w:ascii="Arial" w:cs="Arial" w:eastAsia="Arial" w:hAnsi="Arial"/>
                <w:sz w:val="16"/>
                <w:szCs w:val="16"/>
                <w:color w:val="auto"/>
                <w:w w:val="98"/>
              </w:rPr>
              <w:t>5,096,459</w:t>
            </w:r>
          </w:p>
        </w:tc>
        <w:tc>
          <w:tcPr>
            <w:tcW w:w="12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8"/>
              </w:rPr>
              <w:t>6,643,892</w:t>
            </w:r>
          </w:p>
        </w:tc>
        <w:tc>
          <w:tcPr>
            <w:tcW w:w="560" w:type="dxa"/>
            <w:vAlign w:val="bottom"/>
          </w:tcPr>
          <w:p>
            <w:pPr>
              <w:jc w:val="center"/>
              <w:spacing w:after="0" w:line="180" w:lineRule="exact"/>
              <w:rPr>
                <w:sz w:val="20"/>
                <w:szCs w:val="20"/>
                <w:color w:val="auto"/>
              </w:rPr>
            </w:pPr>
            <w:r>
              <w:rPr>
                <w:rFonts w:ascii="Arial" w:cs="Arial" w:eastAsia="Arial" w:hAnsi="Arial"/>
                <w:sz w:val="16"/>
                <w:szCs w:val="16"/>
                <w:color w:val="auto"/>
                <w:w w:val="96"/>
              </w:rPr>
              <w:t>30.4%</w:t>
            </w:r>
          </w:p>
        </w:tc>
        <w:tc>
          <w:tcPr>
            <w:tcW w:w="5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6"/>
              </w:rPr>
              <w:t>38.7%</w:t>
            </w:r>
          </w:p>
        </w:tc>
      </w:tr>
      <w:tr>
        <w:trPr>
          <w:trHeight w:val="180"/>
        </w:trPr>
        <w:tc>
          <w:tcPr>
            <w:tcW w:w="584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Repurchase agreements with clients and third parties</w:t>
            </w:r>
          </w:p>
        </w:tc>
        <w:tc>
          <w:tcPr>
            <w:tcW w:w="1200" w:type="dxa"/>
            <w:vAlign w:val="bottom"/>
          </w:tcPr>
          <w:p>
            <w:pPr>
              <w:jc w:val="center"/>
              <w:spacing w:after="0" w:line="180" w:lineRule="exact"/>
              <w:rPr>
                <w:sz w:val="20"/>
                <w:szCs w:val="20"/>
                <w:color w:val="auto"/>
              </w:rPr>
            </w:pPr>
            <w:r>
              <w:rPr>
                <w:rFonts w:ascii="Arial" w:cs="Arial" w:eastAsia="Arial" w:hAnsi="Arial"/>
                <w:sz w:val="16"/>
                <w:szCs w:val="16"/>
                <w:color w:val="auto"/>
                <w:w w:val="98"/>
              </w:rPr>
              <w:t>2,594,165</w:t>
            </w:r>
          </w:p>
        </w:tc>
        <w:tc>
          <w:tcPr>
            <w:tcW w:w="1200" w:type="dxa"/>
            <w:vAlign w:val="bottom"/>
          </w:tcPr>
          <w:p>
            <w:pPr>
              <w:jc w:val="center"/>
              <w:spacing w:after="0" w:line="180" w:lineRule="exact"/>
              <w:rPr>
                <w:sz w:val="20"/>
                <w:szCs w:val="20"/>
                <w:color w:val="auto"/>
              </w:rPr>
            </w:pPr>
            <w:r>
              <w:rPr>
                <w:rFonts w:ascii="Arial" w:cs="Arial" w:eastAsia="Arial" w:hAnsi="Arial"/>
                <w:sz w:val="16"/>
                <w:szCs w:val="16"/>
                <w:color w:val="auto"/>
                <w:w w:val="98"/>
              </w:rPr>
              <w:t>6,168,934</w:t>
            </w:r>
          </w:p>
        </w:tc>
        <w:tc>
          <w:tcPr>
            <w:tcW w:w="12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8"/>
              </w:rPr>
              <w:t>3,537,281</w:t>
            </w:r>
          </w:p>
        </w:tc>
        <w:tc>
          <w:tcPr>
            <w:tcW w:w="1100" w:type="dxa"/>
            <w:vAlign w:val="bottom"/>
            <w:tcBorders>
              <w:right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-42.7% 36.4%</w:t>
            </w:r>
          </w:p>
        </w:tc>
      </w:tr>
      <w:tr>
        <w:trPr>
          <w:trHeight w:val="180"/>
        </w:trPr>
        <w:tc>
          <w:tcPr>
            <w:tcW w:w="584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Bonds and notes issued</w:t>
            </w:r>
          </w:p>
        </w:tc>
        <w:tc>
          <w:tcPr>
            <w:tcW w:w="1200" w:type="dxa"/>
            <w:vAlign w:val="bottom"/>
          </w:tcPr>
          <w:p>
            <w:pPr>
              <w:jc w:val="center"/>
              <w:spacing w:after="0" w:line="180" w:lineRule="exact"/>
              <w:rPr>
                <w:sz w:val="20"/>
                <w:szCs w:val="20"/>
                <w:color w:val="auto"/>
              </w:rPr>
            </w:pPr>
            <w:r>
              <w:rPr>
                <w:rFonts w:ascii="Arial" w:cs="Arial" w:eastAsia="Arial" w:hAnsi="Arial"/>
                <w:sz w:val="16"/>
                <w:szCs w:val="16"/>
                <w:color w:val="auto"/>
                <w:w w:val="97"/>
              </w:rPr>
              <w:t>16,952,011</w:t>
            </w:r>
          </w:p>
        </w:tc>
        <w:tc>
          <w:tcPr>
            <w:tcW w:w="1200" w:type="dxa"/>
            <w:vAlign w:val="bottom"/>
          </w:tcPr>
          <w:p>
            <w:pPr>
              <w:jc w:val="center"/>
              <w:spacing w:after="0" w:line="180" w:lineRule="exact"/>
              <w:rPr>
                <w:sz w:val="20"/>
                <w:szCs w:val="20"/>
                <w:color w:val="auto"/>
              </w:rPr>
            </w:pPr>
            <w:r>
              <w:rPr>
                <w:rFonts w:ascii="Arial" w:cs="Arial" w:eastAsia="Arial" w:hAnsi="Arial"/>
                <w:sz w:val="16"/>
                <w:szCs w:val="16"/>
                <w:color w:val="auto"/>
                <w:w w:val="97"/>
              </w:rPr>
              <w:t>12,112,403</w:t>
            </w:r>
          </w:p>
        </w:tc>
        <w:tc>
          <w:tcPr>
            <w:tcW w:w="12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7"/>
              </w:rPr>
              <w:t>12,209,724</w:t>
            </w:r>
          </w:p>
        </w:tc>
        <w:tc>
          <w:tcPr>
            <w:tcW w:w="560" w:type="dxa"/>
            <w:vAlign w:val="bottom"/>
          </w:tcPr>
          <w:p>
            <w:pPr>
              <w:jc w:val="center"/>
              <w:spacing w:after="0" w:line="180" w:lineRule="exact"/>
              <w:rPr>
                <w:sz w:val="20"/>
                <w:szCs w:val="20"/>
                <w:color w:val="auto"/>
              </w:rPr>
            </w:pPr>
            <w:r>
              <w:rPr>
                <w:rFonts w:ascii="Arial" w:cs="Arial" w:eastAsia="Arial" w:hAnsi="Arial"/>
                <w:sz w:val="16"/>
                <w:szCs w:val="16"/>
                <w:color w:val="auto"/>
                <w:w w:val="93"/>
              </w:rPr>
              <w:t>0.8%</w:t>
            </w:r>
          </w:p>
        </w:tc>
        <w:tc>
          <w:tcPr>
            <w:tcW w:w="5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74"/>
              </w:rPr>
              <w:t>-</w:t>
            </w:r>
          </w:p>
        </w:tc>
      </w:tr>
      <w:tr>
        <w:trPr>
          <w:trHeight w:val="191"/>
        </w:trPr>
        <w:tc>
          <w:tcPr>
            <w:tcW w:w="5840" w:type="dxa"/>
            <w:vAlign w:val="bottom"/>
            <w:tcBorders>
              <w:left w:val="single" w:sz="8" w:color="auto"/>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28.0%</w:t>
            </w:r>
          </w:p>
        </w:tc>
      </w:tr>
      <w:tr>
        <w:trPr>
          <w:trHeight w:val="172"/>
        </w:trPr>
        <w:tc>
          <w:tcPr>
            <w:tcW w:w="5840" w:type="dxa"/>
            <w:vAlign w:val="bottom"/>
            <w:tcBorders>
              <w:left w:val="single" w:sz="8" w:color="auto"/>
              <w:bottom w:val="single" w:sz="8" w:color="auto"/>
              <w:right w:val="single" w:sz="8" w:color="auto"/>
            </w:tcBorders>
          </w:tcPr>
          <w:p>
            <w:pPr>
              <w:ind w:left="20"/>
              <w:spacing w:after="0" w:line="172" w:lineRule="exact"/>
              <w:rPr>
                <w:sz w:val="20"/>
                <w:szCs w:val="20"/>
                <w:color w:val="auto"/>
              </w:rPr>
            </w:pPr>
            <w:r>
              <w:rPr>
                <w:rFonts w:ascii="Arial" w:cs="Arial" w:eastAsia="Arial" w:hAnsi="Arial"/>
                <w:sz w:val="16"/>
                <w:szCs w:val="16"/>
                <w:b w:val="1"/>
                <w:bCs w:val="1"/>
                <w:color w:val="auto"/>
              </w:rPr>
              <w:t>Total funding</w:t>
            </w:r>
          </w:p>
        </w:tc>
        <w:tc>
          <w:tcPr>
            <w:tcW w:w="12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191,474,800</w:t>
            </w:r>
          </w:p>
        </w:tc>
        <w:tc>
          <w:tcPr>
            <w:tcW w:w="12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189,253,943</w:t>
            </w:r>
          </w:p>
        </w:tc>
        <w:tc>
          <w:tcPr>
            <w:tcW w:w="124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192,062,431</w:t>
            </w:r>
          </w:p>
        </w:tc>
        <w:tc>
          <w:tcPr>
            <w:tcW w:w="5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3"/>
              </w:rPr>
              <w:t>1.5%</w:t>
            </w:r>
          </w:p>
        </w:tc>
        <w:tc>
          <w:tcPr>
            <w:tcW w:w="54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8"/>
              </w:rPr>
              <w:t>0.3%</w:t>
            </w:r>
          </w:p>
        </w:tc>
      </w:tr>
      <w:tr>
        <w:trPr>
          <w:trHeight w:val="172"/>
        </w:trPr>
        <w:tc>
          <w:tcPr>
            <w:tcW w:w="5840" w:type="dxa"/>
            <w:vAlign w:val="bottom"/>
            <w:tcBorders>
              <w:left w:val="single" w:sz="8" w:color="auto"/>
              <w:bottom w:val="single" w:sz="8" w:color="auto"/>
              <w:right w:val="single" w:sz="8" w:color="auto"/>
            </w:tcBorders>
          </w:tcPr>
          <w:p>
            <w:pPr>
              <w:ind w:left="20"/>
              <w:spacing w:after="0" w:line="172" w:lineRule="exact"/>
              <w:rPr>
                <w:sz w:val="20"/>
                <w:szCs w:val="20"/>
                <w:color w:val="auto"/>
              </w:rPr>
            </w:pPr>
            <w:r>
              <w:rPr>
                <w:rFonts w:ascii="Arial" w:cs="Arial" w:eastAsia="Arial" w:hAnsi="Arial"/>
                <w:sz w:val="16"/>
                <w:szCs w:val="16"/>
                <w:b w:val="1"/>
                <w:bCs w:val="1"/>
                <w:color w:val="auto"/>
              </w:rPr>
              <w:t>Total funding (Adjusted for Asset Revaluation)</w:t>
            </w:r>
          </w:p>
        </w:tc>
        <w:tc>
          <w:tcPr>
            <w:tcW w:w="12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191,474,800</w:t>
            </w:r>
          </w:p>
        </w:tc>
        <w:tc>
          <w:tcPr>
            <w:tcW w:w="12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196,368,181</w:t>
            </w:r>
          </w:p>
        </w:tc>
        <w:tc>
          <w:tcPr>
            <w:tcW w:w="124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197,503,936</w:t>
            </w:r>
          </w:p>
        </w:tc>
        <w:tc>
          <w:tcPr>
            <w:tcW w:w="5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3"/>
              </w:rPr>
              <w:t>0.6%</w:t>
            </w:r>
          </w:p>
        </w:tc>
        <w:tc>
          <w:tcPr>
            <w:tcW w:w="54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8"/>
              </w:rPr>
              <w:t>3.1%</w:t>
            </w:r>
          </w:p>
        </w:tc>
      </w:tr>
      <w:tr>
        <w:trPr>
          <w:trHeight w:val="172"/>
        </w:trPr>
        <w:tc>
          <w:tcPr>
            <w:tcW w:w="5840" w:type="dxa"/>
            <w:vAlign w:val="bottom"/>
            <w:tcBorders>
              <w:left w:val="single" w:sz="8" w:color="auto"/>
              <w:bottom w:val="single" w:sz="8" w:color="auto"/>
            </w:tcBorders>
          </w:tcPr>
          <w:p>
            <w:pPr>
              <w:ind w:left="20"/>
              <w:spacing w:after="0" w:line="172" w:lineRule="exact"/>
              <w:rPr>
                <w:sz w:val="20"/>
                <w:szCs w:val="20"/>
                <w:color w:val="auto"/>
              </w:rPr>
            </w:pPr>
            <w:r>
              <w:rPr>
                <w:rFonts w:ascii="Arial" w:cs="Arial" w:eastAsia="Arial" w:hAnsi="Arial"/>
                <w:sz w:val="16"/>
                <w:szCs w:val="16"/>
                <w:b w:val="1"/>
                <w:bCs w:val="1"/>
                <w:color w:val="auto"/>
              </w:rPr>
              <w:t>Total funding (Adjusted for Asset Revaluation, FX Neutral USDPEN)</w:t>
            </w:r>
          </w:p>
        </w:tc>
        <w:tc>
          <w:tcPr>
            <w:tcW w:w="1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3"/>
              </w:rPr>
              <w:t>2.5%</w:t>
            </w:r>
          </w:p>
        </w:tc>
        <w:tc>
          <w:tcPr>
            <w:tcW w:w="54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8"/>
              </w:rPr>
              <w:t>1.3%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Funding dropped 2.0% QoQ and 0.5% YoY. If we exclude the impact of asset revaluation at BCP Bolivia, funding evolved as follows:</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funding rose 0.6%, driven mainly by an increase in the balance for Deposits and obligations. Growth was fueled both by higher low -cost deposits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by an increase in the uptake of wholesale time deposits at BCP, as part of the funding strategy ( </w:t>
      </w:r>
      <w:r>
        <w:rPr>
          <w:rFonts w:ascii="Arial" w:cs="Arial" w:eastAsia="Arial" w:hAnsi="Arial"/>
          <w:sz w:val="16"/>
          <w:szCs w:val="16"/>
          <w:b w:val="1"/>
          <w:bCs w:val="1"/>
          <w:color w:val="auto"/>
        </w:rPr>
        <w:t>for more details, review Chapter 2. Deposits)</w:t>
      </w:r>
      <w:r>
        <w:rPr>
          <w:rFonts w:ascii="Arial" w:cs="Arial" w:eastAsia="Arial" w:hAnsi="Arial"/>
          <w:sz w:val="16"/>
          <w:szCs w:val="16"/>
          <w:color w:val="auto"/>
        </w:rPr>
        <w:t>. Funding also rose on the tails of growth in balance of BCRP Instruments, which reflected an increase in Repurchase agreements to diversify funding. These dynamics were partially offset by a drop in the balance of Repurchase agreements with clients and third parties, which was impacted by a base effect associated with extraordinary growth in 2Q25 under Credicorp Capital Colombia’s investment strategy.</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funding rose 3.1%, driven mainly by growth in Deposits and obligations and in low-cost deposits in particular, which attests to Credicorp’s solid</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transactional offering. It is important to note that Yape’s strong role as a payment and distribution platform for the Group’s diverse product offering. The increase in the balance for BCRP Instruments- which was driven by the same factors as those in play QoQ- also elevated the funding volume YoY, albeit to a lesser extent. The reduction in Bonds and notes issued, which fell due to the expiration of bonds and BCP and an issuance at Credicorp, partially offset the Funding balance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814070</wp:posOffset>
            </wp:positionV>
            <wp:extent cx="670750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227330</wp:posOffset>
            </wp:positionV>
            <wp:extent cx="5991225" cy="495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91225" cy="495300"/>
                    </a:xfrm>
                    <a:prstGeom prst="rect">
                      <a:avLst/>
                    </a:prstGeom>
                    <a:noFill/>
                  </pic:spPr>
                </pic:pic>
              </a:graphicData>
            </a:graphic>
          </wp:anchor>
        </w:drawing>
      </w:r>
    </w:p>
    <w:p>
      <w:pPr>
        <w:sectPr>
          <w:pgSz w:w="11900" w:h="16840" w:orient="portrait"/>
          <w:cols w:equalWidth="0" w:num="1">
            <w:col w:w="10560"/>
          </w:cols>
          <w:pgMar w:left="660" w:top="929" w:right="680" w:bottom="1440" w:gutter="0" w:footer="0" w:header="0"/>
        </w:sectPr>
      </w:pPr>
    </w:p>
    <w:bookmarkStart w:id="26" w:name="page27"/>
    <w:bookmarkEnd w:id="26"/>
    <w:p>
      <w:pPr>
        <w:ind w:left="242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86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07505" cy="5867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364"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04 </w:t>
      </w:r>
      <w:r>
        <w:rPr>
          <w:rFonts w:ascii="Arial" w:cs="Arial" w:eastAsia="Arial" w:hAnsi="Arial"/>
          <w:sz w:val="28"/>
          <w:szCs w:val="28"/>
          <w:color w:val="E93BAC"/>
        </w:rPr>
        <w:t>Net Interest Income (NII)</w:t>
      </w:r>
    </w:p>
    <w:p>
      <w:pPr>
        <w:spacing w:after="0" w:line="196" w:lineRule="exact"/>
        <w:rPr>
          <w:sz w:val="20"/>
          <w:szCs w:val="20"/>
          <w:color w:val="auto"/>
        </w:rPr>
      </w:pPr>
    </w:p>
    <w:p>
      <w:pPr>
        <w:jc w:val="both"/>
        <w:ind w:left="120" w:right="100"/>
        <w:spacing w:after="0" w:line="262" w:lineRule="auto"/>
        <w:rPr>
          <w:sz w:val="20"/>
          <w:szCs w:val="20"/>
          <w:color w:val="auto"/>
        </w:rPr>
      </w:pPr>
      <w:r>
        <w:rPr>
          <w:rFonts w:ascii="Arial" w:cs="Arial" w:eastAsia="Arial" w:hAnsi="Arial"/>
          <w:sz w:val="16"/>
          <w:szCs w:val="16"/>
          <w:color w:val="FFFFFF"/>
        </w:rPr>
        <w:t>In 2Q25 Net Interest Income (NII) rose 2.0% QoQ. This evolution was driven mainly by Interest on loans, which rose on the back of loan growth, particularly in retail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6707505" cy="1028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07505" cy="1028700"/>
                    </a:xfrm>
                    <a:prstGeom prst="rect">
                      <a:avLst/>
                    </a:prstGeom>
                    <a:noFill/>
                  </pic:spPr>
                </pic:pic>
              </a:graphicData>
            </a:graphic>
          </wp:anchor>
        </w:drawing>
      </w:r>
    </w:p>
    <w:p>
      <w:pPr>
        <w:spacing w:after="0" w:line="118" w:lineRule="exact"/>
        <w:rPr>
          <w:sz w:val="20"/>
          <w:szCs w:val="20"/>
          <w:color w:val="auto"/>
        </w:rPr>
      </w:pPr>
    </w:p>
    <w:p>
      <w:pPr>
        <w:jc w:val="both"/>
        <w:ind w:left="120" w:right="120"/>
        <w:spacing w:after="0" w:line="262" w:lineRule="auto"/>
        <w:rPr>
          <w:sz w:val="20"/>
          <w:szCs w:val="20"/>
          <w:color w:val="auto"/>
        </w:rPr>
      </w:pPr>
      <w:r>
        <w:rPr>
          <w:rFonts w:ascii="Arial" w:cs="Arial" w:eastAsia="Arial" w:hAnsi="Arial"/>
          <w:sz w:val="16"/>
          <w:szCs w:val="16"/>
          <w:color w:val="FFFFFF"/>
        </w:rPr>
        <w:t>YoY, NII increased 2.7% due to a reduction in Interest and similar expenses. This decline was fueled primarily by a drop in expenses for deposits, which reflected a decrease in interest rates, and secondarily by an increase in low-cost deposits’ share of the funding structure.</w:t>
      </w:r>
    </w:p>
    <w:p>
      <w:pPr>
        <w:spacing w:after="0" w:line="138" w:lineRule="exact"/>
        <w:rPr>
          <w:sz w:val="20"/>
          <w:szCs w:val="20"/>
          <w:color w:val="auto"/>
        </w:rPr>
      </w:pPr>
    </w:p>
    <w:p>
      <w:pPr>
        <w:jc w:val="both"/>
        <w:ind w:left="120" w:right="120"/>
        <w:spacing w:after="0" w:line="256" w:lineRule="auto"/>
        <w:rPr>
          <w:sz w:val="20"/>
          <w:szCs w:val="20"/>
          <w:color w:val="auto"/>
        </w:rPr>
      </w:pPr>
      <w:r>
        <w:rPr>
          <w:rFonts w:ascii="Arial" w:cs="Arial" w:eastAsia="Arial" w:hAnsi="Arial"/>
          <w:sz w:val="16"/>
          <w:szCs w:val="16"/>
          <w:color w:val="FFFFFF"/>
        </w:rPr>
        <w:t>NIM expanded 14 bps YoY to stand at 6.57%, propelled by a drop in the funding cost in a context marked by a downward trend in interest rates. It is important to note that growth in retail loans helped contain the negative impact that rates exerted on the IEA yield. Finally, risk-adjusted NIM reached a record high</w:t>
      </w:r>
      <w:r>
        <w:rPr>
          <w:rFonts w:ascii="Arial" w:cs="Arial" w:eastAsia="Arial" w:hAnsi="Arial"/>
          <w:sz w:val="26"/>
          <w:szCs w:val="26"/>
          <w:color w:val="FFFFFF"/>
          <w:vertAlign w:val="superscript"/>
        </w:rPr>
        <w:t>1</w:t>
      </w:r>
      <w:r>
        <w:rPr>
          <w:rFonts w:ascii="Arial" w:cs="Arial" w:eastAsia="Arial" w:hAnsi="Arial"/>
          <w:sz w:val="16"/>
          <w:szCs w:val="16"/>
          <w:color w:val="FFFFFF"/>
        </w:rPr>
        <w:t xml:space="preserve"> of 5.53%.</w:t>
      </w:r>
    </w:p>
    <w:tbl>
      <w:tblPr>
        <w:tblLayout w:type="fixed"/>
        <w:tblInd w:w="10" w:type="dxa"/>
        <w:tblCellMar>
          <w:top w:w="0" w:type="dxa"/>
          <w:left w:w="0" w:type="dxa"/>
          <w:bottom w:w="0" w:type="dxa"/>
          <w:right w:w="0" w:type="dxa"/>
        </w:tblCellMar>
      </w:tblPr>
      <w:tr>
        <w:trPr>
          <w:trHeight w:val="132"/>
        </w:trPr>
        <w:tc>
          <w:tcPr>
            <w:tcW w:w="378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Net interest income</w:t>
            </w:r>
          </w:p>
        </w:tc>
        <w:tc>
          <w:tcPr>
            <w:tcW w:w="840" w:type="dxa"/>
            <w:vAlign w:val="bottom"/>
            <w:tcBorders>
              <w:top w:val="single" w:sz="8" w:color="auto"/>
            </w:tcBorders>
            <w:shd w:val="clear" w:color="auto" w:fill="33CCCC"/>
          </w:tcPr>
          <w:p>
            <w:pPr>
              <w:spacing w:after="0"/>
              <w:rPr>
                <w:sz w:val="11"/>
                <w:szCs w:val="11"/>
                <w:color w:val="auto"/>
              </w:rPr>
            </w:pPr>
          </w:p>
        </w:tc>
        <w:tc>
          <w:tcPr>
            <w:tcW w:w="860" w:type="dxa"/>
            <w:vAlign w:val="bottom"/>
            <w:tcBorders>
              <w:top w:val="single" w:sz="8" w:color="auto"/>
            </w:tcBorders>
            <w:shd w:val="clear" w:color="auto" w:fill="33CCCC"/>
          </w:tcPr>
          <w:p>
            <w:pPr>
              <w:ind w:left="240"/>
              <w:spacing w:after="0"/>
              <w:rPr>
                <w:sz w:val="20"/>
                <w:szCs w:val="20"/>
                <w:color w:val="auto"/>
              </w:rPr>
            </w:pPr>
            <w:r>
              <w:rPr>
                <w:rFonts w:ascii="Arial" w:cs="Arial" w:eastAsia="Arial" w:hAnsi="Arial"/>
                <w:sz w:val="11"/>
                <w:szCs w:val="11"/>
                <w:b w:val="1"/>
                <w:bCs w:val="1"/>
                <w:color w:val="FFFFFF"/>
              </w:rPr>
              <w:t>Quarter</w:t>
            </w:r>
          </w:p>
        </w:tc>
        <w:tc>
          <w:tcPr>
            <w:tcW w:w="880" w:type="dxa"/>
            <w:vAlign w:val="bottom"/>
            <w:tcBorders>
              <w:top w:val="single" w:sz="8" w:color="auto"/>
              <w:right w:val="single" w:sz="8" w:color="auto"/>
            </w:tcBorders>
            <w:shd w:val="clear" w:color="auto" w:fill="33CCCC"/>
          </w:tcPr>
          <w:p>
            <w:pPr>
              <w:spacing w:after="0"/>
              <w:rPr>
                <w:sz w:val="11"/>
                <w:szCs w:val="11"/>
                <w:color w:val="auto"/>
              </w:rPr>
            </w:pPr>
          </w:p>
        </w:tc>
        <w:tc>
          <w:tcPr>
            <w:tcW w:w="1640" w:type="dxa"/>
            <w:vAlign w:val="bottom"/>
            <w:tcBorders>
              <w:top w:val="single" w:sz="8" w:color="auto"/>
              <w:right w:val="single" w:sz="8" w:color="auto"/>
            </w:tcBorders>
            <w:gridSpan w:val="2"/>
            <w:shd w:val="clear" w:color="auto" w:fill="33CCCC"/>
          </w:tcPr>
          <w:p>
            <w:pPr>
              <w:ind w:left="560"/>
              <w:spacing w:after="0"/>
              <w:rPr>
                <w:sz w:val="20"/>
                <w:szCs w:val="20"/>
                <w:color w:val="auto"/>
              </w:rPr>
            </w:pPr>
            <w:r>
              <w:rPr>
                <w:rFonts w:ascii="Arial" w:cs="Arial" w:eastAsia="Arial" w:hAnsi="Arial"/>
                <w:sz w:val="11"/>
                <w:szCs w:val="11"/>
                <w:b w:val="1"/>
                <w:bCs w:val="1"/>
                <w:color w:val="FFFFFF"/>
              </w:rPr>
              <w:t>% change</w:t>
            </w:r>
          </w:p>
        </w:tc>
        <w:tc>
          <w:tcPr>
            <w:tcW w:w="1620" w:type="dxa"/>
            <w:vAlign w:val="bottom"/>
            <w:tcBorders>
              <w:top w:val="single" w:sz="8" w:color="auto"/>
              <w:right w:val="single" w:sz="8" w:color="auto"/>
            </w:tcBorders>
            <w:gridSpan w:val="2"/>
            <w:shd w:val="clear" w:color="auto" w:fill="33CCCC"/>
          </w:tcPr>
          <w:p>
            <w:pPr>
              <w:ind w:left="660"/>
              <w:spacing w:after="0"/>
              <w:rPr>
                <w:sz w:val="20"/>
                <w:szCs w:val="20"/>
                <w:color w:val="auto"/>
              </w:rPr>
            </w:pPr>
            <w:r>
              <w:rPr>
                <w:rFonts w:ascii="Arial" w:cs="Arial" w:eastAsia="Arial" w:hAnsi="Arial"/>
                <w:sz w:val="11"/>
                <w:szCs w:val="11"/>
                <w:b w:val="1"/>
                <w:bCs w:val="1"/>
                <w:color w:val="FFFFFF"/>
              </w:rPr>
              <w:t>Up to</w:t>
            </w:r>
          </w:p>
        </w:tc>
        <w:tc>
          <w:tcPr>
            <w:tcW w:w="9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 Change</w:t>
            </w:r>
          </w:p>
        </w:tc>
      </w:tr>
      <w:tr>
        <w:trPr>
          <w:trHeight w:val="132"/>
        </w:trPr>
        <w:tc>
          <w:tcPr>
            <w:tcW w:w="378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S/000</w:t>
            </w:r>
          </w:p>
        </w:tc>
        <w:tc>
          <w:tcPr>
            <w:tcW w:w="8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3Q24</w:t>
            </w:r>
          </w:p>
        </w:tc>
        <w:tc>
          <w:tcPr>
            <w:tcW w:w="8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2Q25</w:t>
            </w:r>
          </w:p>
        </w:tc>
        <w:tc>
          <w:tcPr>
            <w:tcW w:w="8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3Q25</w:t>
            </w:r>
          </w:p>
        </w:tc>
        <w:tc>
          <w:tcPr>
            <w:tcW w:w="7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QoQ</w:t>
            </w:r>
          </w:p>
        </w:tc>
        <w:tc>
          <w:tcPr>
            <w:tcW w:w="8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YoY</w:t>
            </w:r>
          </w:p>
        </w:tc>
        <w:tc>
          <w:tcPr>
            <w:tcW w:w="780" w:type="dxa"/>
            <w:vAlign w:val="bottom"/>
            <w:tcBorders>
              <w:bottom w:val="single" w:sz="8" w:color="auto"/>
            </w:tcBorders>
            <w:shd w:val="clear" w:color="auto" w:fill="33CCCC"/>
          </w:tcPr>
          <w:p>
            <w:pPr>
              <w:ind w:left="220"/>
              <w:spacing w:after="0"/>
              <w:rPr>
                <w:sz w:val="20"/>
                <w:szCs w:val="20"/>
                <w:color w:val="auto"/>
              </w:rPr>
            </w:pPr>
            <w:r>
              <w:rPr>
                <w:rFonts w:ascii="Arial" w:cs="Arial" w:eastAsia="Arial" w:hAnsi="Arial"/>
                <w:sz w:val="11"/>
                <w:szCs w:val="11"/>
                <w:b w:val="1"/>
                <w:bCs w:val="1"/>
                <w:color w:val="FFFFFF"/>
              </w:rPr>
              <w:t>Sep 24</w:t>
            </w:r>
          </w:p>
        </w:tc>
        <w:tc>
          <w:tcPr>
            <w:tcW w:w="840" w:type="dxa"/>
            <w:vAlign w:val="bottom"/>
            <w:tcBorders>
              <w:bottom w:val="single" w:sz="8" w:color="auto"/>
              <w:right w:val="single" w:sz="8" w:color="auto"/>
            </w:tcBorders>
            <w:shd w:val="clear" w:color="auto" w:fill="33CCCC"/>
          </w:tcPr>
          <w:p>
            <w:pPr>
              <w:ind w:left="240"/>
              <w:spacing w:after="0"/>
              <w:rPr>
                <w:sz w:val="20"/>
                <w:szCs w:val="20"/>
                <w:color w:val="auto"/>
              </w:rPr>
            </w:pPr>
            <w:r>
              <w:rPr>
                <w:rFonts w:ascii="Arial" w:cs="Arial" w:eastAsia="Arial" w:hAnsi="Arial"/>
                <w:sz w:val="11"/>
                <w:szCs w:val="11"/>
                <w:b w:val="1"/>
                <w:bCs w:val="1"/>
                <w:color w:val="FFFFFF"/>
              </w:rPr>
              <w:t>Sep 25</w:t>
            </w:r>
          </w:p>
        </w:tc>
        <w:tc>
          <w:tcPr>
            <w:tcW w:w="960" w:type="dxa"/>
            <w:vAlign w:val="bottom"/>
            <w:tcBorders>
              <w:bottom w:val="single" w:sz="8" w:color="auto"/>
              <w:right w:val="single" w:sz="8" w:color="auto"/>
            </w:tcBorders>
            <w:shd w:val="clear" w:color="auto" w:fill="33CCCC"/>
          </w:tcPr>
          <w:p>
            <w:pPr>
              <w:jc w:val="center"/>
              <w:ind w:right="6"/>
              <w:spacing w:after="0"/>
              <w:rPr>
                <w:sz w:val="20"/>
                <w:szCs w:val="20"/>
                <w:color w:val="auto"/>
              </w:rPr>
            </w:pPr>
            <w:r>
              <w:rPr>
                <w:rFonts w:ascii="Arial" w:cs="Arial" w:eastAsia="Arial" w:hAnsi="Arial"/>
                <w:sz w:val="11"/>
                <w:szCs w:val="11"/>
                <w:b w:val="1"/>
                <w:bCs w:val="1"/>
                <w:color w:val="FFFFFF"/>
                <w:w w:val="97"/>
              </w:rPr>
              <w:t>Sep 25 / Sep 24</w:t>
            </w:r>
          </w:p>
        </w:tc>
      </w:tr>
      <w:tr>
        <w:trPr>
          <w:trHeight w:val="124"/>
        </w:trPr>
        <w:tc>
          <w:tcPr>
            <w:tcW w:w="37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Interest and Similar Income</w:t>
            </w:r>
          </w:p>
        </w:tc>
        <w:tc>
          <w:tcPr>
            <w:tcW w:w="8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7"/>
              </w:rPr>
              <w:t>4,995,971</w:t>
            </w:r>
          </w:p>
        </w:tc>
        <w:tc>
          <w:tcPr>
            <w:tcW w:w="8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7"/>
              </w:rPr>
              <w:t>4,922,292</w:t>
            </w:r>
          </w:p>
        </w:tc>
        <w:tc>
          <w:tcPr>
            <w:tcW w:w="8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4,987,693</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5"/>
              </w:rPr>
              <w:t>1.3%</w:t>
            </w:r>
          </w:p>
        </w:tc>
        <w:tc>
          <w:tcPr>
            <w:tcW w:w="8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-0.2%</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w w:val="98"/>
              </w:rPr>
              <w:t>14,857,135</w:t>
            </w:r>
          </w:p>
        </w:tc>
        <w:tc>
          <w:tcPr>
            <w:tcW w:w="8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8"/>
              </w:rPr>
              <w:t>14,804,775</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-0.4%</w:t>
            </w:r>
          </w:p>
        </w:tc>
      </w:tr>
      <w:tr>
        <w:trPr>
          <w:trHeight w:val="132"/>
        </w:trPr>
        <w:tc>
          <w:tcPr>
            <w:tcW w:w="3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Interest and Similar Expenses</w:t>
            </w:r>
          </w:p>
        </w:tc>
        <w:tc>
          <w:tcPr>
            <w:tcW w:w="840" w:type="dxa"/>
            <w:vAlign w:val="bottom"/>
          </w:tcPr>
          <w:p>
            <w:pPr>
              <w:jc w:val="center"/>
              <w:spacing w:after="0"/>
              <w:rPr>
                <w:sz w:val="20"/>
                <w:szCs w:val="20"/>
                <w:color w:val="auto"/>
              </w:rPr>
            </w:pPr>
            <w:r>
              <w:rPr>
                <w:rFonts w:ascii="Arial" w:cs="Arial" w:eastAsia="Arial" w:hAnsi="Arial"/>
                <w:sz w:val="11"/>
                <w:szCs w:val="11"/>
                <w:color w:val="auto"/>
                <w:w w:val="95"/>
              </w:rPr>
              <w:t>(1,405,221)</w:t>
            </w:r>
          </w:p>
        </w:tc>
        <w:tc>
          <w:tcPr>
            <w:tcW w:w="860" w:type="dxa"/>
            <w:vAlign w:val="bottom"/>
          </w:tcPr>
          <w:p>
            <w:pPr>
              <w:jc w:val="center"/>
              <w:spacing w:after="0"/>
              <w:rPr>
                <w:sz w:val="20"/>
                <w:szCs w:val="20"/>
                <w:color w:val="auto"/>
              </w:rPr>
            </w:pPr>
            <w:r>
              <w:rPr>
                <w:rFonts w:ascii="Arial" w:cs="Arial" w:eastAsia="Arial" w:hAnsi="Arial"/>
                <w:sz w:val="11"/>
                <w:szCs w:val="11"/>
                <w:color w:val="auto"/>
                <w:w w:val="95"/>
              </w:rPr>
              <w:t>(1,306,921)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(1,299,864)</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-0.5%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-7.5%</w:t>
            </w:r>
          </w:p>
        </w:tc>
        <w:tc>
          <w:tcPr>
            <w:tcW w:w="780" w:type="dxa"/>
            <w:vAlign w:val="bottom"/>
          </w:tcPr>
          <w:p>
            <w:pPr>
              <w:jc w:val="center"/>
              <w:spacing w:after="0"/>
              <w:rPr>
                <w:sz w:val="20"/>
                <w:szCs w:val="20"/>
                <w:color w:val="auto"/>
              </w:rPr>
            </w:pPr>
            <w:r>
              <w:rPr>
                <w:rFonts w:ascii="Arial" w:cs="Arial" w:eastAsia="Arial" w:hAnsi="Arial"/>
                <w:sz w:val="11"/>
                <w:szCs w:val="11"/>
                <w:color w:val="auto"/>
                <w:w w:val="99"/>
              </w:rPr>
              <w:t>(4,371,798)</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(3,929,563)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-10.1%</w:t>
            </w:r>
          </w:p>
        </w:tc>
      </w:tr>
      <w:tr>
        <w:trPr>
          <w:trHeight w:val="132"/>
        </w:trPr>
        <w:tc>
          <w:tcPr>
            <w:tcW w:w="37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Interest Expense (excluding Net Insurance Financial Expenses)</w:t>
            </w:r>
          </w:p>
        </w:tc>
        <w:tc>
          <w:tcPr>
            <w:tcW w:w="840" w:type="dxa"/>
            <w:vAlign w:val="bottom"/>
          </w:tcPr>
          <w:p>
            <w:pPr>
              <w:jc w:val="center"/>
              <w:spacing w:after="0"/>
              <w:rPr>
                <w:sz w:val="20"/>
                <w:szCs w:val="20"/>
                <w:color w:val="auto"/>
              </w:rPr>
            </w:pPr>
            <w:r>
              <w:rPr>
                <w:rFonts w:ascii="Arial" w:cs="Arial" w:eastAsia="Arial" w:hAnsi="Arial"/>
                <w:sz w:val="11"/>
                <w:szCs w:val="11"/>
                <w:color w:val="auto"/>
                <w:w w:val="95"/>
              </w:rPr>
              <w:t>(1,276,643)</w:t>
            </w:r>
          </w:p>
        </w:tc>
        <w:tc>
          <w:tcPr>
            <w:tcW w:w="860" w:type="dxa"/>
            <w:vAlign w:val="bottom"/>
          </w:tcPr>
          <w:p>
            <w:pPr>
              <w:jc w:val="center"/>
              <w:spacing w:after="0"/>
              <w:rPr>
                <w:sz w:val="20"/>
                <w:szCs w:val="20"/>
                <w:color w:val="auto"/>
              </w:rPr>
            </w:pPr>
            <w:r>
              <w:rPr>
                <w:rFonts w:ascii="Arial" w:cs="Arial" w:eastAsia="Arial" w:hAnsi="Arial"/>
                <w:sz w:val="11"/>
                <w:szCs w:val="11"/>
                <w:color w:val="auto"/>
                <w:w w:val="95"/>
              </w:rPr>
              <w:t>(1,167,866)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(1,158,421)</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-0.8%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-9.3%</w:t>
            </w:r>
          </w:p>
        </w:tc>
        <w:tc>
          <w:tcPr>
            <w:tcW w:w="780" w:type="dxa"/>
            <w:vAlign w:val="bottom"/>
          </w:tcPr>
          <w:p>
            <w:pPr>
              <w:jc w:val="center"/>
              <w:spacing w:after="0"/>
              <w:rPr>
                <w:sz w:val="20"/>
                <w:szCs w:val="20"/>
                <w:color w:val="auto"/>
              </w:rPr>
            </w:pPr>
            <w:r>
              <w:rPr>
                <w:rFonts w:ascii="Arial" w:cs="Arial" w:eastAsia="Arial" w:hAnsi="Arial"/>
                <w:sz w:val="11"/>
                <w:szCs w:val="11"/>
                <w:color w:val="auto"/>
                <w:w w:val="99"/>
              </w:rPr>
              <w:t>(3,996,530)</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(3,513,443)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-12.1%</w:t>
            </w:r>
          </w:p>
        </w:tc>
      </w:tr>
      <w:tr>
        <w:trPr>
          <w:trHeight w:val="132"/>
        </w:trPr>
        <w:tc>
          <w:tcPr>
            <w:tcW w:w="37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Net Insurance Financial Expenses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(128,578)</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(139,055)</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(141,443)</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1.7%</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10.0%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(375,268)</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(416,120)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10.9%</w:t>
            </w:r>
          </w:p>
        </w:tc>
      </w:tr>
      <w:tr>
        <w:trPr>
          <w:trHeight w:val="140"/>
        </w:trPr>
        <w:tc>
          <w:tcPr>
            <w:tcW w:w="3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Net Interest, similar income and expenses</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7"/>
              </w:rPr>
              <w:t>3,590,750</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7"/>
              </w:rPr>
              <w:t>3,615,371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3,687,829</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5"/>
              </w:rPr>
              <w:t>2.0%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2.7%</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8"/>
              </w:rPr>
              <w:t>10,485,337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10,875,212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3.7%</w:t>
            </w:r>
          </w:p>
        </w:tc>
      </w:tr>
      <w:tr>
        <w:trPr>
          <w:trHeight w:val="116"/>
        </w:trPr>
        <w:tc>
          <w:tcPr>
            <w:tcW w:w="3780" w:type="dxa"/>
            <w:vAlign w:val="bottom"/>
            <w:tcBorders>
              <w:left w:val="single" w:sz="8" w:color="auto"/>
              <w:bottom w:val="single" w:sz="8" w:color="auto"/>
              <w:right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r>
      <w:tr>
        <w:trPr>
          <w:trHeight w:val="124"/>
        </w:trPr>
        <w:tc>
          <w:tcPr>
            <w:tcW w:w="37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Balances</w:t>
            </w: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r>
      <w:tr>
        <w:trPr>
          <w:trHeight w:val="132"/>
        </w:trPr>
        <w:tc>
          <w:tcPr>
            <w:tcW w:w="3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Average Interest Earning Assets (IEA)</w:t>
            </w:r>
          </w:p>
        </w:tc>
        <w:tc>
          <w:tcPr>
            <w:tcW w:w="840" w:type="dxa"/>
            <w:vAlign w:val="bottom"/>
          </w:tcPr>
          <w:p>
            <w:pPr>
              <w:jc w:val="center"/>
              <w:spacing w:after="0"/>
              <w:rPr>
                <w:sz w:val="20"/>
                <w:szCs w:val="20"/>
                <w:color w:val="auto"/>
              </w:rPr>
            </w:pPr>
            <w:r>
              <w:rPr>
                <w:rFonts w:ascii="Arial" w:cs="Arial" w:eastAsia="Arial" w:hAnsi="Arial"/>
                <w:sz w:val="11"/>
                <w:szCs w:val="11"/>
                <w:color w:val="auto"/>
                <w:w w:val="98"/>
              </w:rPr>
              <w:t>231,316,507</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233,761,957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233,285,291</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-0.2%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0.9%</w:t>
            </w:r>
          </w:p>
        </w:tc>
        <w:tc>
          <w:tcPr>
            <w:tcW w:w="780" w:type="dxa"/>
            <w:vAlign w:val="bottom"/>
          </w:tcPr>
          <w:p>
            <w:pPr>
              <w:jc w:val="center"/>
              <w:spacing w:after="0"/>
              <w:rPr>
                <w:sz w:val="20"/>
                <w:szCs w:val="20"/>
                <w:color w:val="auto"/>
              </w:rPr>
            </w:pPr>
            <w:r>
              <w:rPr>
                <w:rFonts w:ascii="Arial" w:cs="Arial" w:eastAsia="Arial" w:hAnsi="Arial"/>
                <w:sz w:val="11"/>
                <w:szCs w:val="11"/>
                <w:color w:val="auto"/>
                <w:w w:val="98"/>
              </w:rPr>
              <w:t>229,452,866</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237,958,451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3.7%</w:t>
            </w:r>
          </w:p>
        </w:tc>
      </w:tr>
      <w:tr>
        <w:trPr>
          <w:trHeight w:val="142"/>
        </w:trPr>
        <w:tc>
          <w:tcPr>
            <w:tcW w:w="3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Average Funding</w:t>
            </w:r>
          </w:p>
        </w:tc>
        <w:tc>
          <w:tcPr>
            <w:tcW w:w="840" w:type="dxa"/>
            <w:vAlign w:val="bottom"/>
          </w:tcPr>
          <w:p>
            <w:pPr>
              <w:jc w:val="center"/>
              <w:spacing w:after="0"/>
              <w:rPr>
                <w:sz w:val="20"/>
                <w:szCs w:val="20"/>
                <w:color w:val="auto"/>
              </w:rPr>
            </w:pPr>
            <w:r>
              <w:rPr>
                <w:rFonts w:ascii="Arial" w:cs="Arial" w:eastAsia="Arial" w:hAnsi="Arial"/>
                <w:sz w:val="11"/>
                <w:szCs w:val="11"/>
                <w:color w:val="auto"/>
                <w:w w:val="98"/>
              </w:rPr>
              <w:t>190,855,164</w:t>
            </w: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191,161,476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190,658,187</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-0.3%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-0.1%</w:t>
            </w:r>
          </w:p>
        </w:tc>
        <w:tc>
          <w:tcPr>
            <w:tcW w:w="780" w:type="dxa"/>
            <w:vAlign w:val="bottom"/>
          </w:tcPr>
          <w:p>
            <w:pPr>
              <w:jc w:val="center"/>
              <w:spacing w:after="0"/>
              <w:rPr>
                <w:sz w:val="20"/>
                <w:szCs w:val="20"/>
                <w:color w:val="auto"/>
              </w:rPr>
            </w:pPr>
            <w:r>
              <w:rPr>
                <w:rFonts w:ascii="Arial" w:cs="Arial" w:eastAsia="Arial" w:hAnsi="Arial"/>
                <w:sz w:val="11"/>
                <w:szCs w:val="11"/>
                <w:color w:val="auto"/>
                <w:w w:val="98"/>
              </w:rPr>
              <w:t>188,110,844</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195,494,018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3.9%</w:t>
            </w:r>
          </w:p>
        </w:tc>
      </w:tr>
      <w:tr>
        <w:trPr>
          <w:trHeight w:val="254"/>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Yields</w:t>
            </w:r>
          </w:p>
        </w:tc>
        <w:tc>
          <w:tcPr>
            <w:tcW w:w="8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r>
      <w:tr>
        <w:trPr>
          <w:trHeight w:val="120"/>
        </w:trPr>
        <w:tc>
          <w:tcPr>
            <w:tcW w:w="3780" w:type="dxa"/>
            <w:vAlign w:val="bottom"/>
            <w:tcBorders>
              <w:left w:val="single" w:sz="8" w:color="auto"/>
              <w:right w:val="single" w:sz="8" w:color="auto"/>
            </w:tcBorders>
          </w:tcPr>
          <w:p>
            <w:pPr>
              <w:ind w:left="160"/>
              <w:spacing w:after="0" w:line="120" w:lineRule="exact"/>
              <w:rPr>
                <w:sz w:val="20"/>
                <w:szCs w:val="20"/>
                <w:color w:val="auto"/>
              </w:rPr>
            </w:pPr>
            <w:r>
              <w:rPr>
                <w:rFonts w:ascii="Arial" w:cs="Arial" w:eastAsia="Arial" w:hAnsi="Arial"/>
                <w:sz w:val="11"/>
                <w:szCs w:val="11"/>
                <w:color w:val="auto"/>
              </w:rPr>
              <w:t>Yield on IEAs</w:t>
            </w:r>
          </w:p>
        </w:tc>
        <w:tc>
          <w:tcPr>
            <w:tcW w:w="840" w:type="dxa"/>
            <w:vAlign w:val="bottom"/>
          </w:tcPr>
          <w:p>
            <w:pPr>
              <w:jc w:val="center"/>
              <w:spacing w:after="0" w:line="120" w:lineRule="exact"/>
              <w:rPr>
                <w:sz w:val="20"/>
                <w:szCs w:val="20"/>
                <w:color w:val="auto"/>
              </w:rPr>
            </w:pPr>
            <w:r>
              <w:rPr>
                <w:rFonts w:ascii="Arial" w:cs="Arial" w:eastAsia="Arial" w:hAnsi="Arial"/>
                <w:sz w:val="11"/>
                <w:szCs w:val="11"/>
                <w:color w:val="auto"/>
                <w:w w:val="96"/>
              </w:rPr>
              <w:t>8.64%</w:t>
            </w:r>
          </w:p>
        </w:tc>
        <w:tc>
          <w:tcPr>
            <w:tcW w:w="860" w:type="dxa"/>
            <w:vAlign w:val="bottom"/>
          </w:tcPr>
          <w:p>
            <w:pPr>
              <w:jc w:val="center"/>
              <w:spacing w:after="0" w:line="120" w:lineRule="exact"/>
              <w:rPr>
                <w:sz w:val="20"/>
                <w:szCs w:val="20"/>
                <w:color w:val="auto"/>
              </w:rPr>
            </w:pPr>
            <w:r>
              <w:rPr>
                <w:rFonts w:ascii="Arial" w:cs="Arial" w:eastAsia="Arial" w:hAnsi="Arial"/>
                <w:sz w:val="11"/>
                <w:szCs w:val="11"/>
                <w:color w:val="auto"/>
                <w:w w:val="96"/>
              </w:rPr>
              <w:t>8.42%</w:t>
            </w:r>
          </w:p>
        </w:tc>
        <w:tc>
          <w:tcPr>
            <w:tcW w:w="88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6"/>
              </w:rPr>
              <w:t>8.55%</w:t>
            </w:r>
          </w:p>
        </w:tc>
        <w:tc>
          <w:tcPr>
            <w:tcW w:w="780" w:type="dxa"/>
            <w:vAlign w:val="bottom"/>
          </w:tcPr>
          <w:p>
            <w:pPr>
              <w:jc w:val="center"/>
              <w:spacing w:after="0" w:line="120" w:lineRule="exact"/>
              <w:rPr>
                <w:sz w:val="20"/>
                <w:szCs w:val="20"/>
                <w:color w:val="auto"/>
              </w:rPr>
            </w:pPr>
            <w:r>
              <w:rPr>
                <w:rFonts w:ascii="Arial" w:cs="Arial" w:eastAsia="Arial" w:hAnsi="Arial"/>
                <w:sz w:val="11"/>
                <w:szCs w:val="11"/>
                <w:color w:val="auto"/>
              </w:rPr>
              <w:t>13 bps</w:t>
            </w:r>
          </w:p>
        </w:tc>
        <w:tc>
          <w:tcPr>
            <w:tcW w:w="8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7"/>
              </w:rPr>
              <w:t>-9 bps</w:t>
            </w:r>
          </w:p>
        </w:tc>
        <w:tc>
          <w:tcPr>
            <w:tcW w:w="780" w:type="dxa"/>
            <w:vAlign w:val="bottom"/>
          </w:tcPr>
          <w:p>
            <w:pPr>
              <w:jc w:val="center"/>
              <w:spacing w:after="0" w:line="120" w:lineRule="exact"/>
              <w:rPr>
                <w:sz w:val="20"/>
                <w:szCs w:val="20"/>
                <w:color w:val="auto"/>
              </w:rPr>
            </w:pPr>
            <w:r>
              <w:rPr>
                <w:rFonts w:ascii="Arial" w:cs="Arial" w:eastAsia="Arial" w:hAnsi="Arial"/>
                <w:sz w:val="11"/>
                <w:szCs w:val="11"/>
                <w:color w:val="auto"/>
              </w:rPr>
              <w:t>8.63%</w:t>
            </w:r>
          </w:p>
        </w:tc>
        <w:tc>
          <w:tcPr>
            <w:tcW w:w="84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6"/>
              </w:rPr>
              <w:t>8.30%</w:t>
            </w:r>
          </w:p>
        </w:tc>
        <w:tc>
          <w:tcPr>
            <w:tcW w:w="9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7"/>
              </w:rPr>
              <w:t>-33 bps</w:t>
            </w:r>
          </w:p>
        </w:tc>
      </w:tr>
      <w:tr>
        <w:trPr>
          <w:trHeight w:val="132"/>
        </w:trPr>
        <w:tc>
          <w:tcPr>
            <w:tcW w:w="3780" w:type="dxa"/>
            <w:vAlign w:val="bottom"/>
            <w:tcBorders>
              <w:left w:val="single" w:sz="8" w:color="auto"/>
              <w:right w:val="single" w:sz="8" w:color="auto"/>
            </w:tcBorders>
          </w:tcPr>
          <w:p>
            <w:pPr>
              <w:ind w:left="160"/>
              <w:spacing w:after="0" w:line="132" w:lineRule="exact"/>
              <w:rPr>
                <w:sz w:val="20"/>
                <w:szCs w:val="20"/>
                <w:color w:val="auto"/>
              </w:rPr>
            </w:pPr>
            <w:r>
              <w:rPr>
                <w:rFonts w:ascii="Arial" w:cs="Arial" w:eastAsia="Arial" w:hAnsi="Arial"/>
                <w:sz w:val="10"/>
                <w:szCs w:val="10"/>
                <w:color w:val="auto"/>
              </w:rPr>
              <w:t xml:space="preserve">Cost of Funds </w:t>
            </w:r>
            <w:r>
              <w:rPr>
                <w:rFonts w:ascii="Arial" w:cs="Arial" w:eastAsia="Arial" w:hAnsi="Arial"/>
                <w:sz w:val="15"/>
                <w:szCs w:val="15"/>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1"/>
                <w:szCs w:val="11"/>
                <w:color w:val="auto"/>
                <w:w w:val="96"/>
              </w:rPr>
              <w:t>2.68%</w:t>
            </w:r>
          </w:p>
        </w:tc>
        <w:tc>
          <w:tcPr>
            <w:tcW w:w="860" w:type="dxa"/>
            <w:vAlign w:val="bottom"/>
          </w:tcPr>
          <w:p>
            <w:pPr>
              <w:jc w:val="center"/>
              <w:spacing w:after="0"/>
              <w:rPr>
                <w:sz w:val="20"/>
                <w:szCs w:val="20"/>
                <w:color w:val="auto"/>
              </w:rPr>
            </w:pPr>
            <w:r>
              <w:rPr>
                <w:rFonts w:ascii="Arial" w:cs="Arial" w:eastAsia="Arial" w:hAnsi="Arial"/>
                <w:sz w:val="11"/>
                <w:szCs w:val="11"/>
                <w:color w:val="auto"/>
                <w:w w:val="96"/>
              </w:rPr>
              <w:t>2.44%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2.43%</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-1 bps</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-25 bps</w:t>
            </w:r>
          </w:p>
        </w:tc>
        <w:tc>
          <w:tcPr>
            <w:tcW w:w="780" w:type="dxa"/>
            <w:vAlign w:val="bottom"/>
          </w:tcPr>
          <w:p>
            <w:pPr>
              <w:jc w:val="center"/>
              <w:spacing w:after="0"/>
              <w:rPr>
                <w:sz w:val="20"/>
                <w:szCs w:val="20"/>
                <w:color w:val="auto"/>
              </w:rPr>
            </w:pPr>
            <w:r>
              <w:rPr>
                <w:rFonts w:ascii="Arial" w:cs="Arial" w:eastAsia="Arial" w:hAnsi="Arial"/>
                <w:sz w:val="11"/>
                <w:szCs w:val="11"/>
                <w:color w:val="auto"/>
              </w:rPr>
              <w:t>2.83%</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2.40%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-43 bps</w:t>
            </w:r>
          </w:p>
        </w:tc>
      </w:tr>
      <w:tr>
        <w:trPr>
          <w:trHeight w:val="132"/>
        </w:trPr>
        <w:tc>
          <w:tcPr>
            <w:tcW w:w="3780" w:type="dxa"/>
            <w:vAlign w:val="bottom"/>
            <w:tcBorders>
              <w:left w:val="single" w:sz="8" w:color="auto"/>
              <w:right w:val="single" w:sz="8" w:color="auto"/>
            </w:tcBorders>
          </w:tcPr>
          <w:p>
            <w:pPr>
              <w:ind w:left="160"/>
              <w:spacing w:after="0" w:line="132" w:lineRule="exact"/>
              <w:rPr>
                <w:sz w:val="20"/>
                <w:szCs w:val="20"/>
                <w:color w:val="auto"/>
              </w:rPr>
            </w:pPr>
            <w:r>
              <w:rPr>
                <w:rFonts w:ascii="Arial" w:cs="Arial" w:eastAsia="Arial" w:hAnsi="Arial"/>
                <w:sz w:val="10"/>
                <w:szCs w:val="10"/>
                <w:b w:val="1"/>
                <w:bCs w:val="1"/>
                <w:color w:val="auto"/>
              </w:rPr>
              <w:t>Net Interest Margin (NIM)</w:t>
            </w:r>
            <w:r>
              <w:rPr>
                <w:rFonts w:ascii="Arial" w:cs="Arial" w:eastAsia="Arial" w:hAnsi="Arial"/>
                <w:sz w:val="15"/>
                <w:szCs w:val="15"/>
                <w:b w:val="1"/>
                <w:bCs w:val="1"/>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6"/>
              </w:rPr>
              <w:t>6.43%</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6"/>
              </w:rPr>
              <w:t>6.42%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6.57%</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15 bps</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14 bps</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6.31%</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6.33%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 bps</w:t>
            </w:r>
          </w:p>
        </w:tc>
      </w:tr>
      <w:tr>
        <w:trPr>
          <w:trHeight w:val="144"/>
        </w:trPr>
        <w:tc>
          <w:tcPr>
            <w:tcW w:w="3780" w:type="dxa"/>
            <w:vAlign w:val="bottom"/>
            <w:tcBorders>
              <w:left w:val="single" w:sz="8" w:color="auto"/>
              <w:bottom w:val="single" w:sz="8" w:color="auto"/>
              <w:right w:val="single" w:sz="8" w:color="auto"/>
            </w:tcBorders>
          </w:tcPr>
          <w:p>
            <w:pPr>
              <w:ind w:left="160"/>
              <w:spacing w:after="0" w:line="144" w:lineRule="exact"/>
              <w:rPr>
                <w:sz w:val="20"/>
                <w:szCs w:val="20"/>
                <w:color w:val="auto"/>
              </w:rPr>
            </w:pPr>
            <w:r>
              <w:rPr>
                <w:rFonts w:ascii="Arial" w:cs="Arial" w:eastAsia="Arial" w:hAnsi="Arial"/>
                <w:sz w:val="11"/>
                <w:szCs w:val="11"/>
                <w:b w:val="1"/>
                <w:bCs w:val="1"/>
                <w:color w:val="auto"/>
              </w:rPr>
              <w:t>Risk-Adjusted Net Interest Margin</w:t>
            </w:r>
            <w:r>
              <w:rPr>
                <w:rFonts w:ascii="Arial" w:cs="Arial" w:eastAsia="Arial" w:hAnsi="Arial"/>
                <w:sz w:val="16"/>
                <w:szCs w:val="16"/>
                <w:b w:val="1"/>
                <w:bCs w:val="1"/>
                <w:color w:val="auto"/>
                <w:vertAlign w:val="superscript"/>
              </w:rPr>
              <w:t>(1)</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4.93%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5.44%</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5.53%</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9 bps</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60 bps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4.70%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5.34%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64 bps</w:t>
            </w:r>
          </w:p>
        </w:tc>
      </w:tr>
      <w:tr>
        <w:trPr>
          <w:trHeight w:val="124"/>
        </w:trPr>
        <w:tc>
          <w:tcPr>
            <w:tcW w:w="37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b w:val="1"/>
                <w:bCs w:val="1"/>
                <w:color w:val="auto"/>
              </w:rPr>
              <w:t>Peru's Reference Rate</w:t>
            </w:r>
          </w:p>
        </w:tc>
        <w:tc>
          <w:tcPr>
            <w:tcW w:w="8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6"/>
              </w:rPr>
              <w:t>5.25%</w:t>
            </w:r>
          </w:p>
        </w:tc>
        <w:tc>
          <w:tcPr>
            <w:tcW w:w="8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6"/>
              </w:rPr>
              <w:t>4.50%</w:t>
            </w:r>
          </w:p>
        </w:tc>
        <w:tc>
          <w:tcPr>
            <w:tcW w:w="8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6"/>
              </w:rPr>
              <w:t>4.25%</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-25 bps</w:t>
            </w:r>
          </w:p>
        </w:tc>
        <w:tc>
          <w:tcPr>
            <w:tcW w:w="8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-100 bps</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5.25%</w:t>
            </w:r>
          </w:p>
        </w:tc>
        <w:tc>
          <w:tcPr>
            <w:tcW w:w="8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6"/>
              </w:rPr>
              <w:t>4.25%</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-100 bps</w:t>
            </w:r>
          </w:p>
        </w:tc>
      </w:tr>
      <w:tr>
        <w:trPr>
          <w:trHeight w:val="132"/>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FED funds rate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5.00%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4.50%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4.25%</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-25 bps</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-75 bps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5.00%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4.25%</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-75 bps</w:t>
            </w:r>
          </w:p>
        </w:tc>
      </w:tr>
    </w:tbl>
    <w:p>
      <w:pPr>
        <w:spacing w:after="0"/>
        <w:rPr>
          <w:sz w:val="20"/>
          <w:szCs w:val="20"/>
          <w:color w:val="auto"/>
        </w:rPr>
      </w:pPr>
      <w:r>
        <w:rPr>
          <w:rFonts w:ascii="Arial" w:cs="Arial" w:eastAsia="Arial" w:hAnsi="Arial"/>
          <w:sz w:val="11"/>
          <w:szCs w:val="11"/>
          <w:color w:val="auto"/>
        </w:rPr>
        <w:t>(1) For further detail on the NIM and Cost of Funds calculation, please refer to Annex 12.8</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QoQ</w:t>
      </w:r>
      <w:r>
        <w:rPr>
          <w:rFonts w:ascii="Arial" w:cs="Arial" w:eastAsia="Arial" w:hAnsi="Arial"/>
          <w:sz w:val="14"/>
          <w:szCs w:val="14"/>
          <w:color w:val="auto"/>
        </w:rPr>
        <w:t>, Net Interest Income (NII) rose 2.0%. This evolution was primarily driven by growth in Interest and Similar Income, which rose due to an expansion</w:t>
      </w:r>
      <w:r>
        <w:rPr>
          <w:rFonts w:ascii="Arial" w:cs="Arial" w:eastAsia="Arial" w:hAnsi="Arial"/>
          <w:sz w:val="14"/>
          <w:szCs w:val="14"/>
          <w:b w:val="1"/>
          <w:bCs w:val="1"/>
          <w:color w:val="auto"/>
        </w:rPr>
        <w:t xml:space="preserve"> </w:t>
      </w:r>
      <w:r>
        <w:rPr>
          <w:rFonts w:ascii="Arial" w:cs="Arial" w:eastAsia="Arial" w:hAnsi="Arial"/>
          <w:sz w:val="14"/>
          <w:szCs w:val="14"/>
          <w:color w:val="auto"/>
        </w:rPr>
        <w:t>in loans, leading the IEA mix to shift toward higher-yielding assets. The decrease in Interest and Similar Expenses also contributed to the increase in NII, although to a lesser extent, primarily due to lower Interest on bonds and subordinated notes, which fell on the back of BCP debt maturities.</w:t>
      </w:r>
    </w:p>
    <w:p>
      <w:pPr>
        <w:spacing w:after="0" w:line="11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NII increased 2.7%, impacted by a decrease in Interest and Similar Expenses, which fell on the back of a drop in Interest on deposits in the context</w:t>
      </w:r>
      <w:r>
        <w:rPr>
          <w:rFonts w:ascii="Arial" w:cs="Arial" w:eastAsia="Arial" w:hAnsi="Arial"/>
          <w:sz w:val="16"/>
          <w:szCs w:val="16"/>
          <w:b w:val="1"/>
          <w:bCs w:val="1"/>
          <w:color w:val="auto"/>
        </w:rPr>
        <w:t xml:space="preserve"> </w:t>
      </w:r>
      <w:r>
        <w:rPr>
          <w:rFonts w:ascii="Arial" w:cs="Arial" w:eastAsia="Arial" w:hAnsi="Arial"/>
          <w:sz w:val="16"/>
          <w:szCs w:val="16"/>
          <w:color w:val="auto"/>
        </w:rPr>
        <w:t>of declining rates. The lower interest rate environment complements our competitive advantage in low-cost deposits. Interest and Similar Income was affected by a drop in Interest on deposits in other banks and, to a lesser extent, in Interest on securities; both of these lines were impacted by renewals with lower interest rates. It is important to note that an increase in Interest on loans partially offset the drop in Interest and Similar Income, buoyed by an increase in the share of retails loans and microfinance loans in the loan mix.</w:t>
      </w:r>
    </w:p>
    <w:p>
      <w:pPr>
        <w:spacing w:after="0" w:line="129"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b w:val="1"/>
          <w:bCs w:val="1"/>
          <w:color w:val="auto"/>
        </w:rPr>
        <w:t xml:space="preserve">YTD, </w:t>
      </w:r>
      <w:r>
        <w:rPr>
          <w:rFonts w:ascii="Arial" w:cs="Arial" w:eastAsia="Arial" w:hAnsi="Arial"/>
          <w:sz w:val="16"/>
          <w:szCs w:val="16"/>
          <w:color w:val="auto"/>
        </w:rPr>
        <w:t>NII rose 3.7% on the back of a drop in Interest and Similar Expenses. This reduction was driven mainly by a decrease in Interest on deposits,</w:t>
      </w:r>
      <w:r>
        <w:rPr>
          <w:rFonts w:ascii="Arial" w:cs="Arial" w:eastAsia="Arial" w:hAnsi="Arial"/>
          <w:sz w:val="16"/>
          <w:szCs w:val="16"/>
          <w:b w:val="1"/>
          <w:bCs w:val="1"/>
          <w:color w:val="auto"/>
        </w:rPr>
        <w:t xml:space="preserve"> </w:t>
      </w:r>
      <w:r>
        <w:rPr>
          <w:rFonts w:ascii="Arial" w:cs="Arial" w:eastAsia="Arial" w:hAnsi="Arial"/>
          <w:sz w:val="16"/>
          <w:szCs w:val="16"/>
          <w:color w:val="auto"/>
        </w:rPr>
        <w:t>which was fueled by the same factors seen YoY. Interest and Similar Income contracted, impacted by a negative price effect, which led Interest on loans and securities to fall.</w:t>
      </w:r>
    </w:p>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1 Since the implementation of IFRS 9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735330</wp:posOffset>
            </wp:positionV>
            <wp:extent cx="670750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117475</wp:posOffset>
            </wp:positionV>
            <wp:extent cx="5991225" cy="5257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91225" cy="525780"/>
                    </a:xfrm>
                    <a:prstGeom prst="rect">
                      <a:avLst/>
                    </a:prstGeom>
                    <a:noFill/>
                  </pic:spPr>
                </pic:pic>
              </a:graphicData>
            </a:graphic>
          </wp:anchor>
        </w:drawing>
      </w:r>
    </w:p>
    <w:p>
      <w:pPr>
        <w:sectPr>
          <w:pgSz w:w="11900" w:h="16840" w:orient="portrait"/>
          <w:cols w:equalWidth="0" w:num="1">
            <w:col w:w="10580"/>
          </w:cols>
          <w:pgMar w:left="660" w:top="929" w:right="660" w:bottom="1440" w:gutter="0" w:footer="0" w:header="0"/>
        </w:sectPr>
      </w:pPr>
    </w:p>
    <w:bookmarkStart w:id="27" w:name="page28"/>
    <w:bookmarkEnd w:id="27"/>
    <w:p>
      <w:pPr>
        <w:ind w:left="256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92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07505" cy="79248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04. Net Interest income (NII)</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-107950</wp:posOffset>
            </wp:positionV>
            <wp:extent cx="3056255" cy="1814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56255" cy="1814195"/>
                    </a:xfrm>
                    <a:prstGeom prst="rect">
                      <a:avLst/>
                    </a:prstGeom>
                    <a:noFill/>
                  </pic:spPr>
                </pic:pic>
              </a:graphicData>
            </a:graphic>
          </wp:anchor>
        </w:drawing>
      </w:r>
    </w:p>
    <w:p>
      <w:pPr>
        <w:spacing w:after="0" w:line="132" w:lineRule="exact"/>
        <w:rPr>
          <w:sz w:val="20"/>
          <w:szCs w:val="20"/>
          <w:color w:val="auto"/>
        </w:rPr>
      </w:pPr>
    </w:p>
    <w:p>
      <w:pPr>
        <w:jc w:val="both"/>
        <w:ind w:right="5520"/>
        <w:spacing w:after="0" w:line="239" w:lineRule="auto"/>
        <w:rPr>
          <w:sz w:val="20"/>
          <w:szCs w:val="20"/>
          <w:color w:val="auto"/>
        </w:rPr>
      </w:pPr>
      <w:r>
        <w:rPr>
          <w:rFonts w:ascii="Arial" w:cs="Arial" w:eastAsia="Arial" w:hAnsi="Arial"/>
          <w:sz w:val="16"/>
          <w:szCs w:val="16"/>
          <w:b w:val="1"/>
          <w:bCs w:val="1"/>
          <w:color w:val="auto"/>
        </w:rPr>
        <w:t xml:space="preserve">NIM </w:t>
      </w:r>
      <w:r>
        <w:rPr>
          <w:rFonts w:ascii="Arial" w:cs="Arial" w:eastAsia="Arial" w:hAnsi="Arial"/>
          <w:sz w:val="16"/>
          <w:szCs w:val="16"/>
          <w:color w:val="auto"/>
        </w:rPr>
        <w:t>rose 14 bps YoY to stand at 6.57%. This expansion reflected a 25</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bps drop in the cost of funding in a context marked by declining rates. The IEA yield decreased 9 bps YoY, impacted by renewals of IEA at lower interest rates. Notwithstanding, the increase in the retail loans’ share of the mix helped buffer downward pressure on the margin. </w:t>
      </w:r>
      <w:r>
        <w:rPr>
          <w:rFonts w:ascii="Arial" w:cs="Arial" w:eastAsia="Arial" w:hAnsi="Arial"/>
          <w:sz w:val="16"/>
          <w:szCs w:val="16"/>
          <w:b w:val="1"/>
          <w:bCs w:val="1"/>
          <w:color w:val="auto"/>
        </w:rPr>
        <w:t xml:space="preserve">Risk-adjusted NIM </w:t>
      </w:r>
      <w:r>
        <w:rPr>
          <w:rFonts w:ascii="Arial" w:cs="Arial" w:eastAsia="Arial" w:hAnsi="Arial"/>
          <w:sz w:val="16"/>
          <w:szCs w:val="16"/>
          <w:color w:val="auto"/>
        </w:rPr>
        <w:t>rose 60 bps YoY to stand at a record high of 5.53%. This</w:t>
      </w:r>
      <w:r>
        <w:rPr>
          <w:rFonts w:ascii="Arial" w:cs="Arial" w:eastAsia="Arial" w:hAnsi="Arial"/>
          <w:sz w:val="16"/>
          <w:szCs w:val="16"/>
          <w:b w:val="1"/>
          <w:bCs w:val="1"/>
          <w:color w:val="auto"/>
        </w:rPr>
        <w:t xml:space="preserve"> </w:t>
      </w:r>
      <w:r>
        <w:rPr>
          <w:rFonts w:ascii="Arial" w:cs="Arial" w:eastAsia="Arial" w:hAnsi="Arial"/>
          <w:sz w:val="16"/>
          <w:szCs w:val="16"/>
          <w:color w:val="auto"/>
        </w:rPr>
        <w:t>evolution underscores the strategic importance of expanding into new market segments as a driver of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Dynamics of the Net Interest Margin by Currency</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20"/>
        </w:trPr>
        <w:tc>
          <w:tcPr>
            <w:tcW w:w="160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8"/>
                <w:szCs w:val="8"/>
                <w:b w:val="1"/>
                <w:bCs w:val="1"/>
                <w:color w:val="FFFFFF"/>
              </w:rPr>
              <w:t>Interest Income / IEA</w:t>
            </w:r>
          </w:p>
        </w:tc>
        <w:tc>
          <w:tcPr>
            <w:tcW w:w="580" w:type="dxa"/>
            <w:vAlign w:val="bottom"/>
            <w:tcBorders>
              <w:top w:val="single" w:sz="8" w:color="auto"/>
            </w:tcBorders>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Average</w:t>
            </w:r>
          </w:p>
        </w:tc>
        <w:tc>
          <w:tcPr>
            <w:tcW w:w="620" w:type="dxa"/>
            <w:vAlign w:val="bottom"/>
            <w:tcBorders>
              <w:top w:val="single" w:sz="8" w:color="auto"/>
            </w:tcBorders>
            <w:shd w:val="clear" w:color="auto" w:fill="33CCCC"/>
          </w:tcPr>
          <w:p>
            <w:pPr>
              <w:ind w:left="180"/>
              <w:spacing w:after="0"/>
              <w:rPr>
                <w:sz w:val="20"/>
                <w:szCs w:val="20"/>
                <w:color w:val="auto"/>
              </w:rPr>
            </w:pPr>
            <w:r>
              <w:rPr>
                <w:rFonts w:ascii="Arial" w:cs="Arial" w:eastAsia="Arial" w:hAnsi="Arial"/>
                <w:sz w:val="8"/>
                <w:szCs w:val="8"/>
                <w:b w:val="1"/>
                <w:bCs w:val="1"/>
                <w:color w:val="FFFFFF"/>
              </w:rPr>
              <w:t>3Q24</w:t>
            </w:r>
          </w:p>
        </w:tc>
        <w:tc>
          <w:tcPr>
            <w:tcW w:w="560" w:type="dxa"/>
            <w:vAlign w:val="bottom"/>
            <w:tcBorders>
              <w:top w:val="single" w:sz="8" w:color="auto"/>
              <w:right w:val="single" w:sz="8" w:color="auto"/>
            </w:tcBorders>
            <w:shd w:val="clear" w:color="auto" w:fill="33CCCC"/>
          </w:tcPr>
          <w:p>
            <w:pPr>
              <w:spacing w:after="0"/>
              <w:rPr>
                <w:sz w:val="10"/>
                <w:szCs w:val="10"/>
                <w:color w:val="auto"/>
              </w:rPr>
            </w:pPr>
          </w:p>
        </w:tc>
        <w:tc>
          <w:tcPr>
            <w:tcW w:w="600" w:type="dxa"/>
            <w:vAlign w:val="bottom"/>
            <w:tcBorders>
              <w:top w:val="single" w:sz="8" w:color="auto"/>
            </w:tcBorders>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Average</w:t>
            </w:r>
          </w:p>
        </w:tc>
        <w:tc>
          <w:tcPr>
            <w:tcW w:w="620" w:type="dxa"/>
            <w:vAlign w:val="bottom"/>
            <w:tcBorders>
              <w:top w:val="single" w:sz="8" w:color="auto"/>
            </w:tcBorders>
            <w:shd w:val="clear" w:color="auto" w:fill="33CCCC"/>
          </w:tcPr>
          <w:p>
            <w:pPr>
              <w:ind w:left="160"/>
              <w:spacing w:after="0"/>
              <w:rPr>
                <w:sz w:val="20"/>
                <w:szCs w:val="20"/>
                <w:color w:val="auto"/>
              </w:rPr>
            </w:pPr>
            <w:r>
              <w:rPr>
                <w:rFonts w:ascii="Arial" w:cs="Arial" w:eastAsia="Arial" w:hAnsi="Arial"/>
                <w:sz w:val="8"/>
                <w:szCs w:val="8"/>
                <w:b w:val="1"/>
                <w:bCs w:val="1"/>
                <w:color w:val="FFFFFF"/>
              </w:rPr>
              <w:t>2Q25</w:t>
            </w:r>
          </w:p>
        </w:tc>
        <w:tc>
          <w:tcPr>
            <w:tcW w:w="540" w:type="dxa"/>
            <w:vAlign w:val="bottom"/>
            <w:tcBorders>
              <w:top w:val="single" w:sz="8" w:color="auto"/>
              <w:right w:val="single" w:sz="8" w:color="auto"/>
            </w:tcBorders>
            <w:shd w:val="clear" w:color="auto" w:fill="33CCCC"/>
          </w:tcPr>
          <w:p>
            <w:pPr>
              <w:spacing w:after="0"/>
              <w:rPr>
                <w:sz w:val="10"/>
                <w:szCs w:val="10"/>
                <w:color w:val="auto"/>
              </w:rPr>
            </w:pPr>
          </w:p>
        </w:tc>
        <w:tc>
          <w:tcPr>
            <w:tcW w:w="600" w:type="dxa"/>
            <w:vAlign w:val="bottom"/>
            <w:tcBorders>
              <w:top w:val="single" w:sz="8" w:color="auto"/>
            </w:tcBorders>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Average</w:t>
            </w:r>
          </w:p>
        </w:tc>
        <w:tc>
          <w:tcPr>
            <w:tcW w:w="620" w:type="dxa"/>
            <w:vAlign w:val="bottom"/>
            <w:tcBorders>
              <w:top w:val="single" w:sz="8" w:color="auto"/>
            </w:tcBorders>
            <w:shd w:val="clear" w:color="auto" w:fill="33CCCC"/>
          </w:tcPr>
          <w:p>
            <w:pPr>
              <w:ind w:left="180"/>
              <w:spacing w:after="0"/>
              <w:rPr>
                <w:sz w:val="20"/>
                <w:szCs w:val="20"/>
                <w:color w:val="auto"/>
              </w:rPr>
            </w:pPr>
            <w:r>
              <w:rPr>
                <w:rFonts w:ascii="Arial" w:cs="Arial" w:eastAsia="Arial" w:hAnsi="Arial"/>
                <w:sz w:val="8"/>
                <w:szCs w:val="8"/>
                <w:b w:val="1"/>
                <w:bCs w:val="1"/>
                <w:color w:val="FFFFFF"/>
              </w:rPr>
              <w:t>3Q25</w:t>
            </w:r>
          </w:p>
        </w:tc>
        <w:tc>
          <w:tcPr>
            <w:tcW w:w="560" w:type="dxa"/>
            <w:vAlign w:val="bottom"/>
            <w:tcBorders>
              <w:top w:val="single" w:sz="8" w:color="auto"/>
              <w:right w:val="single" w:sz="8" w:color="auto"/>
            </w:tcBorders>
            <w:shd w:val="clear" w:color="auto" w:fill="33CCCC"/>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80" w:type="dxa"/>
            <w:vAlign w:val="bottom"/>
            <w:tcBorders>
              <w:top w:val="single" w:sz="8" w:color="auto"/>
            </w:tcBorders>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Average</w:t>
            </w:r>
          </w:p>
        </w:tc>
        <w:tc>
          <w:tcPr>
            <w:tcW w:w="620" w:type="dxa"/>
            <w:vAlign w:val="bottom"/>
            <w:tcBorders>
              <w:top w:val="single" w:sz="8" w:color="auto"/>
            </w:tcBorders>
            <w:shd w:val="clear" w:color="auto" w:fill="33CCCC"/>
          </w:tcPr>
          <w:p>
            <w:pPr>
              <w:ind w:left="140"/>
              <w:spacing w:after="0"/>
              <w:rPr>
                <w:sz w:val="20"/>
                <w:szCs w:val="20"/>
                <w:color w:val="auto"/>
              </w:rPr>
            </w:pPr>
            <w:r>
              <w:rPr>
                <w:rFonts w:ascii="Arial" w:cs="Arial" w:eastAsia="Arial" w:hAnsi="Arial"/>
                <w:sz w:val="8"/>
                <w:szCs w:val="8"/>
                <w:b w:val="1"/>
                <w:bCs w:val="1"/>
                <w:color w:val="FFFFFF"/>
              </w:rPr>
              <w:t>Sep 24</w:t>
            </w:r>
          </w:p>
        </w:tc>
        <w:tc>
          <w:tcPr>
            <w:tcW w:w="560" w:type="dxa"/>
            <w:vAlign w:val="bottom"/>
            <w:tcBorders>
              <w:top w:val="single" w:sz="8" w:color="auto"/>
              <w:right w:val="single" w:sz="8" w:color="auto"/>
            </w:tcBorders>
            <w:shd w:val="clear" w:color="auto" w:fill="33CCCC"/>
          </w:tcPr>
          <w:p>
            <w:pPr>
              <w:spacing w:after="0"/>
              <w:rPr>
                <w:sz w:val="10"/>
                <w:szCs w:val="10"/>
                <w:color w:val="auto"/>
              </w:rPr>
            </w:pPr>
          </w:p>
        </w:tc>
        <w:tc>
          <w:tcPr>
            <w:tcW w:w="600" w:type="dxa"/>
            <w:vAlign w:val="bottom"/>
            <w:tcBorders>
              <w:top w:val="single" w:sz="8" w:color="auto"/>
            </w:tcBorders>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Average</w:t>
            </w:r>
          </w:p>
        </w:tc>
        <w:tc>
          <w:tcPr>
            <w:tcW w:w="620" w:type="dxa"/>
            <w:vAlign w:val="bottom"/>
            <w:tcBorders>
              <w:top w:val="single" w:sz="8" w:color="auto"/>
            </w:tcBorders>
            <w:shd w:val="clear" w:color="auto" w:fill="33CCCC"/>
          </w:tcPr>
          <w:p>
            <w:pPr>
              <w:ind w:left="160"/>
              <w:spacing w:after="0"/>
              <w:rPr>
                <w:sz w:val="20"/>
                <w:szCs w:val="20"/>
                <w:color w:val="auto"/>
              </w:rPr>
            </w:pPr>
            <w:r>
              <w:rPr>
                <w:rFonts w:ascii="Arial" w:cs="Arial" w:eastAsia="Arial" w:hAnsi="Arial"/>
                <w:sz w:val="8"/>
                <w:szCs w:val="8"/>
                <w:b w:val="1"/>
                <w:bCs w:val="1"/>
                <w:color w:val="FFFFFF"/>
              </w:rPr>
              <w:t>Sep 25</w:t>
            </w:r>
          </w:p>
        </w:tc>
        <w:tc>
          <w:tcPr>
            <w:tcW w:w="580" w:type="dxa"/>
            <w:vAlign w:val="bottom"/>
            <w:tcBorders>
              <w:top w:val="single" w:sz="8" w:color="auto"/>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vMerge w:val="restart"/>
            <w:shd w:val="clear" w:color="auto" w:fill="33CCCC"/>
          </w:tcPr>
          <w:p>
            <w:pPr>
              <w:ind w:left="20"/>
              <w:spacing w:after="0"/>
              <w:rPr>
                <w:sz w:val="20"/>
                <w:szCs w:val="20"/>
                <w:color w:val="auto"/>
              </w:rPr>
            </w:pPr>
            <w:r>
              <w:rPr>
                <w:rFonts w:ascii="Arial" w:cs="Arial" w:eastAsia="Arial" w:hAnsi="Arial"/>
                <w:sz w:val="8"/>
                <w:szCs w:val="8"/>
                <w:b w:val="1"/>
                <w:bCs w:val="1"/>
                <w:color w:val="FFFFFF"/>
              </w:rPr>
              <w:t>S/ millions</w:t>
            </w:r>
          </w:p>
        </w:tc>
        <w:tc>
          <w:tcPr>
            <w:tcW w:w="580" w:type="dxa"/>
            <w:vAlign w:val="bottom"/>
            <w:vMerge w:val="continue"/>
            <w:shd w:val="clear" w:color="auto" w:fill="33CCCC"/>
          </w:tcPr>
          <w:p>
            <w:pPr>
              <w:spacing w:after="0"/>
              <w:rPr>
                <w:sz w:val="9"/>
                <w:szCs w:val="9"/>
                <w:color w:val="auto"/>
              </w:rPr>
            </w:pPr>
          </w:p>
        </w:tc>
        <w:tc>
          <w:tcPr>
            <w:tcW w:w="62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w w:val="99"/>
              </w:rPr>
              <w:t>Income</w:t>
            </w:r>
          </w:p>
        </w:tc>
        <w:tc>
          <w:tcPr>
            <w:tcW w:w="560" w:type="dxa"/>
            <w:vAlign w:val="bottom"/>
            <w:tcBorders>
              <w:right w:val="single" w:sz="8" w:color="auto"/>
            </w:tcBorders>
            <w:vMerge w:val="restart"/>
            <w:shd w:val="clear" w:color="auto" w:fill="33CCCC"/>
          </w:tcPr>
          <w:p>
            <w:pPr>
              <w:ind w:left="140"/>
              <w:spacing w:after="0"/>
              <w:rPr>
                <w:sz w:val="20"/>
                <w:szCs w:val="20"/>
                <w:color w:val="auto"/>
              </w:rPr>
            </w:pPr>
            <w:r>
              <w:rPr>
                <w:rFonts w:ascii="Arial" w:cs="Arial" w:eastAsia="Arial" w:hAnsi="Arial"/>
                <w:sz w:val="8"/>
                <w:szCs w:val="8"/>
                <w:b w:val="1"/>
                <w:bCs w:val="1"/>
                <w:color w:val="FFFFFF"/>
              </w:rPr>
              <w:t>Yields</w:t>
            </w:r>
          </w:p>
        </w:tc>
        <w:tc>
          <w:tcPr>
            <w:tcW w:w="600" w:type="dxa"/>
            <w:vAlign w:val="bottom"/>
            <w:vMerge w:val="continue"/>
            <w:shd w:val="clear" w:color="auto" w:fill="33CCCC"/>
          </w:tcPr>
          <w:p>
            <w:pPr>
              <w:spacing w:after="0"/>
              <w:rPr>
                <w:sz w:val="9"/>
                <w:szCs w:val="9"/>
                <w:color w:val="auto"/>
              </w:rPr>
            </w:pPr>
          </w:p>
        </w:tc>
        <w:tc>
          <w:tcPr>
            <w:tcW w:w="62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Income</w:t>
            </w:r>
          </w:p>
        </w:tc>
        <w:tc>
          <w:tcPr>
            <w:tcW w:w="540" w:type="dxa"/>
            <w:vAlign w:val="bottom"/>
            <w:tcBorders>
              <w:right w:val="single" w:sz="8" w:color="auto"/>
            </w:tcBorders>
            <w:vMerge w:val="restart"/>
            <w:shd w:val="clear" w:color="auto" w:fill="33CCCC"/>
          </w:tcPr>
          <w:p>
            <w:pPr>
              <w:ind w:left="140"/>
              <w:spacing w:after="0"/>
              <w:rPr>
                <w:sz w:val="20"/>
                <w:szCs w:val="20"/>
                <w:color w:val="auto"/>
              </w:rPr>
            </w:pPr>
            <w:r>
              <w:rPr>
                <w:rFonts w:ascii="Arial" w:cs="Arial" w:eastAsia="Arial" w:hAnsi="Arial"/>
                <w:sz w:val="8"/>
                <w:szCs w:val="8"/>
                <w:b w:val="1"/>
                <w:bCs w:val="1"/>
                <w:color w:val="FFFFFF"/>
              </w:rPr>
              <w:t>Yields</w:t>
            </w:r>
          </w:p>
        </w:tc>
        <w:tc>
          <w:tcPr>
            <w:tcW w:w="600" w:type="dxa"/>
            <w:vAlign w:val="bottom"/>
            <w:vMerge w:val="continue"/>
            <w:shd w:val="clear" w:color="auto" w:fill="33CCCC"/>
          </w:tcPr>
          <w:p>
            <w:pPr>
              <w:spacing w:after="0"/>
              <w:rPr>
                <w:sz w:val="9"/>
                <w:szCs w:val="9"/>
                <w:color w:val="auto"/>
              </w:rPr>
            </w:pPr>
          </w:p>
        </w:tc>
        <w:tc>
          <w:tcPr>
            <w:tcW w:w="62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Income</w:t>
            </w:r>
          </w:p>
        </w:tc>
        <w:tc>
          <w:tcPr>
            <w:tcW w:w="560" w:type="dxa"/>
            <w:vAlign w:val="bottom"/>
            <w:tcBorders>
              <w:right w:val="single" w:sz="8" w:color="auto"/>
            </w:tcBorders>
            <w:vMerge w:val="restart"/>
            <w:shd w:val="clear" w:color="auto" w:fill="33CCCC"/>
          </w:tcPr>
          <w:p>
            <w:pPr>
              <w:ind w:left="140"/>
              <w:spacing w:after="0"/>
              <w:rPr>
                <w:sz w:val="20"/>
                <w:szCs w:val="20"/>
                <w:color w:val="auto"/>
              </w:rPr>
            </w:pPr>
            <w:r>
              <w:rPr>
                <w:rFonts w:ascii="Arial" w:cs="Arial" w:eastAsia="Arial" w:hAnsi="Arial"/>
                <w:sz w:val="8"/>
                <w:szCs w:val="8"/>
                <w:b w:val="1"/>
                <w:bCs w:val="1"/>
                <w:color w:val="FFFFFF"/>
              </w:rPr>
              <w:t>Yields</w:t>
            </w:r>
          </w:p>
        </w:tc>
        <w:tc>
          <w:tcPr>
            <w:tcW w:w="120" w:type="dxa"/>
            <w:vAlign w:val="bottom"/>
            <w:tcBorders>
              <w:right w:val="single" w:sz="8" w:color="auto"/>
            </w:tcBorders>
          </w:tcPr>
          <w:p>
            <w:pPr>
              <w:spacing w:after="0"/>
              <w:rPr>
                <w:sz w:val="9"/>
                <w:szCs w:val="9"/>
                <w:color w:val="auto"/>
              </w:rPr>
            </w:pPr>
          </w:p>
        </w:tc>
        <w:tc>
          <w:tcPr>
            <w:tcW w:w="580" w:type="dxa"/>
            <w:vAlign w:val="bottom"/>
            <w:vMerge w:val="continue"/>
            <w:shd w:val="clear" w:color="auto" w:fill="33CCCC"/>
          </w:tcPr>
          <w:p>
            <w:pPr>
              <w:spacing w:after="0"/>
              <w:rPr>
                <w:sz w:val="9"/>
                <w:szCs w:val="9"/>
                <w:color w:val="auto"/>
              </w:rPr>
            </w:pPr>
          </w:p>
        </w:tc>
        <w:tc>
          <w:tcPr>
            <w:tcW w:w="62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Income</w:t>
            </w:r>
          </w:p>
        </w:tc>
        <w:tc>
          <w:tcPr>
            <w:tcW w:w="560" w:type="dxa"/>
            <w:vAlign w:val="bottom"/>
            <w:tcBorders>
              <w:right w:val="single" w:sz="8" w:color="auto"/>
            </w:tcBorders>
            <w:vMerge w:val="restart"/>
            <w:shd w:val="clear" w:color="auto" w:fill="33CCCC"/>
          </w:tcPr>
          <w:p>
            <w:pPr>
              <w:ind w:left="140"/>
              <w:spacing w:after="0"/>
              <w:rPr>
                <w:sz w:val="20"/>
                <w:szCs w:val="20"/>
                <w:color w:val="auto"/>
              </w:rPr>
            </w:pPr>
            <w:r>
              <w:rPr>
                <w:rFonts w:ascii="Arial" w:cs="Arial" w:eastAsia="Arial" w:hAnsi="Arial"/>
                <w:sz w:val="8"/>
                <w:szCs w:val="8"/>
                <w:b w:val="1"/>
                <w:bCs w:val="1"/>
                <w:color w:val="FFFFFF"/>
              </w:rPr>
              <w:t>Yields</w:t>
            </w:r>
          </w:p>
        </w:tc>
        <w:tc>
          <w:tcPr>
            <w:tcW w:w="600" w:type="dxa"/>
            <w:vAlign w:val="bottom"/>
            <w:vMerge w:val="continue"/>
            <w:shd w:val="clear" w:color="auto" w:fill="33CCCC"/>
          </w:tcPr>
          <w:p>
            <w:pPr>
              <w:spacing w:after="0"/>
              <w:rPr>
                <w:sz w:val="9"/>
                <w:szCs w:val="9"/>
                <w:color w:val="auto"/>
              </w:rPr>
            </w:pPr>
          </w:p>
        </w:tc>
        <w:tc>
          <w:tcPr>
            <w:tcW w:w="62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Income</w:t>
            </w:r>
          </w:p>
        </w:tc>
        <w:tc>
          <w:tcPr>
            <w:tcW w:w="580" w:type="dxa"/>
            <w:vAlign w:val="bottom"/>
            <w:tcBorders>
              <w:right w:val="single" w:sz="8" w:color="auto"/>
            </w:tcBorders>
            <w:vMerge w:val="restart"/>
            <w:shd w:val="clear" w:color="auto" w:fill="33CCCC"/>
          </w:tcPr>
          <w:p>
            <w:pPr>
              <w:ind w:left="160"/>
              <w:spacing w:after="0"/>
              <w:rPr>
                <w:sz w:val="20"/>
                <w:szCs w:val="20"/>
                <w:color w:val="auto"/>
              </w:rPr>
            </w:pPr>
            <w:r>
              <w:rPr>
                <w:rFonts w:ascii="Arial" w:cs="Arial" w:eastAsia="Arial" w:hAnsi="Arial"/>
                <w:sz w:val="8"/>
                <w:szCs w:val="8"/>
                <w:b w:val="1"/>
                <w:bCs w:val="1"/>
                <w:color w:val="FFFFFF"/>
              </w:rPr>
              <w:t>Yields</w:t>
            </w:r>
          </w:p>
        </w:tc>
        <w:tc>
          <w:tcPr>
            <w:tcW w:w="0" w:type="dxa"/>
            <w:vAlign w:val="bottom"/>
          </w:tcPr>
          <w:p>
            <w:pPr>
              <w:spacing w:after="0"/>
              <w:rPr>
                <w:sz w:val="1"/>
                <w:szCs w:val="1"/>
                <w:color w:val="auto"/>
              </w:rPr>
            </w:pPr>
          </w:p>
        </w:tc>
      </w:tr>
      <w:tr>
        <w:trPr>
          <w:trHeight w:val="117"/>
        </w:trPr>
        <w:tc>
          <w:tcPr>
            <w:tcW w:w="1600" w:type="dxa"/>
            <w:vAlign w:val="bottom"/>
            <w:tcBorders>
              <w:left w:val="single" w:sz="8" w:color="auto"/>
              <w:bottom w:val="single" w:sz="8" w:color="33CCCC"/>
              <w:right w:val="single" w:sz="8" w:color="auto"/>
            </w:tcBorders>
            <w:vMerge w:val="continue"/>
            <w:shd w:val="clear" w:color="auto" w:fill="33CCCC"/>
          </w:tcPr>
          <w:p>
            <w:pPr>
              <w:spacing w:after="0"/>
              <w:rPr>
                <w:sz w:val="10"/>
                <w:szCs w:val="10"/>
                <w:color w:val="auto"/>
              </w:rPr>
            </w:pPr>
          </w:p>
        </w:tc>
        <w:tc>
          <w:tcPr>
            <w:tcW w:w="58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Balance</w:t>
            </w:r>
          </w:p>
        </w:tc>
        <w:tc>
          <w:tcPr>
            <w:tcW w:w="620" w:type="dxa"/>
            <w:vAlign w:val="bottom"/>
            <w:tcBorders>
              <w:bottom w:val="single" w:sz="8" w:color="33CCCC"/>
            </w:tcBorders>
            <w:vMerge w:val="continue"/>
            <w:shd w:val="clear" w:color="auto" w:fill="33CCCC"/>
          </w:tcPr>
          <w:p>
            <w:pPr>
              <w:spacing w:after="0"/>
              <w:rPr>
                <w:sz w:val="10"/>
                <w:szCs w:val="10"/>
                <w:color w:val="auto"/>
              </w:rPr>
            </w:pPr>
          </w:p>
        </w:tc>
        <w:tc>
          <w:tcPr>
            <w:tcW w:w="56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60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Balance</w:t>
            </w:r>
          </w:p>
        </w:tc>
        <w:tc>
          <w:tcPr>
            <w:tcW w:w="620" w:type="dxa"/>
            <w:vAlign w:val="bottom"/>
            <w:tcBorders>
              <w:bottom w:val="single" w:sz="8" w:color="33CCCC"/>
            </w:tcBorders>
            <w:vMerge w:val="continue"/>
            <w:shd w:val="clear" w:color="auto" w:fill="33CCCC"/>
          </w:tcPr>
          <w:p>
            <w:pPr>
              <w:spacing w:after="0"/>
              <w:rPr>
                <w:sz w:val="10"/>
                <w:szCs w:val="10"/>
                <w:color w:val="auto"/>
              </w:rPr>
            </w:pPr>
          </w:p>
        </w:tc>
        <w:tc>
          <w:tcPr>
            <w:tcW w:w="54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60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Balance</w:t>
            </w:r>
          </w:p>
        </w:tc>
        <w:tc>
          <w:tcPr>
            <w:tcW w:w="620" w:type="dxa"/>
            <w:vAlign w:val="bottom"/>
            <w:tcBorders>
              <w:bottom w:val="single" w:sz="8" w:color="33CCCC"/>
            </w:tcBorders>
            <w:vMerge w:val="continue"/>
            <w:shd w:val="clear" w:color="auto" w:fill="33CCCC"/>
          </w:tcPr>
          <w:p>
            <w:pPr>
              <w:spacing w:after="0"/>
              <w:rPr>
                <w:sz w:val="10"/>
                <w:szCs w:val="10"/>
                <w:color w:val="auto"/>
              </w:rPr>
            </w:pPr>
          </w:p>
        </w:tc>
        <w:tc>
          <w:tcPr>
            <w:tcW w:w="56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8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Balance</w:t>
            </w:r>
          </w:p>
        </w:tc>
        <w:tc>
          <w:tcPr>
            <w:tcW w:w="620" w:type="dxa"/>
            <w:vAlign w:val="bottom"/>
            <w:tcBorders>
              <w:bottom w:val="single" w:sz="8" w:color="33CCCC"/>
            </w:tcBorders>
            <w:vMerge w:val="continue"/>
            <w:shd w:val="clear" w:color="auto" w:fill="33CCCC"/>
          </w:tcPr>
          <w:p>
            <w:pPr>
              <w:spacing w:after="0"/>
              <w:rPr>
                <w:sz w:val="10"/>
                <w:szCs w:val="10"/>
                <w:color w:val="auto"/>
              </w:rPr>
            </w:pPr>
          </w:p>
        </w:tc>
        <w:tc>
          <w:tcPr>
            <w:tcW w:w="56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60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Balance</w:t>
            </w:r>
          </w:p>
        </w:tc>
        <w:tc>
          <w:tcPr>
            <w:tcW w:w="620" w:type="dxa"/>
            <w:vAlign w:val="bottom"/>
            <w:tcBorders>
              <w:bottom w:val="single" w:sz="8" w:color="33CCCC"/>
            </w:tcBorders>
            <w:vMerge w:val="continue"/>
            <w:shd w:val="clear" w:color="auto" w:fill="33CCCC"/>
          </w:tcPr>
          <w:p>
            <w:pPr>
              <w:spacing w:after="0"/>
              <w:rPr>
                <w:sz w:val="10"/>
                <w:szCs w:val="10"/>
                <w:color w:val="auto"/>
              </w:rPr>
            </w:pPr>
          </w:p>
        </w:tc>
        <w:tc>
          <w:tcPr>
            <w:tcW w:w="58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6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Total (LC + FC)</w:t>
            </w:r>
          </w:p>
        </w:tc>
        <w:tc>
          <w:tcPr>
            <w:tcW w:w="5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60" w:type="dxa"/>
            <w:vAlign w:val="bottom"/>
            <w:tcBorders>
              <w:top w:val="single" w:sz="8" w:color="auto"/>
              <w:right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40" w:type="dxa"/>
            <w:vAlign w:val="bottom"/>
            <w:tcBorders>
              <w:top w:val="single" w:sz="8" w:color="auto"/>
              <w:right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60" w:type="dxa"/>
            <w:vAlign w:val="bottom"/>
            <w:tcBorders>
              <w:top w:val="single" w:sz="8" w:color="auto"/>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60" w:type="dxa"/>
            <w:vAlign w:val="bottom"/>
            <w:tcBorders>
              <w:top w:val="single" w:sz="8" w:color="auto"/>
              <w:right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80" w:type="dxa"/>
            <w:vAlign w:val="bottom"/>
            <w:tcBorders>
              <w:top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Cash and equivalents</w:t>
            </w:r>
          </w:p>
        </w:tc>
        <w:tc>
          <w:tcPr>
            <w:tcW w:w="580" w:type="dxa"/>
            <w:vAlign w:val="bottom"/>
          </w:tcPr>
          <w:p>
            <w:pPr>
              <w:jc w:val="center"/>
              <w:spacing w:after="0"/>
              <w:rPr>
                <w:sz w:val="20"/>
                <w:szCs w:val="20"/>
                <w:color w:val="auto"/>
              </w:rPr>
            </w:pPr>
            <w:r>
              <w:rPr>
                <w:rFonts w:ascii="Arial" w:cs="Arial" w:eastAsia="Arial" w:hAnsi="Arial"/>
                <w:sz w:val="8"/>
                <w:szCs w:val="8"/>
                <w:color w:val="auto"/>
              </w:rPr>
              <w:t>32,083</w:t>
            </w:r>
          </w:p>
        </w:tc>
        <w:tc>
          <w:tcPr>
            <w:tcW w:w="620" w:type="dxa"/>
            <w:vAlign w:val="bottom"/>
          </w:tcPr>
          <w:p>
            <w:pPr>
              <w:jc w:val="center"/>
              <w:spacing w:after="0"/>
              <w:rPr>
                <w:sz w:val="20"/>
                <w:szCs w:val="20"/>
                <w:color w:val="auto"/>
              </w:rPr>
            </w:pPr>
            <w:r>
              <w:rPr>
                <w:rFonts w:ascii="Arial" w:cs="Arial" w:eastAsia="Arial" w:hAnsi="Arial"/>
                <w:sz w:val="8"/>
                <w:szCs w:val="8"/>
                <w:color w:val="auto"/>
              </w:rPr>
              <w:t>365</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4.6%</w:t>
            </w:r>
          </w:p>
        </w:tc>
        <w:tc>
          <w:tcPr>
            <w:tcW w:w="600" w:type="dxa"/>
            <w:vAlign w:val="bottom"/>
          </w:tcPr>
          <w:p>
            <w:pPr>
              <w:jc w:val="center"/>
              <w:spacing w:after="0"/>
              <w:rPr>
                <w:sz w:val="20"/>
                <w:szCs w:val="20"/>
                <w:color w:val="auto"/>
              </w:rPr>
            </w:pPr>
            <w:r>
              <w:rPr>
                <w:rFonts w:ascii="Arial" w:cs="Arial" w:eastAsia="Arial" w:hAnsi="Arial"/>
                <w:sz w:val="8"/>
                <w:szCs w:val="8"/>
                <w:color w:val="auto"/>
              </w:rPr>
              <w:t>35,864</w:t>
            </w:r>
          </w:p>
        </w:tc>
        <w:tc>
          <w:tcPr>
            <w:tcW w:w="620" w:type="dxa"/>
            <w:vAlign w:val="bottom"/>
          </w:tcPr>
          <w:p>
            <w:pPr>
              <w:jc w:val="center"/>
              <w:spacing w:after="0"/>
              <w:rPr>
                <w:sz w:val="20"/>
                <w:szCs w:val="20"/>
                <w:color w:val="auto"/>
              </w:rPr>
            </w:pPr>
            <w:r>
              <w:rPr>
                <w:rFonts w:ascii="Arial" w:cs="Arial" w:eastAsia="Arial" w:hAnsi="Arial"/>
                <w:sz w:val="8"/>
                <w:szCs w:val="8"/>
                <w:color w:val="auto"/>
              </w:rPr>
              <w:t>342</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3.8%</w:t>
            </w:r>
          </w:p>
        </w:tc>
        <w:tc>
          <w:tcPr>
            <w:tcW w:w="600" w:type="dxa"/>
            <w:vAlign w:val="bottom"/>
          </w:tcPr>
          <w:p>
            <w:pPr>
              <w:jc w:val="center"/>
              <w:spacing w:after="0"/>
              <w:rPr>
                <w:sz w:val="20"/>
                <w:szCs w:val="20"/>
                <w:color w:val="auto"/>
              </w:rPr>
            </w:pPr>
            <w:r>
              <w:rPr>
                <w:rFonts w:ascii="Arial" w:cs="Arial" w:eastAsia="Arial" w:hAnsi="Arial"/>
                <w:sz w:val="8"/>
                <w:szCs w:val="8"/>
                <w:color w:val="auto"/>
              </w:rPr>
              <w:t>35,034</w:t>
            </w:r>
          </w:p>
        </w:tc>
        <w:tc>
          <w:tcPr>
            <w:tcW w:w="620" w:type="dxa"/>
            <w:vAlign w:val="bottom"/>
          </w:tcPr>
          <w:p>
            <w:pPr>
              <w:jc w:val="center"/>
              <w:spacing w:after="0"/>
              <w:rPr>
                <w:sz w:val="20"/>
                <w:szCs w:val="20"/>
                <w:color w:val="auto"/>
              </w:rPr>
            </w:pPr>
            <w:r>
              <w:rPr>
                <w:rFonts w:ascii="Arial" w:cs="Arial" w:eastAsia="Arial" w:hAnsi="Arial"/>
                <w:sz w:val="8"/>
                <w:szCs w:val="8"/>
                <w:color w:val="auto"/>
              </w:rPr>
              <w:t>316</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3.6%</w:t>
            </w:r>
          </w:p>
        </w:tc>
        <w:tc>
          <w:tcPr>
            <w:tcW w:w="120" w:type="dxa"/>
            <w:vAlign w:val="bottom"/>
            <w:tcBorders>
              <w:right w:val="single" w:sz="8" w:color="auto"/>
            </w:tcBorders>
          </w:tcPr>
          <w:p>
            <w:pPr>
              <w:spacing w:after="0"/>
              <w:rPr>
                <w:sz w:val="9"/>
                <w:szCs w:val="9"/>
                <w:color w:val="auto"/>
              </w:rPr>
            </w:pPr>
          </w:p>
        </w:tc>
        <w:tc>
          <w:tcPr>
            <w:tcW w:w="580" w:type="dxa"/>
            <w:vAlign w:val="bottom"/>
          </w:tcPr>
          <w:p>
            <w:pPr>
              <w:jc w:val="center"/>
              <w:spacing w:after="0"/>
              <w:rPr>
                <w:sz w:val="20"/>
                <w:szCs w:val="20"/>
                <w:color w:val="auto"/>
              </w:rPr>
            </w:pPr>
            <w:r>
              <w:rPr>
                <w:rFonts w:ascii="Arial" w:cs="Arial" w:eastAsia="Arial" w:hAnsi="Arial"/>
                <w:sz w:val="8"/>
                <w:szCs w:val="8"/>
                <w:color w:val="auto"/>
              </w:rPr>
              <w:t>31,494</w:t>
            </w:r>
          </w:p>
        </w:tc>
        <w:tc>
          <w:tcPr>
            <w:tcW w:w="620" w:type="dxa"/>
            <w:vAlign w:val="bottom"/>
          </w:tcPr>
          <w:p>
            <w:pPr>
              <w:jc w:val="center"/>
              <w:spacing w:after="0"/>
              <w:rPr>
                <w:sz w:val="20"/>
                <w:szCs w:val="20"/>
                <w:color w:val="auto"/>
              </w:rPr>
            </w:pPr>
            <w:r>
              <w:rPr>
                <w:rFonts w:ascii="Arial" w:cs="Arial" w:eastAsia="Arial" w:hAnsi="Arial"/>
                <w:sz w:val="8"/>
                <w:szCs w:val="8"/>
                <w:color w:val="auto"/>
              </w:rPr>
              <w:t>1,019</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4.3%</w:t>
            </w:r>
          </w:p>
        </w:tc>
        <w:tc>
          <w:tcPr>
            <w:tcW w:w="600" w:type="dxa"/>
            <w:vAlign w:val="bottom"/>
          </w:tcPr>
          <w:p>
            <w:pPr>
              <w:jc w:val="center"/>
              <w:spacing w:after="0"/>
              <w:rPr>
                <w:sz w:val="20"/>
                <w:szCs w:val="20"/>
                <w:color w:val="auto"/>
              </w:rPr>
            </w:pPr>
            <w:r>
              <w:rPr>
                <w:rFonts w:ascii="Arial" w:cs="Arial" w:eastAsia="Arial" w:hAnsi="Arial"/>
                <w:sz w:val="8"/>
                <w:szCs w:val="8"/>
                <w:color w:val="auto"/>
              </w:rPr>
              <w:t>37,991</w:t>
            </w:r>
          </w:p>
        </w:tc>
        <w:tc>
          <w:tcPr>
            <w:tcW w:w="620" w:type="dxa"/>
            <w:vAlign w:val="bottom"/>
          </w:tcPr>
          <w:p>
            <w:pPr>
              <w:jc w:val="center"/>
              <w:spacing w:after="0"/>
              <w:rPr>
                <w:sz w:val="20"/>
                <w:szCs w:val="20"/>
                <w:color w:val="auto"/>
              </w:rPr>
            </w:pPr>
            <w:r>
              <w:rPr>
                <w:rFonts w:ascii="Arial" w:cs="Arial" w:eastAsia="Arial" w:hAnsi="Arial"/>
                <w:sz w:val="8"/>
                <w:szCs w:val="8"/>
                <w:color w:val="auto"/>
              </w:rPr>
              <w:t>1,003</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3.5%</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Other IEA</w:t>
            </w:r>
          </w:p>
        </w:tc>
        <w:tc>
          <w:tcPr>
            <w:tcW w:w="580" w:type="dxa"/>
            <w:vAlign w:val="bottom"/>
          </w:tcPr>
          <w:p>
            <w:pPr>
              <w:jc w:val="center"/>
              <w:spacing w:after="0"/>
              <w:rPr>
                <w:sz w:val="20"/>
                <w:szCs w:val="20"/>
                <w:color w:val="auto"/>
              </w:rPr>
            </w:pPr>
            <w:r>
              <w:rPr>
                <w:rFonts w:ascii="Arial" w:cs="Arial" w:eastAsia="Arial" w:hAnsi="Arial"/>
                <w:sz w:val="8"/>
                <w:szCs w:val="8"/>
                <w:color w:val="auto"/>
              </w:rPr>
              <w:t>1,598</w:t>
            </w:r>
          </w:p>
        </w:tc>
        <w:tc>
          <w:tcPr>
            <w:tcW w:w="620" w:type="dxa"/>
            <w:vAlign w:val="bottom"/>
          </w:tcPr>
          <w:p>
            <w:pPr>
              <w:jc w:val="center"/>
              <w:spacing w:after="0"/>
              <w:rPr>
                <w:sz w:val="20"/>
                <w:szCs w:val="20"/>
                <w:color w:val="auto"/>
              </w:rPr>
            </w:pPr>
            <w:r>
              <w:rPr>
                <w:rFonts w:ascii="Arial" w:cs="Arial" w:eastAsia="Arial" w:hAnsi="Arial"/>
                <w:sz w:val="8"/>
                <w:szCs w:val="8"/>
                <w:color w:val="auto"/>
              </w:rPr>
              <w:t>26</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6.5%</w:t>
            </w:r>
          </w:p>
        </w:tc>
        <w:tc>
          <w:tcPr>
            <w:tcW w:w="600" w:type="dxa"/>
            <w:vAlign w:val="bottom"/>
          </w:tcPr>
          <w:p>
            <w:pPr>
              <w:jc w:val="center"/>
              <w:spacing w:after="0"/>
              <w:rPr>
                <w:sz w:val="20"/>
                <w:szCs w:val="20"/>
                <w:color w:val="auto"/>
              </w:rPr>
            </w:pPr>
            <w:r>
              <w:rPr>
                <w:rFonts w:ascii="Arial" w:cs="Arial" w:eastAsia="Arial" w:hAnsi="Arial"/>
                <w:sz w:val="8"/>
                <w:szCs w:val="8"/>
                <w:color w:val="auto"/>
              </w:rPr>
              <w:t>3,215</w:t>
            </w:r>
          </w:p>
        </w:tc>
        <w:tc>
          <w:tcPr>
            <w:tcW w:w="620" w:type="dxa"/>
            <w:vAlign w:val="bottom"/>
          </w:tcPr>
          <w:p>
            <w:pPr>
              <w:jc w:val="center"/>
              <w:spacing w:after="0"/>
              <w:rPr>
                <w:sz w:val="20"/>
                <w:szCs w:val="20"/>
                <w:color w:val="auto"/>
              </w:rPr>
            </w:pPr>
            <w:r>
              <w:rPr>
                <w:rFonts w:ascii="Arial" w:cs="Arial" w:eastAsia="Arial" w:hAnsi="Arial"/>
                <w:sz w:val="8"/>
                <w:szCs w:val="8"/>
                <w:color w:val="auto"/>
                <w:w w:val="89"/>
              </w:rPr>
              <w:t>69</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8.6%</w:t>
            </w:r>
          </w:p>
        </w:tc>
        <w:tc>
          <w:tcPr>
            <w:tcW w:w="600" w:type="dxa"/>
            <w:vAlign w:val="bottom"/>
          </w:tcPr>
          <w:p>
            <w:pPr>
              <w:jc w:val="center"/>
              <w:spacing w:after="0"/>
              <w:rPr>
                <w:sz w:val="20"/>
                <w:szCs w:val="20"/>
                <w:color w:val="auto"/>
              </w:rPr>
            </w:pPr>
            <w:r>
              <w:rPr>
                <w:rFonts w:ascii="Arial" w:cs="Arial" w:eastAsia="Arial" w:hAnsi="Arial"/>
                <w:sz w:val="8"/>
                <w:szCs w:val="8"/>
                <w:color w:val="auto"/>
                <w:w w:val="99"/>
              </w:rPr>
              <w:t>3,999</w:t>
            </w:r>
          </w:p>
        </w:tc>
        <w:tc>
          <w:tcPr>
            <w:tcW w:w="620" w:type="dxa"/>
            <w:vAlign w:val="bottom"/>
          </w:tcPr>
          <w:p>
            <w:pPr>
              <w:jc w:val="center"/>
              <w:spacing w:after="0"/>
              <w:rPr>
                <w:sz w:val="20"/>
                <w:szCs w:val="20"/>
                <w:color w:val="auto"/>
              </w:rPr>
            </w:pPr>
            <w:r>
              <w:rPr>
                <w:rFonts w:ascii="Arial" w:cs="Arial" w:eastAsia="Arial" w:hAnsi="Arial"/>
                <w:sz w:val="8"/>
                <w:szCs w:val="8"/>
                <w:color w:val="auto"/>
              </w:rPr>
              <w:t>68</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6.8%</w:t>
            </w:r>
          </w:p>
        </w:tc>
        <w:tc>
          <w:tcPr>
            <w:tcW w:w="120" w:type="dxa"/>
            <w:vAlign w:val="bottom"/>
            <w:tcBorders>
              <w:right w:val="single" w:sz="8" w:color="auto"/>
            </w:tcBorders>
          </w:tcPr>
          <w:p>
            <w:pPr>
              <w:spacing w:after="0"/>
              <w:rPr>
                <w:sz w:val="9"/>
                <w:szCs w:val="9"/>
                <w:color w:val="auto"/>
              </w:rPr>
            </w:pPr>
          </w:p>
        </w:tc>
        <w:tc>
          <w:tcPr>
            <w:tcW w:w="580" w:type="dxa"/>
            <w:vAlign w:val="bottom"/>
          </w:tcPr>
          <w:p>
            <w:pPr>
              <w:jc w:val="center"/>
              <w:spacing w:after="0"/>
              <w:rPr>
                <w:sz w:val="20"/>
                <w:szCs w:val="20"/>
                <w:color w:val="auto"/>
              </w:rPr>
            </w:pPr>
            <w:r>
              <w:rPr>
                <w:rFonts w:ascii="Arial" w:cs="Arial" w:eastAsia="Arial" w:hAnsi="Arial"/>
                <w:sz w:val="8"/>
                <w:szCs w:val="8"/>
                <w:color w:val="auto"/>
                <w:w w:val="99"/>
              </w:rPr>
              <w:t>1,415</w:t>
            </w:r>
          </w:p>
        </w:tc>
        <w:tc>
          <w:tcPr>
            <w:tcW w:w="620" w:type="dxa"/>
            <w:vAlign w:val="bottom"/>
          </w:tcPr>
          <w:p>
            <w:pPr>
              <w:jc w:val="center"/>
              <w:spacing w:after="0"/>
              <w:rPr>
                <w:sz w:val="20"/>
                <w:szCs w:val="20"/>
                <w:color w:val="auto"/>
              </w:rPr>
            </w:pPr>
            <w:r>
              <w:rPr>
                <w:rFonts w:ascii="Arial" w:cs="Arial" w:eastAsia="Arial" w:hAnsi="Arial"/>
                <w:sz w:val="8"/>
                <w:szCs w:val="8"/>
                <w:color w:val="auto"/>
              </w:rPr>
              <w:t>80</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7.5%</w:t>
            </w:r>
          </w:p>
        </w:tc>
        <w:tc>
          <w:tcPr>
            <w:tcW w:w="600" w:type="dxa"/>
            <w:vAlign w:val="bottom"/>
          </w:tcPr>
          <w:p>
            <w:pPr>
              <w:jc w:val="center"/>
              <w:spacing w:after="0"/>
              <w:rPr>
                <w:sz w:val="20"/>
                <w:szCs w:val="20"/>
                <w:color w:val="auto"/>
              </w:rPr>
            </w:pPr>
            <w:r>
              <w:rPr>
                <w:rFonts w:ascii="Arial" w:cs="Arial" w:eastAsia="Arial" w:hAnsi="Arial"/>
                <w:sz w:val="8"/>
                <w:szCs w:val="8"/>
                <w:color w:val="auto"/>
                <w:w w:val="99"/>
              </w:rPr>
              <w:t>2,219</w:t>
            </w:r>
          </w:p>
        </w:tc>
        <w:tc>
          <w:tcPr>
            <w:tcW w:w="620" w:type="dxa"/>
            <w:vAlign w:val="bottom"/>
          </w:tcPr>
          <w:p>
            <w:pPr>
              <w:jc w:val="center"/>
              <w:spacing w:after="0"/>
              <w:rPr>
                <w:sz w:val="20"/>
                <w:szCs w:val="20"/>
                <w:color w:val="auto"/>
              </w:rPr>
            </w:pPr>
            <w:r>
              <w:rPr>
                <w:rFonts w:ascii="Arial" w:cs="Arial" w:eastAsia="Arial" w:hAnsi="Arial"/>
                <w:sz w:val="8"/>
                <w:szCs w:val="8"/>
                <w:color w:val="auto"/>
              </w:rPr>
              <w:t>157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9.4%</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Investments</w:t>
            </w:r>
          </w:p>
        </w:tc>
        <w:tc>
          <w:tcPr>
            <w:tcW w:w="580" w:type="dxa"/>
            <w:vAlign w:val="bottom"/>
          </w:tcPr>
          <w:p>
            <w:pPr>
              <w:jc w:val="center"/>
              <w:spacing w:after="0"/>
              <w:rPr>
                <w:sz w:val="20"/>
                <w:szCs w:val="20"/>
                <w:color w:val="auto"/>
              </w:rPr>
            </w:pPr>
            <w:r>
              <w:rPr>
                <w:rFonts w:ascii="Arial" w:cs="Arial" w:eastAsia="Arial" w:hAnsi="Arial"/>
                <w:sz w:val="8"/>
                <w:szCs w:val="8"/>
                <w:color w:val="auto"/>
              </w:rPr>
              <w:t>52,877</w:t>
            </w:r>
          </w:p>
        </w:tc>
        <w:tc>
          <w:tcPr>
            <w:tcW w:w="620" w:type="dxa"/>
            <w:vAlign w:val="bottom"/>
          </w:tcPr>
          <w:p>
            <w:pPr>
              <w:jc w:val="center"/>
              <w:spacing w:after="0"/>
              <w:rPr>
                <w:sz w:val="20"/>
                <w:szCs w:val="20"/>
                <w:color w:val="auto"/>
              </w:rPr>
            </w:pPr>
            <w:r>
              <w:rPr>
                <w:rFonts w:ascii="Arial" w:cs="Arial" w:eastAsia="Arial" w:hAnsi="Arial"/>
                <w:sz w:val="8"/>
                <w:szCs w:val="8"/>
                <w:color w:val="auto"/>
              </w:rPr>
              <w:t>681</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5.2%</w:t>
            </w:r>
          </w:p>
        </w:tc>
        <w:tc>
          <w:tcPr>
            <w:tcW w:w="600" w:type="dxa"/>
            <w:vAlign w:val="bottom"/>
          </w:tcPr>
          <w:p>
            <w:pPr>
              <w:jc w:val="center"/>
              <w:spacing w:after="0"/>
              <w:rPr>
                <w:sz w:val="20"/>
                <w:szCs w:val="20"/>
                <w:color w:val="auto"/>
              </w:rPr>
            </w:pPr>
            <w:r>
              <w:rPr>
                <w:rFonts w:ascii="Arial" w:cs="Arial" w:eastAsia="Arial" w:hAnsi="Arial"/>
                <w:sz w:val="8"/>
                <w:szCs w:val="8"/>
                <w:color w:val="auto"/>
              </w:rPr>
              <w:t>53,604</w:t>
            </w:r>
          </w:p>
        </w:tc>
        <w:tc>
          <w:tcPr>
            <w:tcW w:w="620" w:type="dxa"/>
            <w:vAlign w:val="bottom"/>
          </w:tcPr>
          <w:p>
            <w:pPr>
              <w:jc w:val="center"/>
              <w:spacing w:after="0"/>
              <w:rPr>
                <w:sz w:val="20"/>
                <w:szCs w:val="20"/>
                <w:color w:val="auto"/>
              </w:rPr>
            </w:pPr>
            <w:r>
              <w:rPr>
                <w:rFonts w:ascii="Arial" w:cs="Arial" w:eastAsia="Arial" w:hAnsi="Arial"/>
                <w:sz w:val="8"/>
                <w:szCs w:val="8"/>
                <w:color w:val="auto"/>
              </w:rPr>
              <w:t>670</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5.0%</w:t>
            </w:r>
          </w:p>
        </w:tc>
        <w:tc>
          <w:tcPr>
            <w:tcW w:w="600" w:type="dxa"/>
            <w:vAlign w:val="bottom"/>
          </w:tcPr>
          <w:p>
            <w:pPr>
              <w:jc w:val="center"/>
              <w:spacing w:after="0"/>
              <w:rPr>
                <w:sz w:val="20"/>
                <w:szCs w:val="20"/>
                <w:color w:val="auto"/>
              </w:rPr>
            </w:pPr>
            <w:r>
              <w:rPr>
                <w:rFonts w:ascii="Arial" w:cs="Arial" w:eastAsia="Arial" w:hAnsi="Arial"/>
                <w:sz w:val="8"/>
                <w:szCs w:val="8"/>
                <w:color w:val="auto"/>
              </w:rPr>
              <w:t>51,396</w:t>
            </w:r>
          </w:p>
        </w:tc>
        <w:tc>
          <w:tcPr>
            <w:tcW w:w="620" w:type="dxa"/>
            <w:vAlign w:val="bottom"/>
          </w:tcPr>
          <w:p>
            <w:pPr>
              <w:jc w:val="center"/>
              <w:spacing w:after="0"/>
              <w:rPr>
                <w:sz w:val="20"/>
                <w:szCs w:val="20"/>
                <w:color w:val="auto"/>
              </w:rPr>
            </w:pPr>
            <w:r>
              <w:rPr>
                <w:rFonts w:ascii="Arial" w:cs="Arial" w:eastAsia="Arial" w:hAnsi="Arial"/>
                <w:sz w:val="8"/>
                <w:szCs w:val="8"/>
                <w:color w:val="auto"/>
              </w:rPr>
              <w:t>643</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5.0%</w:t>
            </w:r>
          </w:p>
        </w:tc>
        <w:tc>
          <w:tcPr>
            <w:tcW w:w="120" w:type="dxa"/>
            <w:vAlign w:val="bottom"/>
            <w:tcBorders>
              <w:right w:val="single" w:sz="8" w:color="auto"/>
            </w:tcBorders>
          </w:tcPr>
          <w:p>
            <w:pPr>
              <w:spacing w:after="0"/>
              <w:rPr>
                <w:sz w:val="9"/>
                <w:szCs w:val="9"/>
                <w:color w:val="auto"/>
              </w:rPr>
            </w:pPr>
          </w:p>
        </w:tc>
        <w:tc>
          <w:tcPr>
            <w:tcW w:w="580" w:type="dxa"/>
            <w:vAlign w:val="bottom"/>
          </w:tcPr>
          <w:p>
            <w:pPr>
              <w:jc w:val="center"/>
              <w:spacing w:after="0"/>
              <w:rPr>
                <w:sz w:val="20"/>
                <w:szCs w:val="20"/>
                <w:color w:val="auto"/>
              </w:rPr>
            </w:pPr>
            <w:r>
              <w:rPr>
                <w:rFonts w:ascii="Arial" w:cs="Arial" w:eastAsia="Arial" w:hAnsi="Arial"/>
                <w:sz w:val="8"/>
                <w:szCs w:val="8"/>
                <w:color w:val="auto"/>
              </w:rPr>
              <w:t>52,772</w:t>
            </w:r>
          </w:p>
        </w:tc>
        <w:tc>
          <w:tcPr>
            <w:tcW w:w="620" w:type="dxa"/>
            <w:vAlign w:val="bottom"/>
          </w:tcPr>
          <w:p>
            <w:pPr>
              <w:jc w:val="center"/>
              <w:spacing w:after="0"/>
              <w:rPr>
                <w:sz w:val="20"/>
                <w:szCs w:val="20"/>
                <w:color w:val="auto"/>
              </w:rPr>
            </w:pPr>
            <w:r>
              <w:rPr>
                <w:rFonts w:ascii="Arial" w:cs="Arial" w:eastAsia="Arial" w:hAnsi="Arial"/>
                <w:sz w:val="8"/>
                <w:szCs w:val="8"/>
                <w:color w:val="auto"/>
              </w:rPr>
              <w:t>2,042</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5.2%</w:t>
            </w:r>
          </w:p>
        </w:tc>
        <w:tc>
          <w:tcPr>
            <w:tcW w:w="600" w:type="dxa"/>
            <w:vAlign w:val="bottom"/>
          </w:tcPr>
          <w:p>
            <w:pPr>
              <w:jc w:val="center"/>
              <w:spacing w:after="0"/>
              <w:rPr>
                <w:sz w:val="20"/>
                <w:szCs w:val="20"/>
                <w:color w:val="auto"/>
              </w:rPr>
            </w:pPr>
            <w:r>
              <w:rPr>
                <w:rFonts w:ascii="Arial" w:cs="Arial" w:eastAsia="Arial" w:hAnsi="Arial"/>
                <w:sz w:val="8"/>
                <w:szCs w:val="8"/>
                <w:color w:val="auto"/>
              </w:rPr>
              <w:t>52,506</w:t>
            </w:r>
          </w:p>
        </w:tc>
        <w:tc>
          <w:tcPr>
            <w:tcW w:w="620" w:type="dxa"/>
            <w:vAlign w:val="bottom"/>
          </w:tcPr>
          <w:p>
            <w:pPr>
              <w:jc w:val="center"/>
              <w:spacing w:after="0"/>
              <w:rPr>
                <w:sz w:val="20"/>
                <w:szCs w:val="20"/>
                <w:color w:val="auto"/>
              </w:rPr>
            </w:pPr>
            <w:r>
              <w:rPr>
                <w:rFonts w:ascii="Arial" w:cs="Arial" w:eastAsia="Arial" w:hAnsi="Arial"/>
                <w:sz w:val="8"/>
                <w:szCs w:val="8"/>
                <w:color w:val="auto"/>
              </w:rPr>
              <w:t>1,996</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5.1%</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Loans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144,757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3,924</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10.8%</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141,079</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9"/>
              </w:rPr>
              <w:t>3,841</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10.9%</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142,857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9"/>
              </w:rPr>
              <w:t>3,961</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11.1%</w:t>
            </w:r>
          </w:p>
        </w:tc>
        <w:tc>
          <w:tcPr>
            <w:tcW w:w="12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143,773</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11,715</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6"/>
              </w:rPr>
              <w:t>10.9%</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145,242</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11,649</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10.7%</w:t>
            </w:r>
          </w:p>
        </w:tc>
        <w:tc>
          <w:tcPr>
            <w:tcW w:w="0" w:type="dxa"/>
            <w:vAlign w:val="bottom"/>
          </w:tcPr>
          <w:p>
            <w:pPr>
              <w:spacing w:after="0"/>
              <w:rPr>
                <w:sz w:val="1"/>
                <w:szCs w:val="1"/>
                <w:color w:val="auto"/>
              </w:rPr>
            </w:pPr>
          </w:p>
        </w:tc>
      </w:tr>
      <w:tr>
        <w:trPr>
          <w:trHeight w:val="100"/>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Total IEA</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231,315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4,996</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8.6%</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233,762</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9"/>
              </w:rPr>
              <w:t>4,922</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8.4%</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233,286</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9"/>
              </w:rPr>
              <w:t>4,988</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8.6%</w:t>
            </w:r>
          </w:p>
        </w:tc>
        <w:tc>
          <w:tcPr>
            <w:tcW w:w="120" w:type="dxa"/>
            <w:vAlign w:val="bottom"/>
            <w:tcBorders>
              <w:right w:val="single" w:sz="8" w:color="auto"/>
            </w:tcBorders>
          </w:tcPr>
          <w:p>
            <w:pPr>
              <w:spacing w:after="0"/>
              <w:rPr>
                <w:sz w:val="8"/>
                <w:szCs w:val="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229,454</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14,856</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8.6%</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237,958</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14,805</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8.3%</w:t>
            </w:r>
          </w:p>
        </w:tc>
        <w:tc>
          <w:tcPr>
            <w:tcW w:w="0" w:type="dxa"/>
            <w:vAlign w:val="bottom"/>
          </w:tcPr>
          <w:p>
            <w:pPr>
              <w:spacing w:after="0"/>
              <w:rPr>
                <w:sz w:val="1"/>
                <w:szCs w:val="1"/>
                <w:color w:val="auto"/>
              </w:rPr>
            </w:pPr>
          </w:p>
        </w:tc>
      </w:tr>
      <w:tr>
        <w:trPr>
          <w:trHeight w:val="100"/>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IEA (LC)</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6"/>
              </w:rPr>
              <w:t>55.7%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68.8%</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10.7%</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56.5%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71.1%</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10.6%</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56.7%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71.4%</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10.8%</w:t>
            </w:r>
          </w:p>
        </w:tc>
        <w:tc>
          <w:tcPr>
            <w:tcW w:w="120" w:type="dxa"/>
            <w:vAlign w:val="bottom"/>
            <w:tcBorders>
              <w:right w:val="single" w:sz="8" w:color="auto"/>
            </w:tcBorders>
          </w:tcPr>
          <w:p>
            <w:pPr>
              <w:spacing w:after="0"/>
              <w:rPr>
                <w:sz w:val="8"/>
                <w:szCs w:val="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56.3%</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6"/>
              </w:rPr>
              <w:t>69.4%</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6"/>
              </w:rPr>
              <w:t>10.6%</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55.8%</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71.0%</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10.6%</w:t>
            </w:r>
          </w:p>
        </w:tc>
        <w:tc>
          <w:tcPr>
            <w:tcW w:w="0" w:type="dxa"/>
            <w:vAlign w:val="bottom"/>
          </w:tcPr>
          <w:p>
            <w:pPr>
              <w:spacing w:after="0"/>
              <w:rPr>
                <w:sz w:val="1"/>
                <w:szCs w:val="1"/>
                <w:color w:val="auto"/>
              </w:rPr>
            </w:pPr>
          </w:p>
        </w:tc>
      </w:tr>
      <w:tr>
        <w:trPr>
          <w:trHeight w:val="100"/>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IEA (FC)</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6"/>
              </w:rPr>
              <w:t>44.3%</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31.2%</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8"/>
              </w:rPr>
              <w:t>6.1%</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43.5%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28.9%</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5.6%</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43.3%</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28.6%</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8"/>
              </w:rPr>
              <w:t>5.7%</w:t>
            </w:r>
          </w:p>
        </w:tc>
        <w:tc>
          <w:tcPr>
            <w:tcW w:w="120" w:type="dxa"/>
            <w:vAlign w:val="bottom"/>
            <w:tcBorders>
              <w:right w:val="single" w:sz="8" w:color="auto"/>
            </w:tcBorders>
          </w:tcPr>
          <w:p>
            <w:pPr>
              <w:spacing w:after="0"/>
              <w:rPr>
                <w:sz w:val="8"/>
                <w:szCs w:val="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43.7%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6"/>
              </w:rPr>
              <w:t>30.6%</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8"/>
              </w:rPr>
              <w:t>6.0%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44.2%</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29.0%</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5.4%</w:t>
            </w:r>
          </w:p>
        </w:tc>
        <w:tc>
          <w:tcPr>
            <w:tcW w:w="0" w:type="dxa"/>
            <w:vAlign w:val="bottom"/>
          </w:tcPr>
          <w:p>
            <w:pPr>
              <w:spacing w:after="0"/>
              <w:rPr>
                <w:sz w:val="1"/>
                <w:szCs w:val="1"/>
                <w:color w:val="auto"/>
              </w:rPr>
            </w:pPr>
          </w:p>
        </w:tc>
      </w:tr>
      <w:tr>
        <w:trPr>
          <w:trHeight w:val="148"/>
        </w:trPr>
        <w:tc>
          <w:tcPr>
            <w:tcW w:w="16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60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8"/>
                <w:szCs w:val="8"/>
                <w:b w:val="1"/>
                <w:bCs w:val="1"/>
                <w:color w:val="FFFFFF"/>
              </w:rPr>
              <w:t>Interest Income / Funding</w:t>
            </w:r>
          </w:p>
        </w:tc>
        <w:tc>
          <w:tcPr>
            <w:tcW w:w="58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Average</w:t>
            </w:r>
          </w:p>
        </w:tc>
        <w:tc>
          <w:tcPr>
            <w:tcW w:w="620" w:type="dxa"/>
            <w:vAlign w:val="bottom"/>
            <w:shd w:val="clear" w:color="auto" w:fill="33CCCC"/>
          </w:tcPr>
          <w:p>
            <w:pPr>
              <w:ind w:left="180"/>
              <w:spacing w:after="0"/>
              <w:rPr>
                <w:sz w:val="20"/>
                <w:szCs w:val="20"/>
                <w:color w:val="auto"/>
              </w:rPr>
            </w:pPr>
            <w:r>
              <w:rPr>
                <w:rFonts w:ascii="Arial" w:cs="Arial" w:eastAsia="Arial" w:hAnsi="Arial"/>
                <w:sz w:val="8"/>
                <w:szCs w:val="8"/>
                <w:b w:val="1"/>
                <w:bCs w:val="1"/>
                <w:color w:val="FFFFFF"/>
              </w:rPr>
              <w:t>3Q24</w:t>
            </w:r>
          </w:p>
        </w:tc>
        <w:tc>
          <w:tcPr>
            <w:tcW w:w="560" w:type="dxa"/>
            <w:vAlign w:val="bottom"/>
            <w:tcBorders>
              <w:right w:val="single" w:sz="8" w:color="auto"/>
            </w:tcBorders>
            <w:shd w:val="clear" w:color="auto" w:fill="33CCCC"/>
          </w:tcPr>
          <w:p>
            <w:pPr>
              <w:spacing w:after="0"/>
              <w:rPr>
                <w:sz w:val="8"/>
                <w:szCs w:val="8"/>
                <w:color w:val="auto"/>
              </w:rPr>
            </w:pPr>
          </w:p>
        </w:tc>
        <w:tc>
          <w:tcPr>
            <w:tcW w:w="60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Average</w:t>
            </w:r>
          </w:p>
        </w:tc>
        <w:tc>
          <w:tcPr>
            <w:tcW w:w="620" w:type="dxa"/>
            <w:vAlign w:val="bottom"/>
            <w:shd w:val="clear" w:color="auto" w:fill="33CCCC"/>
          </w:tcPr>
          <w:p>
            <w:pPr>
              <w:ind w:left="160"/>
              <w:spacing w:after="0"/>
              <w:rPr>
                <w:sz w:val="20"/>
                <w:szCs w:val="20"/>
                <w:color w:val="auto"/>
              </w:rPr>
            </w:pPr>
            <w:r>
              <w:rPr>
                <w:rFonts w:ascii="Arial" w:cs="Arial" w:eastAsia="Arial" w:hAnsi="Arial"/>
                <w:sz w:val="8"/>
                <w:szCs w:val="8"/>
                <w:b w:val="1"/>
                <w:bCs w:val="1"/>
                <w:color w:val="FFFFFF"/>
              </w:rPr>
              <w:t>2Q25</w:t>
            </w:r>
          </w:p>
        </w:tc>
        <w:tc>
          <w:tcPr>
            <w:tcW w:w="540" w:type="dxa"/>
            <w:vAlign w:val="bottom"/>
            <w:tcBorders>
              <w:right w:val="single" w:sz="8" w:color="auto"/>
            </w:tcBorders>
            <w:shd w:val="clear" w:color="auto" w:fill="33CCCC"/>
          </w:tcPr>
          <w:p>
            <w:pPr>
              <w:spacing w:after="0"/>
              <w:rPr>
                <w:sz w:val="8"/>
                <w:szCs w:val="8"/>
                <w:color w:val="auto"/>
              </w:rPr>
            </w:pPr>
          </w:p>
        </w:tc>
        <w:tc>
          <w:tcPr>
            <w:tcW w:w="60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Average</w:t>
            </w:r>
          </w:p>
        </w:tc>
        <w:tc>
          <w:tcPr>
            <w:tcW w:w="620" w:type="dxa"/>
            <w:vAlign w:val="bottom"/>
            <w:shd w:val="clear" w:color="auto" w:fill="33CCCC"/>
          </w:tcPr>
          <w:p>
            <w:pPr>
              <w:ind w:left="180"/>
              <w:spacing w:after="0"/>
              <w:rPr>
                <w:sz w:val="20"/>
                <w:szCs w:val="20"/>
                <w:color w:val="auto"/>
              </w:rPr>
            </w:pPr>
            <w:r>
              <w:rPr>
                <w:rFonts w:ascii="Arial" w:cs="Arial" w:eastAsia="Arial" w:hAnsi="Arial"/>
                <w:sz w:val="8"/>
                <w:szCs w:val="8"/>
                <w:b w:val="1"/>
                <w:bCs w:val="1"/>
                <w:color w:val="FFFFFF"/>
              </w:rPr>
              <w:t>3Q25</w:t>
            </w:r>
          </w:p>
        </w:tc>
        <w:tc>
          <w:tcPr>
            <w:tcW w:w="560" w:type="dxa"/>
            <w:vAlign w:val="bottom"/>
            <w:tcBorders>
              <w:right w:val="single" w:sz="8" w:color="auto"/>
            </w:tcBorders>
            <w:shd w:val="clear" w:color="auto" w:fill="33CCCC"/>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58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Average</w:t>
            </w:r>
          </w:p>
        </w:tc>
        <w:tc>
          <w:tcPr>
            <w:tcW w:w="620" w:type="dxa"/>
            <w:vAlign w:val="bottom"/>
            <w:shd w:val="clear" w:color="auto" w:fill="33CCCC"/>
          </w:tcPr>
          <w:p>
            <w:pPr>
              <w:ind w:left="140"/>
              <w:spacing w:after="0"/>
              <w:rPr>
                <w:sz w:val="20"/>
                <w:szCs w:val="20"/>
                <w:color w:val="auto"/>
              </w:rPr>
            </w:pPr>
            <w:r>
              <w:rPr>
                <w:rFonts w:ascii="Arial" w:cs="Arial" w:eastAsia="Arial" w:hAnsi="Arial"/>
                <w:sz w:val="8"/>
                <w:szCs w:val="8"/>
                <w:b w:val="1"/>
                <w:bCs w:val="1"/>
                <w:color w:val="FFFFFF"/>
              </w:rPr>
              <w:t>Sep 24</w:t>
            </w:r>
          </w:p>
        </w:tc>
        <w:tc>
          <w:tcPr>
            <w:tcW w:w="560" w:type="dxa"/>
            <w:vAlign w:val="bottom"/>
            <w:tcBorders>
              <w:right w:val="single" w:sz="8" w:color="auto"/>
            </w:tcBorders>
            <w:shd w:val="clear" w:color="auto" w:fill="33CCCC"/>
          </w:tcPr>
          <w:p>
            <w:pPr>
              <w:spacing w:after="0"/>
              <w:rPr>
                <w:sz w:val="8"/>
                <w:szCs w:val="8"/>
                <w:color w:val="auto"/>
              </w:rPr>
            </w:pPr>
          </w:p>
        </w:tc>
        <w:tc>
          <w:tcPr>
            <w:tcW w:w="60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Average</w:t>
            </w:r>
          </w:p>
        </w:tc>
        <w:tc>
          <w:tcPr>
            <w:tcW w:w="620" w:type="dxa"/>
            <w:vAlign w:val="bottom"/>
            <w:shd w:val="clear" w:color="auto" w:fill="33CCCC"/>
          </w:tcPr>
          <w:p>
            <w:pPr>
              <w:ind w:left="160"/>
              <w:spacing w:after="0"/>
              <w:rPr>
                <w:sz w:val="20"/>
                <w:szCs w:val="20"/>
                <w:color w:val="auto"/>
              </w:rPr>
            </w:pPr>
            <w:r>
              <w:rPr>
                <w:rFonts w:ascii="Arial" w:cs="Arial" w:eastAsia="Arial" w:hAnsi="Arial"/>
                <w:sz w:val="8"/>
                <w:szCs w:val="8"/>
                <w:b w:val="1"/>
                <w:bCs w:val="1"/>
                <w:color w:val="FFFFFF"/>
              </w:rPr>
              <w:t>Sep 25</w:t>
            </w:r>
          </w:p>
        </w:tc>
        <w:tc>
          <w:tcPr>
            <w:tcW w:w="580" w:type="dxa"/>
            <w:vAlign w:val="bottom"/>
            <w:tcBorders>
              <w:right w:val="single" w:sz="8" w:color="auto"/>
            </w:tcBorders>
            <w:shd w:val="clear" w:color="auto" w:fill="33CCC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vMerge w:val="restart"/>
            <w:shd w:val="clear" w:color="auto" w:fill="33CCCC"/>
          </w:tcPr>
          <w:p>
            <w:pPr>
              <w:ind w:left="20"/>
              <w:spacing w:after="0"/>
              <w:rPr>
                <w:sz w:val="20"/>
                <w:szCs w:val="20"/>
                <w:color w:val="auto"/>
              </w:rPr>
            </w:pPr>
            <w:r>
              <w:rPr>
                <w:rFonts w:ascii="Arial" w:cs="Arial" w:eastAsia="Arial" w:hAnsi="Arial"/>
                <w:sz w:val="8"/>
                <w:szCs w:val="8"/>
                <w:b w:val="1"/>
                <w:bCs w:val="1"/>
                <w:color w:val="FFFFFF"/>
              </w:rPr>
              <w:t>S/ millions</w:t>
            </w:r>
          </w:p>
        </w:tc>
        <w:tc>
          <w:tcPr>
            <w:tcW w:w="580" w:type="dxa"/>
            <w:vAlign w:val="bottom"/>
            <w:vMerge w:val="continue"/>
            <w:shd w:val="clear" w:color="auto" w:fill="33CCCC"/>
          </w:tcPr>
          <w:p>
            <w:pPr>
              <w:spacing w:after="0"/>
              <w:rPr>
                <w:sz w:val="9"/>
                <w:szCs w:val="9"/>
                <w:color w:val="auto"/>
              </w:rPr>
            </w:pPr>
          </w:p>
        </w:tc>
        <w:tc>
          <w:tcPr>
            <w:tcW w:w="62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Expense</w:t>
            </w:r>
          </w:p>
        </w:tc>
        <w:tc>
          <w:tcPr>
            <w:tcW w:w="560" w:type="dxa"/>
            <w:vAlign w:val="bottom"/>
            <w:tcBorders>
              <w:right w:val="single" w:sz="8" w:color="auto"/>
            </w:tcBorders>
            <w:vMerge w:val="restart"/>
            <w:shd w:val="clear" w:color="auto" w:fill="33CCCC"/>
          </w:tcPr>
          <w:p>
            <w:pPr>
              <w:ind w:left="140"/>
              <w:spacing w:after="0"/>
              <w:rPr>
                <w:sz w:val="20"/>
                <w:szCs w:val="20"/>
                <w:color w:val="auto"/>
              </w:rPr>
            </w:pPr>
            <w:r>
              <w:rPr>
                <w:rFonts w:ascii="Arial" w:cs="Arial" w:eastAsia="Arial" w:hAnsi="Arial"/>
                <w:sz w:val="8"/>
                <w:szCs w:val="8"/>
                <w:b w:val="1"/>
                <w:bCs w:val="1"/>
                <w:color w:val="FFFFFF"/>
              </w:rPr>
              <w:t>Yields</w:t>
            </w:r>
          </w:p>
        </w:tc>
        <w:tc>
          <w:tcPr>
            <w:tcW w:w="600" w:type="dxa"/>
            <w:vAlign w:val="bottom"/>
            <w:vMerge w:val="continue"/>
            <w:shd w:val="clear" w:color="auto" w:fill="33CCCC"/>
          </w:tcPr>
          <w:p>
            <w:pPr>
              <w:spacing w:after="0"/>
              <w:rPr>
                <w:sz w:val="9"/>
                <w:szCs w:val="9"/>
                <w:color w:val="auto"/>
              </w:rPr>
            </w:pPr>
          </w:p>
        </w:tc>
        <w:tc>
          <w:tcPr>
            <w:tcW w:w="62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Expense</w:t>
            </w:r>
          </w:p>
        </w:tc>
        <w:tc>
          <w:tcPr>
            <w:tcW w:w="540" w:type="dxa"/>
            <w:vAlign w:val="bottom"/>
            <w:tcBorders>
              <w:right w:val="single" w:sz="8" w:color="auto"/>
            </w:tcBorders>
            <w:vMerge w:val="restart"/>
            <w:shd w:val="clear" w:color="auto" w:fill="33CCCC"/>
          </w:tcPr>
          <w:p>
            <w:pPr>
              <w:ind w:left="140"/>
              <w:spacing w:after="0"/>
              <w:rPr>
                <w:sz w:val="20"/>
                <w:szCs w:val="20"/>
                <w:color w:val="auto"/>
              </w:rPr>
            </w:pPr>
            <w:r>
              <w:rPr>
                <w:rFonts w:ascii="Arial" w:cs="Arial" w:eastAsia="Arial" w:hAnsi="Arial"/>
                <w:sz w:val="8"/>
                <w:szCs w:val="8"/>
                <w:b w:val="1"/>
                <w:bCs w:val="1"/>
                <w:color w:val="FFFFFF"/>
              </w:rPr>
              <w:t>Yields</w:t>
            </w:r>
          </w:p>
        </w:tc>
        <w:tc>
          <w:tcPr>
            <w:tcW w:w="600" w:type="dxa"/>
            <w:vAlign w:val="bottom"/>
            <w:vMerge w:val="continue"/>
            <w:shd w:val="clear" w:color="auto" w:fill="33CCCC"/>
          </w:tcPr>
          <w:p>
            <w:pPr>
              <w:spacing w:after="0"/>
              <w:rPr>
                <w:sz w:val="9"/>
                <w:szCs w:val="9"/>
                <w:color w:val="auto"/>
              </w:rPr>
            </w:pPr>
          </w:p>
        </w:tc>
        <w:tc>
          <w:tcPr>
            <w:tcW w:w="62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Expense</w:t>
            </w:r>
          </w:p>
        </w:tc>
        <w:tc>
          <w:tcPr>
            <w:tcW w:w="560" w:type="dxa"/>
            <w:vAlign w:val="bottom"/>
            <w:tcBorders>
              <w:right w:val="single" w:sz="8" w:color="auto"/>
            </w:tcBorders>
            <w:vMerge w:val="restart"/>
            <w:shd w:val="clear" w:color="auto" w:fill="33CCCC"/>
          </w:tcPr>
          <w:p>
            <w:pPr>
              <w:ind w:left="140"/>
              <w:spacing w:after="0"/>
              <w:rPr>
                <w:sz w:val="20"/>
                <w:szCs w:val="20"/>
                <w:color w:val="auto"/>
              </w:rPr>
            </w:pPr>
            <w:r>
              <w:rPr>
                <w:rFonts w:ascii="Arial" w:cs="Arial" w:eastAsia="Arial" w:hAnsi="Arial"/>
                <w:sz w:val="8"/>
                <w:szCs w:val="8"/>
                <w:b w:val="1"/>
                <w:bCs w:val="1"/>
                <w:color w:val="FFFFFF"/>
              </w:rPr>
              <w:t>Yields</w:t>
            </w:r>
          </w:p>
        </w:tc>
        <w:tc>
          <w:tcPr>
            <w:tcW w:w="120" w:type="dxa"/>
            <w:vAlign w:val="bottom"/>
            <w:tcBorders>
              <w:right w:val="single" w:sz="8" w:color="auto"/>
            </w:tcBorders>
          </w:tcPr>
          <w:p>
            <w:pPr>
              <w:spacing w:after="0"/>
              <w:rPr>
                <w:sz w:val="9"/>
                <w:szCs w:val="9"/>
                <w:color w:val="auto"/>
              </w:rPr>
            </w:pPr>
          </w:p>
        </w:tc>
        <w:tc>
          <w:tcPr>
            <w:tcW w:w="580" w:type="dxa"/>
            <w:vAlign w:val="bottom"/>
            <w:vMerge w:val="continue"/>
            <w:shd w:val="clear" w:color="auto" w:fill="33CCCC"/>
          </w:tcPr>
          <w:p>
            <w:pPr>
              <w:spacing w:after="0"/>
              <w:rPr>
                <w:sz w:val="9"/>
                <w:szCs w:val="9"/>
                <w:color w:val="auto"/>
              </w:rPr>
            </w:pPr>
          </w:p>
        </w:tc>
        <w:tc>
          <w:tcPr>
            <w:tcW w:w="62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Expense</w:t>
            </w:r>
          </w:p>
        </w:tc>
        <w:tc>
          <w:tcPr>
            <w:tcW w:w="560" w:type="dxa"/>
            <w:vAlign w:val="bottom"/>
            <w:tcBorders>
              <w:right w:val="single" w:sz="8" w:color="auto"/>
            </w:tcBorders>
            <w:vMerge w:val="restart"/>
            <w:shd w:val="clear" w:color="auto" w:fill="33CCCC"/>
          </w:tcPr>
          <w:p>
            <w:pPr>
              <w:ind w:left="140"/>
              <w:spacing w:after="0"/>
              <w:rPr>
                <w:sz w:val="20"/>
                <w:szCs w:val="20"/>
                <w:color w:val="auto"/>
              </w:rPr>
            </w:pPr>
            <w:r>
              <w:rPr>
                <w:rFonts w:ascii="Arial" w:cs="Arial" w:eastAsia="Arial" w:hAnsi="Arial"/>
                <w:sz w:val="8"/>
                <w:szCs w:val="8"/>
                <w:b w:val="1"/>
                <w:bCs w:val="1"/>
                <w:color w:val="FFFFFF"/>
              </w:rPr>
              <w:t>Yields</w:t>
            </w:r>
          </w:p>
        </w:tc>
        <w:tc>
          <w:tcPr>
            <w:tcW w:w="600" w:type="dxa"/>
            <w:vAlign w:val="bottom"/>
            <w:vMerge w:val="continue"/>
            <w:shd w:val="clear" w:color="auto" w:fill="33CCCC"/>
          </w:tcPr>
          <w:p>
            <w:pPr>
              <w:spacing w:after="0"/>
              <w:rPr>
                <w:sz w:val="9"/>
                <w:szCs w:val="9"/>
                <w:color w:val="auto"/>
              </w:rPr>
            </w:pPr>
          </w:p>
        </w:tc>
        <w:tc>
          <w:tcPr>
            <w:tcW w:w="620" w:type="dxa"/>
            <w:vAlign w:val="bottom"/>
            <w:vMerge w:val="restart"/>
            <w:shd w:val="clear" w:color="auto" w:fill="33CCCC"/>
          </w:tcPr>
          <w:p>
            <w:pPr>
              <w:jc w:val="center"/>
              <w:spacing w:after="0"/>
              <w:rPr>
                <w:sz w:val="20"/>
                <w:szCs w:val="20"/>
                <w:color w:val="auto"/>
              </w:rPr>
            </w:pPr>
            <w:r>
              <w:rPr>
                <w:rFonts w:ascii="Arial" w:cs="Arial" w:eastAsia="Arial" w:hAnsi="Arial"/>
                <w:sz w:val="8"/>
                <w:szCs w:val="8"/>
                <w:b w:val="1"/>
                <w:bCs w:val="1"/>
                <w:color w:val="FFFFFF"/>
              </w:rPr>
              <w:t>Expense</w:t>
            </w:r>
          </w:p>
        </w:tc>
        <w:tc>
          <w:tcPr>
            <w:tcW w:w="580" w:type="dxa"/>
            <w:vAlign w:val="bottom"/>
            <w:tcBorders>
              <w:right w:val="single" w:sz="8" w:color="auto"/>
            </w:tcBorders>
            <w:vMerge w:val="restart"/>
            <w:shd w:val="clear" w:color="auto" w:fill="33CCCC"/>
          </w:tcPr>
          <w:p>
            <w:pPr>
              <w:ind w:left="160"/>
              <w:spacing w:after="0"/>
              <w:rPr>
                <w:sz w:val="20"/>
                <w:szCs w:val="20"/>
                <w:color w:val="auto"/>
              </w:rPr>
            </w:pPr>
            <w:r>
              <w:rPr>
                <w:rFonts w:ascii="Arial" w:cs="Arial" w:eastAsia="Arial" w:hAnsi="Arial"/>
                <w:sz w:val="8"/>
                <w:szCs w:val="8"/>
                <w:b w:val="1"/>
                <w:bCs w:val="1"/>
                <w:color w:val="FFFFFF"/>
              </w:rPr>
              <w:t>Yields</w:t>
            </w:r>
          </w:p>
        </w:tc>
        <w:tc>
          <w:tcPr>
            <w:tcW w:w="0" w:type="dxa"/>
            <w:vAlign w:val="bottom"/>
          </w:tcPr>
          <w:p>
            <w:pPr>
              <w:spacing w:after="0"/>
              <w:rPr>
                <w:sz w:val="1"/>
                <w:szCs w:val="1"/>
                <w:color w:val="auto"/>
              </w:rPr>
            </w:pPr>
          </w:p>
        </w:tc>
      </w:tr>
      <w:tr>
        <w:trPr>
          <w:trHeight w:val="117"/>
        </w:trPr>
        <w:tc>
          <w:tcPr>
            <w:tcW w:w="1600" w:type="dxa"/>
            <w:vAlign w:val="bottom"/>
            <w:tcBorders>
              <w:left w:val="single" w:sz="8" w:color="auto"/>
              <w:bottom w:val="single" w:sz="8" w:color="33CCCC"/>
              <w:right w:val="single" w:sz="8" w:color="auto"/>
            </w:tcBorders>
            <w:vMerge w:val="continue"/>
            <w:shd w:val="clear" w:color="auto" w:fill="33CCCC"/>
          </w:tcPr>
          <w:p>
            <w:pPr>
              <w:spacing w:after="0"/>
              <w:rPr>
                <w:sz w:val="10"/>
                <w:szCs w:val="10"/>
                <w:color w:val="auto"/>
              </w:rPr>
            </w:pPr>
          </w:p>
        </w:tc>
        <w:tc>
          <w:tcPr>
            <w:tcW w:w="58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Balance</w:t>
            </w:r>
          </w:p>
        </w:tc>
        <w:tc>
          <w:tcPr>
            <w:tcW w:w="620" w:type="dxa"/>
            <w:vAlign w:val="bottom"/>
            <w:tcBorders>
              <w:bottom w:val="single" w:sz="8" w:color="33CCCC"/>
            </w:tcBorders>
            <w:vMerge w:val="continue"/>
            <w:shd w:val="clear" w:color="auto" w:fill="33CCCC"/>
          </w:tcPr>
          <w:p>
            <w:pPr>
              <w:spacing w:after="0"/>
              <w:rPr>
                <w:sz w:val="10"/>
                <w:szCs w:val="10"/>
                <w:color w:val="auto"/>
              </w:rPr>
            </w:pPr>
          </w:p>
        </w:tc>
        <w:tc>
          <w:tcPr>
            <w:tcW w:w="56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60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Balance</w:t>
            </w:r>
          </w:p>
        </w:tc>
        <w:tc>
          <w:tcPr>
            <w:tcW w:w="620" w:type="dxa"/>
            <w:vAlign w:val="bottom"/>
            <w:tcBorders>
              <w:bottom w:val="single" w:sz="8" w:color="33CCCC"/>
            </w:tcBorders>
            <w:vMerge w:val="continue"/>
            <w:shd w:val="clear" w:color="auto" w:fill="33CCCC"/>
          </w:tcPr>
          <w:p>
            <w:pPr>
              <w:spacing w:after="0"/>
              <w:rPr>
                <w:sz w:val="10"/>
                <w:szCs w:val="10"/>
                <w:color w:val="auto"/>
              </w:rPr>
            </w:pPr>
          </w:p>
        </w:tc>
        <w:tc>
          <w:tcPr>
            <w:tcW w:w="54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60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Balance</w:t>
            </w:r>
          </w:p>
        </w:tc>
        <w:tc>
          <w:tcPr>
            <w:tcW w:w="620" w:type="dxa"/>
            <w:vAlign w:val="bottom"/>
            <w:tcBorders>
              <w:bottom w:val="single" w:sz="8" w:color="33CCCC"/>
            </w:tcBorders>
            <w:vMerge w:val="continue"/>
            <w:shd w:val="clear" w:color="auto" w:fill="33CCCC"/>
          </w:tcPr>
          <w:p>
            <w:pPr>
              <w:spacing w:after="0"/>
              <w:rPr>
                <w:sz w:val="10"/>
                <w:szCs w:val="10"/>
                <w:color w:val="auto"/>
              </w:rPr>
            </w:pPr>
          </w:p>
        </w:tc>
        <w:tc>
          <w:tcPr>
            <w:tcW w:w="56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8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Balance</w:t>
            </w:r>
          </w:p>
        </w:tc>
        <w:tc>
          <w:tcPr>
            <w:tcW w:w="620" w:type="dxa"/>
            <w:vAlign w:val="bottom"/>
            <w:tcBorders>
              <w:bottom w:val="single" w:sz="8" w:color="33CCCC"/>
            </w:tcBorders>
            <w:vMerge w:val="continue"/>
            <w:shd w:val="clear" w:color="auto" w:fill="33CCCC"/>
          </w:tcPr>
          <w:p>
            <w:pPr>
              <w:spacing w:after="0"/>
              <w:rPr>
                <w:sz w:val="10"/>
                <w:szCs w:val="10"/>
                <w:color w:val="auto"/>
              </w:rPr>
            </w:pPr>
          </w:p>
        </w:tc>
        <w:tc>
          <w:tcPr>
            <w:tcW w:w="56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60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Balance</w:t>
            </w:r>
          </w:p>
        </w:tc>
        <w:tc>
          <w:tcPr>
            <w:tcW w:w="620" w:type="dxa"/>
            <w:vAlign w:val="bottom"/>
            <w:tcBorders>
              <w:bottom w:val="single" w:sz="8" w:color="33CCCC"/>
            </w:tcBorders>
            <w:vMerge w:val="continue"/>
            <w:shd w:val="clear" w:color="auto" w:fill="33CCCC"/>
          </w:tcPr>
          <w:p>
            <w:pPr>
              <w:spacing w:after="0"/>
              <w:rPr>
                <w:sz w:val="10"/>
                <w:szCs w:val="10"/>
                <w:color w:val="auto"/>
              </w:rPr>
            </w:pPr>
          </w:p>
        </w:tc>
        <w:tc>
          <w:tcPr>
            <w:tcW w:w="58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6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Total (LC + FC)</w:t>
            </w:r>
          </w:p>
        </w:tc>
        <w:tc>
          <w:tcPr>
            <w:tcW w:w="5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60" w:type="dxa"/>
            <w:vAlign w:val="bottom"/>
            <w:tcBorders>
              <w:top w:val="single" w:sz="8" w:color="auto"/>
              <w:right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40" w:type="dxa"/>
            <w:vAlign w:val="bottom"/>
            <w:tcBorders>
              <w:top w:val="single" w:sz="8" w:color="auto"/>
              <w:right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60" w:type="dxa"/>
            <w:vAlign w:val="bottom"/>
            <w:tcBorders>
              <w:top w:val="single" w:sz="8" w:color="auto"/>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60" w:type="dxa"/>
            <w:vAlign w:val="bottom"/>
            <w:tcBorders>
              <w:top w:val="single" w:sz="8" w:color="auto"/>
              <w:right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80" w:type="dxa"/>
            <w:vAlign w:val="bottom"/>
            <w:tcBorders>
              <w:top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Deposits</w:t>
            </w:r>
          </w:p>
        </w:tc>
        <w:tc>
          <w:tcPr>
            <w:tcW w:w="580" w:type="dxa"/>
            <w:vAlign w:val="bottom"/>
          </w:tcPr>
          <w:p>
            <w:pPr>
              <w:jc w:val="center"/>
              <w:spacing w:after="0"/>
              <w:rPr>
                <w:sz w:val="20"/>
                <w:szCs w:val="20"/>
                <w:color w:val="auto"/>
              </w:rPr>
            </w:pPr>
            <w:r>
              <w:rPr>
                <w:rFonts w:ascii="Arial" w:cs="Arial" w:eastAsia="Arial" w:hAnsi="Arial"/>
                <w:sz w:val="8"/>
                <w:szCs w:val="8"/>
                <w:color w:val="auto"/>
              </w:rPr>
              <w:t>153,203</w:t>
            </w:r>
          </w:p>
        </w:tc>
        <w:tc>
          <w:tcPr>
            <w:tcW w:w="620" w:type="dxa"/>
            <w:vAlign w:val="bottom"/>
          </w:tcPr>
          <w:p>
            <w:pPr>
              <w:jc w:val="center"/>
              <w:spacing w:after="0"/>
              <w:rPr>
                <w:sz w:val="20"/>
                <w:szCs w:val="20"/>
                <w:color w:val="auto"/>
              </w:rPr>
            </w:pPr>
            <w:r>
              <w:rPr>
                <w:rFonts w:ascii="Arial" w:cs="Arial" w:eastAsia="Arial" w:hAnsi="Arial"/>
                <w:sz w:val="8"/>
                <w:szCs w:val="8"/>
                <w:color w:val="auto"/>
              </w:rPr>
              <w:t>678</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1.8%</w:t>
            </w:r>
          </w:p>
        </w:tc>
        <w:tc>
          <w:tcPr>
            <w:tcW w:w="600" w:type="dxa"/>
            <w:vAlign w:val="bottom"/>
          </w:tcPr>
          <w:p>
            <w:pPr>
              <w:jc w:val="center"/>
              <w:spacing w:after="0"/>
              <w:rPr>
                <w:sz w:val="20"/>
                <w:szCs w:val="20"/>
                <w:color w:val="auto"/>
              </w:rPr>
            </w:pPr>
            <w:r>
              <w:rPr>
                <w:rFonts w:ascii="Arial" w:cs="Arial" w:eastAsia="Arial" w:hAnsi="Arial"/>
                <w:sz w:val="8"/>
                <w:szCs w:val="8"/>
                <w:color w:val="auto"/>
              </w:rPr>
              <w:t>156,171</w:t>
            </w:r>
          </w:p>
        </w:tc>
        <w:tc>
          <w:tcPr>
            <w:tcW w:w="620" w:type="dxa"/>
            <w:vAlign w:val="bottom"/>
          </w:tcPr>
          <w:p>
            <w:pPr>
              <w:jc w:val="center"/>
              <w:spacing w:after="0"/>
              <w:rPr>
                <w:sz w:val="20"/>
                <w:szCs w:val="20"/>
                <w:color w:val="auto"/>
              </w:rPr>
            </w:pPr>
            <w:r>
              <w:rPr>
                <w:rFonts w:ascii="Arial" w:cs="Arial" w:eastAsia="Arial" w:hAnsi="Arial"/>
                <w:sz w:val="8"/>
                <w:szCs w:val="8"/>
                <w:color w:val="auto"/>
              </w:rPr>
              <w:t>541</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1.4%</w:t>
            </w:r>
          </w:p>
        </w:tc>
        <w:tc>
          <w:tcPr>
            <w:tcW w:w="600" w:type="dxa"/>
            <w:vAlign w:val="bottom"/>
          </w:tcPr>
          <w:p>
            <w:pPr>
              <w:jc w:val="center"/>
              <w:spacing w:after="0"/>
              <w:rPr>
                <w:sz w:val="20"/>
                <w:szCs w:val="20"/>
                <w:color w:val="auto"/>
              </w:rPr>
            </w:pPr>
            <w:r>
              <w:rPr>
                <w:rFonts w:ascii="Arial" w:cs="Arial" w:eastAsia="Arial" w:hAnsi="Arial"/>
                <w:sz w:val="8"/>
                <w:szCs w:val="8"/>
                <w:color w:val="auto"/>
              </w:rPr>
              <w:t>156,577</w:t>
            </w:r>
          </w:p>
        </w:tc>
        <w:tc>
          <w:tcPr>
            <w:tcW w:w="620" w:type="dxa"/>
            <w:vAlign w:val="bottom"/>
          </w:tcPr>
          <w:p>
            <w:pPr>
              <w:jc w:val="center"/>
              <w:spacing w:after="0"/>
              <w:rPr>
                <w:sz w:val="20"/>
                <w:szCs w:val="20"/>
                <w:color w:val="auto"/>
              </w:rPr>
            </w:pPr>
            <w:r>
              <w:rPr>
                <w:rFonts w:ascii="Arial" w:cs="Arial" w:eastAsia="Arial" w:hAnsi="Arial"/>
                <w:sz w:val="8"/>
                <w:szCs w:val="8"/>
                <w:color w:val="auto"/>
              </w:rPr>
              <w:t>565</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1.4%</w:t>
            </w:r>
          </w:p>
        </w:tc>
        <w:tc>
          <w:tcPr>
            <w:tcW w:w="120" w:type="dxa"/>
            <w:vAlign w:val="bottom"/>
            <w:tcBorders>
              <w:right w:val="single" w:sz="8" w:color="auto"/>
            </w:tcBorders>
          </w:tcPr>
          <w:p>
            <w:pPr>
              <w:spacing w:after="0"/>
              <w:rPr>
                <w:sz w:val="9"/>
                <w:szCs w:val="9"/>
                <w:color w:val="auto"/>
              </w:rPr>
            </w:pPr>
          </w:p>
        </w:tc>
        <w:tc>
          <w:tcPr>
            <w:tcW w:w="580" w:type="dxa"/>
            <w:vAlign w:val="bottom"/>
          </w:tcPr>
          <w:p>
            <w:pPr>
              <w:jc w:val="center"/>
              <w:spacing w:after="0"/>
              <w:rPr>
                <w:sz w:val="20"/>
                <w:szCs w:val="20"/>
                <w:color w:val="auto"/>
              </w:rPr>
            </w:pPr>
            <w:r>
              <w:rPr>
                <w:rFonts w:ascii="Arial" w:cs="Arial" w:eastAsia="Arial" w:hAnsi="Arial"/>
                <w:sz w:val="8"/>
                <w:szCs w:val="8"/>
                <w:color w:val="auto"/>
              </w:rPr>
              <w:t>151,070</w:t>
            </w:r>
          </w:p>
        </w:tc>
        <w:tc>
          <w:tcPr>
            <w:tcW w:w="620" w:type="dxa"/>
            <w:vAlign w:val="bottom"/>
          </w:tcPr>
          <w:p>
            <w:pPr>
              <w:jc w:val="center"/>
              <w:spacing w:after="0"/>
              <w:rPr>
                <w:sz w:val="20"/>
                <w:szCs w:val="20"/>
                <w:color w:val="auto"/>
              </w:rPr>
            </w:pPr>
            <w:r>
              <w:rPr>
                <w:rFonts w:ascii="Arial" w:cs="Arial" w:eastAsia="Arial" w:hAnsi="Arial"/>
                <w:sz w:val="8"/>
                <w:szCs w:val="8"/>
                <w:color w:val="auto"/>
              </w:rPr>
              <w:t>2,195</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1.9%</w:t>
            </w:r>
          </w:p>
        </w:tc>
        <w:tc>
          <w:tcPr>
            <w:tcW w:w="600" w:type="dxa"/>
            <w:vAlign w:val="bottom"/>
          </w:tcPr>
          <w:p>
            <w:pPr>
              <w:jc w:val="center"/>
              <w:spacing w:after="0"/>
              <w:rPr>
                <w:sz w:val="20"/>
                <w:szCs w:val="20"/>
                <w:color w:val="auto"/>
              </w:rPr>
            </w:pPr>
            <w:r>
              <w:rPr>
                <w:rFonts w:ascii="Arial" w:cs="Arial" w:eastAsia="Arial" w:hAnsi="Arial"/>
                <w:sz w:val="8"/>
                <w:szCs w:val="8"/>
                <w:color w:val="auto"/>
              </w:rPr>
              <w:t>160,136</w:t>
            </w:r>
          </w:p>
        </w:tc>
        <w:tc>
          <w:tcPr>
            <w:tcW w:w="620" w:type="dxa"/>
            <w:vAlign w:val="bottom"/>
          </w:tcPr>
          <w:p>
            <w:pPr>
              <w:jc w:val="center"/>
              <w:spacing w:after="0"/>
              <w:rPr>
                <w:sz w:val="20"/>
                <w:szCs w:val="20"/>
                <w:color w:val="auto"/>
              </w:rPr>
            </w:pPr>
            <w:r>
              <w:rPr>
                <w:rFonts w:ascii="Arial" w:cs="Arial" w:eastAsia="Arial" w:hAnsi="Arial"/>
                <w:sz w:val="8"/>
                <w:szCs w:val="8"/>
                <w:color w:val="auto"/>
              </w:rPr>
              <w:t>1,726</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1.4%</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BCRP + Due to Banks</w:t>
            </w:r>
          </w:p>
        </w:tc>
        <w:tc>
          <w:tcPr>
            <w:tcW w:w="580" w:type="dxa"/>
            <w:vAlign w:val="bottom"/>
          </w:tcPr>
          <w:p>
            <w:pPr>
              <w:jc w:val="center"/>
              <w:spacing w:after="0"/>
              <w:rPr>
                <w:sz w:val="20"/>
                <w:szCs w:val="20"/>
                <w:color w:val="auto"/>
              </w:rPr>
            </w:pPr>
            <w:r>
              <w:rPr>
                <w:rFonts w:ascii="Arial" w:cs="Arial" w:eastAsia="Arial" w:hAnsi="Arial"/>
                <w:sz w:val="8"/>
                <w:szCs w:val="8"/>
                <w:color w:val="auto"/>
              </w:rPr>
              <w:t>17,828</w:t>
            </w:r>
          </w:p>
        </w:tc>
        <w:tc>
          <w:tcPr>
            <w:tcW w:w="620" w:type="dxa"/>
            <w:vAlign w:val="bottom"/>
          </w:tcPr>
          <w:p>
            <w:pPr>
              <w:jc w:val="center"/>
              <w:spacing w:after="0"/>
              <w:rPr>
                <w:sz w:val="20"/>
                <w:szCs w:val="20"/>
                <w:color w:val="auto"/>
              </w:rPr>
            </w:pPr>
            <w:r>
              <w:rPr>
                <w:rFonts w:ascii="Arial" w:cs="Arial" w:eastAsia="Arial" w:hAnsi="Arial"/>
                <w:sz w:val="8"/>
                <w:szCs w:val="8"/>
                <w:color w:val="auto"/>
              </w:rPr>
              <w:t>262</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5.9%</w:t>
            </w:r>
          </w:p>
        </w:tc>
        <w:tc>
          <w:tcPr>
            <w:tcW w:w="600" w:type="dxa"/>
            <w:vAlign w:val="bottom"/>
          </w:tcPr>
          <w:p>
            <w:pPr>
              <w:jc w:val="center"/>
              <w:spacing w:after="0"/>
              <w:rPr>
                <w:sz w:val="20"/>
                <w:szCs w:val="20"/>
                <w:color w:val="auto"/>
              </w:rPr>
            </w:pPr>
            <w:r>
              <w:rPr>
                <w:rFonts w:ascii="Arial" w:cs="Arial" w:eastAsia="Arial" w:hAnsi="Arial"/>
                <w:sz w:val="8"/>
                <w:szCs w:val="8"/>
                <w:color w:val="auto"/>
              </w:rPr>
              <w:t>17,107</w:t>
            </w:r>
          </w:p>
        </w:tc>
        <w:tc>
          <w:tcPr>
            <w:tcW w:w="620" w:type="dxa"/>
            <w:vAlign w:val="bottom"/>
          </w:tcPr>
          <w:p>
            <w:pPr>
              <w:jc w:val="center"/>
              <w:spacing w:after="0"/>
              <w:rPr>
                <w:sz w:val="20"/>
                <w:szCs w:val="20"/>
                <w:color w:val="auto"/>
              </w:rPr>
            </w:pPr>
            <w:r>
              <w:rPr>
                <w:rFonts w:ascii="Arial" w:cs="Arial" w:eastAsia="Arial" w:hAnsi="Arial"/>
                <w:sz w:val="8"/>
                <w:szCs w:val="8"/>
                <w:color w:val="auto"/>
              </w:rPr>
              <w:t>265</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6.2%</w:t>
            </w:r>
          </w:p>
        </w:tc>
        <w:tc>
          <w:tcPr>
            <w:tcW w:w="600" w:type="dxa"/>
            <w:vAlign w:val="bottom"/>
          </w:tcPr>
          <w:p>
            <w:pPr>
              <w:jc w:val="center"/>
              <w:spacing w:after="0"/>
              <w:rPr>
                <w:sz w:val="20"/>
                <w:szCs w:val="20"/>
                <w:color w:val="auto"/>
              </w:rPr>
            </w:pPr>
            <w:r>
              <w:rPr>
                <w:rFonts w:ascii="Arial" w:cs="Arial" w:eastAsia="Arial" w:hAnsi="Arial"/>
                <w:sz w:val="8"/>
                <w:szCs w:val="8"/>
                <w:color w:val="auto"/>
              </w:rPr>
              <w:t>17,067</w:t>
            </w:r>
          </w:p>
        </w:tc>
        <w:tc>
          <w:tcPr>
            <w:tcW w:w="620" w:type="dxa"/>
            <w:vAlign w:val="bottom"/>
          </w:tcPr>
          <w:p>
            <w:pPr>
              <w:jc w:val="center"/>
              <w:spacing w:after="0"/>
              <w:rPr>
                <w:sz w:val="20"/>
                <w:szCs w:val="20"/>
                <w:color w:val="auto"/>
              </w:rPr>
            </w:pPr>
            <w:r>
              <w:rPr>
                <w:rFonts w:ascii="Arial" w:cs="Arial" w:eastAsia="Arial" w:hAnsi="Arial"/>
                <w:sz w:val="8"/>
                <w:szCs w:val="8"/>
                <w:color w:val="auto"/>
              </w:rPr>
              <w:t>253</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5.9%</w:t>
            </w:r>
          </w:p>
        </w:tc>
        <w:tc>
          <w:tcPr>
            <w:tcW w:w="120" w:type="dxa"/>
            <w:vAlign w:val="bottom"/>
            <w:tcBorders>
              <w:right w:val="single" w:sz="8" w:color="auto"/>
            </w:tcBorders>
          </w:tcPr>
          <w:p>
            <w:pPr>
              <w:spacing w:after="0"/>
              <w:rPr>
                <w:sz w:val="9"/>
                <w:szCs w:val="9"/>
                <w:color w:val="auto"/>
              </w:rPr>
            </w:pPr>
          </w:p>
        </w:tc>
        <w:tc>
          <w:tcPr>
            <w:tcW w:w="580" w:type="dxa"/>
            <w:vAlign w:val="bottom"/>
          </w:tcPr>
          <w:p>
            <w:pPr>
              <w:jc w:val="center"/>
              <w:spacing w:after="0"/>
              <w:rPr>
                <w:sz w:val="20"/>
                <w:szCs w:val="20"/>
                <w:color w:val="auto"/>
              </w:rPr>
            </w:pPr>
            <w:r>
              <w:rPr>
                <w:rFonts w:ascii="Arial" w:cs="Arial" w:eastAsia="Arial" w:hAnsi="Arial"/>
                <w:sz w:val="8"/>
                <w:szCs w:val="8"/>
                <w:color w:val="auto"/>
              </w:rPr>
              <w:t>18,617</w:t>
            </w:r>
          </w:p>
        </w:tc>
        <w:tc>
          <w:tcPr>
            <w:tcW w:w="620" w:type="dxa"/>
            <w:vAlign w:val="bottom"/>
          </w:tcPr>
          <w:p>
            <w:pPr>
              <w:jc w:val="center"/>
              <w:spacing w:after="0"/>
              <w:rPr>
                <w:sz w:val="20"/>
                <w:szCs w:val="20"/>
                <w:color w:val="auto"/>
              </w:rPr>
            </w:pPr>
            <w:r>
              <w:rPr>
                <w:rFonts w:ascii="Arial" w:cs="Arial" w:eastAsia="Arial" w:hAnsi="Arial"/>
                <w:sz w:val="8"/>
                <w:szCs w:val="8"/>
                <w:color w:val="auto"/>
              </w:rPr>
              <w:t>794</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5.7%</w:t>
            </w:r>
          </w:p>
        </w:tc>
        <w:tc>
          <w:tcPr>
            <w:tcW w:w="600" w:type="dxa"/>
            <w:vAlign w:val="bottom"/>
          </w:tcPr>
          <w:p>
            <w:pPr>
              <w:jc w:val="center"/>
              <w:spacing w:after="0"/>
              <w:rPr>
                <w:sz w:val="20"/>
                <w:szCs w:val="20"/>
                <w:color w:val="auto"/>
              </w:rPr>
            </w:pPr>
            <w:r>
              <w:rPr>
                <w:rFonts w:ascii="Arial" w:cs="Arial" w:eastAsia="Arial" w:hAnsi="Arial"/>
                <w:sz w:val="8"/>
                <w:szCs w:val="8"/>
                <w:color w:val="auto"/>
              </w:rPr>
              <w:t>17,643</w:t>
            </w:r>
          </w:p>
        </w:tc>
        <w:tc>
          <w:tcPr>
            <w:tcW w:w="620" w:type="dxa"/>
            <w:vAlign w:val="bottom"/>
          </w:tcPr>
          <w:p>
            <w:pPr>
              <w:jc w:val="center"/>
              <w:spacing w:after="0"/>
              <w:rPr>
                <w:sz w:val="20"/>
                <w:szCs w:val="20"/>
                <w:color w:val="auto"/>
              </w:rPr>
            </w:pPr>
            <w:r>
              <w:rPr>
                <w:rFonts w:ascii="Arial" w:cs="Arial" w:eastAsia="Arial" w:hAnsi="Arial"/>
                <w:sz w:val="8"/>
                <w:szCs w:val="8"/>
                <w:color w:val="auto"/>
              </w:rPr>
              <w:t>785</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5.9%</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Bonds and Notes</w:t>
            </w:r>
          </w:p>
        </w:tc>
        <w:tc>
          <w:tcPr>
            <w:tcW w:w="580" w:type="dxa"/>
            <w:vAlign w:val="bottom"/>
          </w:tcPr>
          <w:p>
            <w:pPr>
              <w:jc w:val="center"/>
              <w:spacing w:after="0"/>
              <w:rPr>
                <w:sz w:val="20"/>
                <w:szCs w:val="20"/>
                <w:color w:val="auto"/>
              </w:rPr>
            </w:pPr>
            <w:r>
              <w:rPr>
                <w:rFonts w:ascii="Arial" w:cs="Arial" w:eastAsia="Arial" w:hAnsi="Arial"/>
                <w:sz w:val="8"/>
                <w:szCs w:val="8"/>
                <w:color w:val="auto"/>
              </w:rPr>
              <w:t>17,453</w:t>
            </w:r>
          </w:p>
        </w:tc>
        <w:tc>
          <w:tcPr>
            <w:tcW w:w="620" w:type="dxa"/>
            <w:vAlign w:val="bottom"/>
          </w:tcPr>
          <w:p>
            <w:pPr>
              <w:jc w:val="center"/>
              <w:spacing w:after="0"/>
              <w:rPr>
                <w:sz w:val="20"/>
                <w:szCs w:val="20"/>
                <w:color w:val="auto"/>
              </w:rPr>
            </w:pPr>
            <w:r>
              <w:rPr>
                <w:rFonts w:ascii="Arial" w:cs="Arial" w:eastAsia="Arial" w:hAnsi="Arial"/>
                <w:sz w:val="8"/>
                <w:szCs w:val="8"/>
                <w:color w:val="auto"/>
              </w:rPr>
              <w:t>201</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4.6%</w:t>
            </w:r>
          </w:p>
        </w:tc>
        <w:tc>
          <w:tcPr>
            <w:tcW w:w="600" w:type="dxa"/>
            <w:vAlign w:val="bottom"/>
          </w:tcPr>
          <w:p>
            <w:pPr>
              <w:jc w:val="center"/>
              <w:spacing w:after="0"/>
              <w:rPr>
                <w:sz w:val="20"/>
                <w:szCs w:val="20"/>
                <w:color w:val="auto"/>
              </w:rPr>
            </w:pPr>
            <w:r>
              <w:rPr>
                <w:rFonts w:ascii="Arial" w:cs="Arial" w:eastAsia="Arial" w:hAnsi="Arial"/>
                <w:sz w:val="8"/>
                <w:szCs w:val="8"/>
                <w:color w:val="auto"/>
              </w:rPr>
              <w:t>13,252</w:t>
            </w:r>
          </w:p>
        </w:tc>
        <w:tc>
          <w:tcPr>
            <w:tcW w:w="620" w:type="dxa"/>
            <w:vAlign w:val="bottom"/>
          </w:tcPr>
          <w:p>
            <w:pPr>
              <w:jc w:val="center"/>
              <w:spacing w:after="0"/>
              <w:rPr>
                <w:sz w:val="20"/>
                <w:szCs w:val="20"/>
                <w:color w:val="auto"/>
              </w:rPr>
            </w:pPr>
            <w:r>
              <w:rPr>
                <w:rFonts w:ascii="Arial" w:cs="Arial" w:eastAsia="Arial" w:hAnsi="Arial"/>
                <w:sz w:val="8"/>
                <w:szCs w:val="8"/>
                <w:color w:val="auto"/>
              </w:rPr>
              <w:t>193</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5.8%</w:t>
            </w:r>
          </w:p>
        </w:tc>
        <w:tc>
          <w:tcPr>
            <w:tcW w:w="600" w:type="dxa"/>
            <w:vAlign w:val="bottom"/>
          </w:tcPr>
          <w:p>
            <w:pPr>
              <w:jc w:val="center"/>
              <w:spacing w:after="0"/>
              <w:rPr>
                <w:sz w:val="20"/>
                <w:szCs w:val="20"/>
                <w:color w:val="auto"/>
              </w:rPr>
            </w:pPr>
            <w:r>
              <w:rPr>
                <w:rFonts w:ascii="Arial" w:cs="Arial" w:eastAsia="Arial" w:hAnsi="Arial"/>
                <w:sz w:val="8"/>
                <w:szCs w:val="8"/>
                <w:color w:val="auto"/>
              </w:rPr>
              <w:t>12,161</w:t>
            </w:r>
          </w:p>
        </w:tc>
        <w:tc>
          <w:tcPr>
            <w:tcW w:w="620" w:type="dxa"/>
            <w:vAlign w:val="bottom"/>
          </w:tcPr>
          <w:p>
            <w:pPr>
              <w:jc w:val="center"/>
              <w:spacing w:after="0"/>
              <w:rPr>
                <w:sz w:val="20"/>
                <w:szCs w:val="20"/>
                <w:color w:val="auto"/>
              </w:rPr>
            </w:pPr>
            <w:r>
              <w:rPr>
                <w:rFonts w:ascii="Arial" w:cs="Arial" w:eastAsia="Arial" w:hAnsi="Arial"/>
                <w:sz w:val="8"/>
                <w:szCs w:val="8"/>
                <w:color w:val="auto"/>
              </w:rPr>
              <w:t>165</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5.4%</w:t>
            </w:r>
          </w:p>
        </w:tc>
        <w:tc>
          <w:tcPr>
            <w:tcW w:w="120" w:type="dxa"/>
            <w:vAlign w:val="bottom"/>
            <w:tcBorders>
              <w:right w:val="single" w:sz="8" w:color="auto"/>
            </w:tcBorders>
          </w:tcPr>
          <w:p>
            <w:pPr>
              <w:spacing w:after="0"/>
              <w:rPr>
                <w:sz w:val="9"/>
                <w:szCs w:val="9"/>
                <w:color w:val="auto"/>
              </w:rPr>
            </w:pPr>
          </w:p>
        </w:tc>
        <w:tc>
          <w:tcPr>
            <w:tcW w:w="580" w:type="dxa"/>
            <w:vAlign w:val="bottom"/>
          </w:tcPr>
          <w:p>
            <w:pPr>
              <w:jc w:val="center"/>
              <w:spacing w:after="0"/>
              <w:rPr>
                <w:sz w:val="20"/>
                <w:szCs w:val="20"/>
                <w:color w:val="auto"/>
              </w:rPr>
            </w:pPr>
            <w:r>
              <w:rPr>
                <w:rFonts w:ascii="Arial" w:cs="Arial" w:eastAsia="Arial" w:hAnsi="Arial"/>
                <w:sz w:val="8"/>
                <w:szCs w:val="8"/>
                <w:color w:val="auto"/>
              </w:rPr>
              <w:t>15,773</w:t>
            </w:r>
          </w:p>
        </w:tc>
        <w:tc>
          <w:tcPr>
            <w:tcW w:w="620" w:type="dxa"/>
            <w:vAlign w:val="bottom"/>
          </w:tcPr>
          <w:p>
            <w:pPr>
              <w:jc w:val="center"/>
              <w:spacing w:after="0"/>
              <w:rPr>
                <w:sz w:val="20"/>
                <w:szCs w:val="20"/>
                <w:color w:val="auto"/>
              </w:rPr>
            </w:pPr>
            <w:r>
              <w:rPr>
                <w:rFonts w:ascii="Arial" w:cs="Arial" w:eastAsia="Arial" w:hAnsi="Arial"/>
                <w:sz w:val="8"/>
                <w:szCs w:val="8"/>
                <w:color w:val="auto"/>
              </w:rPr>
              <w:t>598</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5.1%</w:t>
            </w:r>
          </w:p>
        </w:tc>
        <w:tc>
          <w:tcPr>
            <w:tcW w:w="600" w:type="dxa"/>
            <w:vAlign w:val="bottom"/>
          </w:tcPr>
          <w:p>
            <w:pPr>
              <w:jc w:val="center"/>
              <w:spacing w:after="0"/>
              <w:rPr>
                <w:sz w:val="20"/>
                <w:szCs w:val="20"/>
                <w:color w:val="auto"/>
              </w:rPr>
            </w:pPr>
            <w:r>
              <w:rPr>
                <w:rFonts w:ascii="Arial" w:cs="Arial" w:eastAsia="Arial" w:hAnsi="Arial"/>
                <w:sz w:val="8"/>
                <w:szCs w:val="8"/>
                <w:color w:val="auto"/>
              </w:rPr>
              <w:t>14,739</w:t>
            </w:r>
          </w:p>
        </w:tc>
        <w:tc>
          <w:tcPr>
            <w:tcW w:w="620" w:type="dxa"/>
            <w:vAlign w:val="bottom"/>
          </w:tcPr>
          <w:p>
            <w:pPr>
              <w:jc w:val="center"/>
              <w:spacing w:after="0"/>
              <w:rPr>
                <w:sz w:val="20"/>
                <w:szCs w:val="20"/>
                <w:color w:val="auto"/>
              </w:rPr>
            </w:pPr>
            <w:r>
              <w:rPr>
                <w:rFonts w:ascii="Arial" w:cs="Arial" w:eastAsia="Arial" w:hAnsi="Arial"/>
                <w:sz w:val="8"/>
                <w:szCs w:val="8"/>
                <w:color w:val="auto"/>
              </w:rPr>
              <w:t>525</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4.7%</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Others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2,371</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264</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44.5%</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4,632</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307</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26.5%</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9"/>
              </w:rPr>
              <w:t>4,853</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317</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26.1%</w:t>
            </w:r>
          </w:p>
        </w:tc>
        <w:tc>
          <w:tcPr>
            <w:tcW w:w="12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9"/>
              </w:rPr>
              <w:t>2,651</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785</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6"/>
              </w:rPr>
              <w:t>39.5%</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9"/>
              </w:rPr>
              <w:t>2,976</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894</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40.1%</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Total Funding</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190,855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1,405</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2.9%</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191,162</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9"/>
              </w:rPr>
              <w:t>1,306</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2.7%</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190,658</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9"/>
              </w:rPr>
              <w:t>1,300</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2.7%</w:t>
            </w:r>
          </w:p>
        </w:tc>
        <w:tc>
          <w:tcPr>
            <w:tcW w:w="12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188,111</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4,372</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3.1%</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195,494</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3,930</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2.7%</w:t>
            </w:r>
          </w:p>
        </w:tc>
        <w:tc>
          <w:tcPr>
            <w:tcW w:w="0" w:type="dxa"/>
            <w:vAlign w:val="bottom"/>
          </w:tcPr>
          <w:p>
            <w:pPr>
              <w:spacing w:after="0"/>
              <w:rPr>
                <w:sz w:val="1"/>
                <w:szCs w:val="1"/>
                <w:color w:val="auto"/>
              </w:rPr>
            </w:pPr>
          </w:p>
        </w:tc>
      </w:tr>
      <w:tr>
        <w:trPr>
          <w:trHeight w:val="110"/>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Funding (LC)</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6"/>
              </w:rPr>
              <w:t>49.3%</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48.5%</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8"/>
              </w:rPr>
              <w:t>2.9%</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52.4%</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51.9%</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2.7%</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52.6%</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52.8%</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8"/>
              </w:rPr>
              <w:t>2.7%</w:t>
            </w:r>
          </w:p>
        </w:tc>
        <w:tc>
          <w:tcPr>
            <w:tcW w:w="12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49.3%</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6"/>
              </w:rPr>
              <w:t>50.8%</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8"/>
              </w:rPr>
              <w:t>3.2%</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51.9%</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52.7%</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2.7%</w:t>
            </w: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Funding (FC)</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6"/>
              </w:rPr>
              <w:t>50.7%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51.5%</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8"/>
              </w:rPr>
              <w:t>3.0%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47.6%</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48.1%</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2.8%</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47.4%</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47.2%</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8"/>
              </w:rPr>
              <w:t>2.7%</w:t>
            </w:r>
          </w:p>
        </w:tc>
        <w:tc>
          <w:tcPr>
            <w:tcW w:w="12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50.7%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6"/>
              </w:rPr>
              <w:t>49.2%</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8"/>
              </w:rPr>
              <w:t>3.0%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48.1%</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47.3%</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2.6%</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0" w:type="dxa"/>
            <w:vAlign w:val="bottom"/>
            <w:tcBorders>
              <w:top w:val="single" w:sz="8" w:color="auto"/>
              <w:left w:val="single" w:sz="8" w:color="auto"/>
              <w:bottom w:val="single" w:sz="8" w:color="auto"/>
              <w:right w:val="single" w:sz="8" w:color="auto"/>
            </w:tcBorders>
          </w:tcPr>
          <w:p>
            <w:pPr>
              <w:ind w:left="20"/>
              <w:spacing w:after="0" w:line="100" w:lineRule="exact"/>
              <w:rPr>
                <w:sz w:val="20"/>
                <w:szCs w:val="20"/>
                <w:color w:val="auto"/>
              </w:rPr>
            </w:pPr>
            <w:r>
              <w:rPr>
                <w:rFonts w:ascii="Arial" w:cs="Arial" w:eastAsia="Arial" w:hAnsi="Arial"/>
                <w:sz w:val="11"/>
                <w:szCs w:val="11"/>
                <w:b w:val="1"/>
                <w:bCs w:val="1"/>
                <w:color w:val="auto"/>
                <w:vertAlign w:val="subscript"/>
              </w:rPr>
              <w:t>NIM</w:t>
            </w:r>
            <w:r>
              <w:rPr>
                <w:rFonts w:ascii="Arial" w:cs="Arial" w:eastAsia="Arial" w:hAnsi="Arial"/>
                <w:sz w:val="6"/>
                <w:szCs w:val="6"/>
                <w:b w:val="1"/>
                <w:bCs w:val="1"/>
                <w:color w:val="auto"/>
              </w:rPr>
              <w:t>(1)</w:t>
            </w: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8"/>
                <w:szCs w:val="8"/>
                <w:b w:val="1"/>
                <w:bCs w:val="1"/>
                <w:color w:val="auto"/>
              </w:rPr>
              <w:t>231,315</w:t>
            </w: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8"/>
                <w:szCs w:val="8"/>
                <w:b w:val="1"/>
                <w:bCs w:val="1"/>
                <w:color w:val="auto"/>
              </w:rPr>
              <w:t>3,591</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6.2%</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8"/>
                <w:szCs w:val="8"/>
                <w:b w:val="1"/>
                <w:bCs w:val="1"/>
                <w:color w:val="auto"/>
              </w:rPr>
              <w:t>233,762</w:t>
            </w: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8"/>
                <w:szCs w:val="8"/>
                <w:b w:val="1"/>
                <w:bCs w:val="1"/>
                <w:color w:val="auto"/>
                <w:w w:val="99"/>
              </w:rPr>
              <w:t>3,616</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6.2%</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8"/>
                <w:szCs w:val="8"/>
                <w:b w:val="1"/>
                <w:bCs w:val="1"/>
                <w:color w:val="auto"/>
              </w:rPr>
              <w:t>233,286</w:t>
            </w: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8"/>
                <w:szCs w:val="8"/>
                <w:b w:val="1"/>
                <w:bCs w:val="1"/>
                <w:color w:val="auto"/>
                <w:w w:val="99"/>
              </w:rPr>
              <w:t>3,688</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6.3%</w:t>
            </w:r>
          </w:p>
        </w:tc>
        <w:tc>
          <w:tcPr>
            <w:tcW w:w="120" w:type="dxa"/>
            <w:vAlign w:val="bottom"/>
            <w:tcBorders>
              <w:right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8"/>
                <w:szCs w:val="8"/>
                <w:b w:val="1"/>
                <w:bCs w:val="1"/>
                <w:color w:val="auto"/>
              </w:rPr>
              <w:t>229,454</w:t>
            </w: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8"/>
                <w:szCs w:val="8"/>
                <w:b w:val="1"/>
                <w:bCs w:val="1"/>
                <w:color w:val="auto"/>
              </w:rPr>
              <w:t>10,484</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6.1%</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8"/>
                <w:szCs w:val="8"/>
                <w:b w:val="1"/>
                <w:bCs w:val="1"/>
                <w:color w:val="auto"/>
              </w:rPr>
              <w:t>237,958</w:t>
            </w: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8"/>
                <w:szCs w:val="8"/>
                <w:b w:val="1"/>
                <w:bCs w:val="1"/>
                <w:color w:val="auto"/>
              </w:rPr>
              <w:t>10,875</w:t>
            </w:r>
          </w:p>
        </w:tc>
        <w:tc>
          <w:tcPr>
            <w:tcW w:w="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6.1%</w:t>
            </w:r>
          </w:p>
        </w:tc>
        <w:tc>
          <w:tcPr>
            <w:tcW w:w="0" w:type="dxa"/>
            <w:vAlign w:val="bottom"/>
          </w:tcPr>
          <w:p>
            <w:pPr>
              <w:spacing w:after="0"/>
              <w:rPr>
                <w:sz w:val="1"/>
                <w:szCs w:val="1"/>
                <w:color w:val="auto"/>
              </w:rPr>
            </w:pPr>
          </w:p>
        </w:tc>
      </w:tr>
      <w:tr>
        <w:trPr>
          <w:trHeight w:val="100"/>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NIM (LC)</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6"/>
              </w:rPr>
              <w:t>55.7%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76.8%</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8.6%</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56.5%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78.0%</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8.5%</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56.7%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77.9%</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8.7%</w:t>
            </w:r>
          </w:p>
        </w:tc>
        <w:tc>
          <w:tcPr>
            <w:tcW w:w="120" w:type="dxa"/>
            <w:vAlign w:val="bottom"/>
            <w:tcBorders>
              <w:right w:val="single" w:sz="8" w:color="auto"/>
            </w:tcBorders>
          </w:tcPr>
          <w:p>
            <w:pPr>
              <w:spacing w:after="0"/>
              <w:rPr>
                <w:sz w:val="8"/>
                <w:szCs w:val="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56.3%</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6"/>
              </w:rPr>
              <w:t>77.1%</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8.4%</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55.8%</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77.6%</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8.5%</w:t>
            </w:r>
          </w:p>
        </w:tc>
        <w:tc>
          <w:tcPr>
            <w:tcW w:w="0" w:type="dxa"/>
            <w:vAlign w:val="bottom"/>
          </w:tcPr>
          <w:p>
            <w:pPr>
              <w:spacing w:after="0"/>
              <w:rPr>
                <w:sz w:val="1"/>
                <w:szCs w:val="1"/>
                <w:color w:val="auto"/>
              </w:rPr>
            </w:pPr>
          </w:p>
        </w:tc>
      </w:tr>
      <w:tr>
        <w:trPr>
          <w:trHeight w:val="100"/>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NIM (FC)</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6"/>
              </w:rPr>
              <w:t>44.3%</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23.2%</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3.3%</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43.5%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22.0%</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3.1%</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43.3%</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22.1%</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3.2%</w:t>
            </w:r>
          </w:p>
        </w:tc>
        <w:tc>
          <w:tcPr>
            <w:tcW w:w="120" w:type="dxa"/>
            <w:vAlign w:val="bottom"/>
            <w:tcBorders>
              <w:right w:val="single" w:sz="8" w:color="auto"/>
            </w:tcBorders>
          </w:tcPr>
          <w:p>
            <w:pPr>
              <w:spacing w:after="0"/>
              <w:rPr>
                <w:sz w:val="8"/>
                <w:szCs w:val="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43.7%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6"/>
              </w:rPr>
              <w:t>22.9%</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3.2%</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44.2%</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22.4%</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3.1%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(1) Unlike the NIM figure calculated according to the formula in Appendix 12.8, the NIM presented in this table includes “Financial Expense associated with the insurance and reinsurance activity, net”.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QoQ Analysis</w:t>
      </w:r>
    </w:p>
    <w:p>
      <w:pPr>
        <w:spacing w:after="0" w:line="15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 xml:space="preserve">QoQ, </w:t>
      </w:r>
      <w:r>
        <w:rPr>
          <w:rFonts w:ascii="Arial" w:cs="Arial" w:eastAsia="Arial" w:hAnsi="Arial"/>
          <w:sz w:val="16"/>
          <w:szCs w:val="16"/>
          <w:b w:val="1"/>
          <w:bCs w:val="1"/>
          <w:color w:val="auto"/>
        </w:rPr>
        <w:t>Net Interest Income (NII)</w:t>
      </w:r>
      <w:r>
        <w:rPr>
          <w:rFonts w:ascii="Arial" w:cs="Arial" w:eastAsia="Arial" w:hAnsi="Arial"/>
          <w:sz w:val="16"/>
          <w:szCs w:val="16"/>
          <w:color w:val="auto"/>
        </w:rPr>
        <w:t xml:space="preserve"> rose 2.0%, bolstered by growth in NII in both LC and FC. IEA in LC represented 56.7% of total IEA at the end of 3Q25, and 71.4% of interest income generated over the quarter.</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Dynamics of Local Currency (LC)</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LC </w:t>
      </w:r>
      <w:r>
        <w:rPr>
          <w:rFonts w:ascii="Arial" w:cs="Arial" w:eastAsia="Arial" w:hAnsi="Arial"/>
          <w:sz w:val="16"/>
          <w:szCs w:val="16"/>
          <w:color w:val="auto"/>
        </w:rPr>
        <w:t>increased 1.8% on the back of higher interest income. This evolution reflected growth in income from Loans, which rose primarily due to an</w:t>
      </w:r>
      <w:r>
        <w:rPr>
          <w:rFonts w:ascii="Arial" w:cs="Arial" w:eastAsia="Arial" w:hAnsi="Arial"/>
          <w:sz w:val="16"/>
          <w:szCs w:val="16"/>
          <w:b w:val="1"/>
          <w:bCs w:val="1"/>
          <w:color w:val="auto"/>
        </w:rPr>
        <w:t xml:space="preserve"> </w:t>
      </w:r>
      <w:r>
        <w:rPr>
          <w:rFonts w:ascii="Arial" w:cs="Arial" w:eastAsia="Arial" w:hAnsi="Arial"/>
          <w:sz w:val="16"/>
          <w:szCs w:val="16"/>
          <w:color w:val="auto"/>
        </w:rPr>
        <w:t>uptick in volumes and secondarily, due to a mix effect, given that expansion was predominantly in retail segments. Higher income from loans was partially offset by a decline in market rates on Cash and equivalents and Investments. Interest expenses rose slightly, fueled by growth in expenses for Deposits, which rose on the back of an increase in the balance of time deposits.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Dynamics in Foreign Currency (FC)</w:t>
      </w:r>
    </w:p>
    <w:p>
      <w:pPr>
        <w:spacing w:after="0" w:line="152"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 xml:space="preserve">NII </w:t>
      </w:r>
      <w:r>
        <w:rPr>
          <w:rFonts w:ascii="Arial" w:cs="Arial" w:eastAsia="Arial" w:hAnsi="Arial"/>
          <w:sz w:val="14"/>
          <w:szCs w:val="14"/>
          <w:color w:val="auto"/>
        </w:rPr>
        <w:t>in</w:t>
      </w:r>
      <w:r>
        <w:rPr>
          <w:rFonts w:ascii="Arial" w:cs="Arial" w:eastAsia="Arial" w:hAnsi="Arial"/>
          <w:sz w:val="14"/>
          <w:szCs w:val="14"/>
          <w:b w:val="1"/>
          <w:bCs w:val="1"/>
          <w:color w:val="auto"/>
        </w:rPr>
        <w:t xml:space="preserve"> FC </w:t>
      </w:r>
      <w:r>
        <w:rPr>
          <w:rFonts w:ascii="Arial" w:cs="Arial" w:eastAsia="Arial" w:hAnsi="Arial"/>
          <w:sz w:val="14"/>
          <w:szCs w:val="14"/>
          <w:color w:val="auto"/>
        </w:rPr>
        <w:t>increased 2.5% QoQ, driven by a drop in interest expenses, where the decline was fueled mainly by a drop in expenses for Bonds and notes</w:t>
      </w:r>
      <w:r>
        <w:rPr>
          <w:rFonts w:ascii="Arial" w:cs="Arial" w:eastAsia="Arial" w:hAnsi="Arial"/>
          <w:sz w:val="14"/>
          <w:szCs w:val="14"/>
          <w:b w:val="1"/>
          <w:bCs w:val="1"/>
          <w:color w:val="auto"/>
        </w:rPr>
        <w:t xml:space="preserve"> </w:t>
      </w:r>
      <w:r>
        <w:rPr>
          <w:rFonts w:ascii="Arial" w:cs="Arial" w:eastAsia="Arial" w:hAnsi="Arial"/>
          <w:sz w:val="14"/>
          <w:szCs w:val="14"/>
          <w:color w:val="auto"/>
        </w:rPr>
        <w:t>issued following the expiration of a BCP bond. Interest income reported a marginal increase in its contribution to NII, which was driven by a more profitable Loan mix. It is important to note that the remainder of IEA in FC reported a drop in interest income due to a downward trend in market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674370</wp:posOffset>
            </wp:positionV>
            <wp:extent cx="670750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64770</wp:posOffset>
            </wp:positionV>
            <wp:extent cx="5991225" cy="518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91225" cy="518160"/>
                    </a:xfrm>
                    <a:prstGeom prst="rect">
                      <a:avLst/>
                    </a:prstGeom>
                    <a:noFill/>
                  </pic:spPr>
                </pic:pic>
              </a:graphicData>
            </a:graphic>
          </wp:anchor>
        </w:drawing>
      </w:r>
    </w:p>
    <w:p>
      <w:pPr>
        <w:sectPr>
          <w:pgSz w:w="11900" w:h="16840" w:orient="portrait"/>
          <w:cols w:equalWidth="0" w:num="1">
            <w:col w:w="10580"/>
          </w:cols>
          <w:pgMar w:left="660" w:top="929" w:right="660" w:bottom="1440" w:gutter="0" w:footer="0" w:header="0"/>
        </w:sectPr>
      </w:pPr>
    </w:p>
    <w:bookmarkStart w:id="28" w:name="page29"/>
    <w:bookmarkEnd w:id="28"/>
    <w:p>
      <w:pPr>
        <w:ind w:left="256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92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07505" cy="79248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04. Net Interest income (NII)</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YoY Analysis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YoY, </w:t>
      </w:r>
      <w:r>
        <w:rPr>
          <w:rFonts w:ascii="Arial" w:cs="Arial" w:eastAsia="Arial" w:hAnsi="Arial"/>
          <w:sz w:val="16"/>
          <w:szCs w:val="16"/>
          <w:b w:val="1"/>
          <w:bCs w:val="1"/>
          <w:color w:val="auto"/>
        </w:rPr>
        <w:t>NII</w:t>
      </w:r>
      <w:r>
        <w:rPr>
          <w:rFonts w:ascii="Arial" w:cs="Arial" w:eastAsia="Arial" w:hAnsi="Arial"/>
          <w:sz w:val="16"/>
          <w:szCs w:val="16"/>
          <w:color w:val="auto"/>
        </w:rPr>
        <w:t xml:space="preserve"> rose 2.7%, reporting a rise in NII in LC while NII in FC declined.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Local Currency Dynamics (LC)</w:t>
      </w:r>
    </w:p>
    <w:p>
      <w:pPr>
        <w:spacing w:after="0" w:line="16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LC </w:t>
      </w:r>
      <w:r>
        <w:rPr>
          <w:rFonts w:ascii="Arial" w:cs="Arial" w:eastAsia="Arial" w:hAnsi="Arial"/>
          <w:sz w:val="16"/>
          <w:szCs w:val="16"/>
          <w:color w:val="auto"/>
        </w:rPr>
        <w:t>increased 4.2% YoY, driven mainly by an uptick in interest income, and despite an increase in interest expenses. The following dynamics drove</w:t>
      </w:r>
      <w:r>
        <w:rPr>
          <w:rFonts w:ascii="Arial" w:cs="Arial" w:eastAsia="Arial" w:hAnsi="Arial"/>
          <w:sz w:val="16"/>
          <w:szCs w:val="16"/>
          <w:b w:val="1"/>
          <w:bCs w:val="1"/>
          <w:color w:val="auto"/>
        </w:rPr>
        <w:t xml:space="preserve"> </w:t>
      </w:r>
      <w:r>
        <w:rPr>
          <w:rFonts w:ascii="Arial" w:cs="Arial" w:eastAsia="Arial" w:hAnsi="Arial"/>
          <w:sz w:val="16"/>
          <w:szCs w:val="16"/>
          <w:color w:val="auto"/>
        </w:rPr>
        <w:t>this evolution:</w:t>
      </w:r>
    </w:p>
    <w:p>
      <w:pPr>
        <w:spacing w:after="0" w:line="124"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Interest income from loans increased, impacted by an increase in retail and microfinance loans’ share of the portfolio and by a volume effect at the total loan level. As a result, the yield on interest-earning assets in LC rose 8 bps to 10.8%.</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the interest expense side, costs rose due to increased funding through BCRP instruments. This was partially offset by lower expenses on Bonds and Notes issued, and to a lesser extent, by a decline in deposit-related expenses, which was attributable to a drop in market rates. In this context, the cost of funding in LC decreased 16 bps to 2.7%.</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Dynamics (FC)</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 </w:t>
      </w:r>
      <w:r>
        <w:rPr>
          <w:rFonts w:ascii="Arial" w:cs="Arial" w:eastAsia="Arial" w:hAnsi="Arial"/>
          <w:sz w:val="16"/>
          <w:szCs w:val="16"/>
          <w:color w:val="auto"/>
        </w:rPr>
        <w:t>in</w:t>
      </w:r>
      <w:r>
        <w:rPr>
          <w:rFonts w:ascii="Arial" w:cs="Arial" w:eastAsia="Arial" w:hAnsi="Arial"/>
          <w:sz w:val="16"/>
          <w:szCs w:val="16"/>
          <w:b w:val="1"/>
          <w:bCs w:val="1"/>
          <w:color w:val="auto"/>
        </w:rPr>
        <w:t xml:space="preserve"> FC </w:t>
      </w:r>
      <w:r>
        <w:rPr>
          <w:rFonts w:ascii="Arial" w:cs="Arial" w:eastAsia="Arial" w:hAnsi="Arial"/>
          <w:sz w:val="16"/>
          <w:szCs w:val="16"/>
          <w:color w:val="auto"/>
        </w:rPr>
        <w:t>dropped 2.2% YoY due to the following:</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Interest income fell, driven mainly by a drop in income from Loans, which was impacted by lower interest rates. In this context, the yield on IEA in FC dropped 41 bps to stand at 5.7%</w:t>
      </w:r>
    </w:p>
    <w:p>
      <w:pPr>
        <w:spacing w:after="0" w:line="12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reduction in interest expenses, which was impacted primarily by a drop in interest rates on deposits and to a lesser extent by expirations of bonds at BCP and Credicorp, partially offset the drop in income. In this context, the cost of funding in FC dropped 27 bps to stand at 2.7%.</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YTD Analysis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w:t>
      </w:r>
      <w:r>
        <w:rPr>
          <w:rFonts w:ascii="Arial" w:cs="Arial" w:eastAsia="Arial" w:hAnsi="Arial"/>
          <w:sz w:val="16"/>
          <w:szCs w:val="16"/>
          <w:color w:val="auto"/>
        </w:rPr>
        <w:t>,</w:t>
      </w:r>
      <w:r>
        <w:rPr>
          <w:rFonts w:ascii="Arial" w:cs="Arial" w:eastAsia="Arial" w:hAnsi="Arial"/>
          <w:sz w:val="16"/>
          <w:szCs w:val="16"/>
          <w:b w:val="1"/>
          <w:bCs w:val="1"/>
          <w:color w:val="auto"/>
        </w:rPr>
        <w:t xml:space="preserve"> NII </w:t>
      </w:r>
      <w:r>
        <w:rPr>
          <w:rFonts w:ascii="Arial" w:cs="Arial" w:eastAsia="Arial" w:hAnsi="Arial"/>
          <w:sz w:val="16"/>
          <w:szCs w:val="16"/>
          <w:color w:val="auto"/>
        </w:rPr>
        <w:t>rose 3.7% on the back of growth in both LC and FC.</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Local Currency Dynamics (LC)</w:t>
      </w:r>
    </w:p>
    <w:p>
      <w:pPr>
        <w:spacing w:after="0" w:line="164"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b w:val="1"/>
          <w:bCs w:val="1"/>
          <w:color w:val="auto"/>
        </w:rPr>
        <w:t xml:space="preserve">NII in LC </w:t>
      </w:r>
      <w:r>
        <w:rPr>
          <w:rFonts w:ascii="Arial" w:cs="Arial" w:eastAsia="Arial" w:hAnsi="Arial"/>
          <w:sz w:val="16"/>
          <w:szCs w:val="16"/>
          <w:color w:val="auto"/>
        </w:rPr>
        <w:t>increased 4.3%, driven mainly by growth in interest income and secondarily, by a reduction in interest expenses. On the income side, growth</w:t>
      </w:r>
      <w:r>
        <w:rPr>
          <w:rFonts w:ascii="Arial" w:cs="Arial" w:eastAsia="Arial" w:hAnsi="Arial"/>
          <w:sz w:val="16"/>
          <w:szCs w:val="16"/>
          <w:b w:val="1"/>
          <w:bCs w:val="1"/>
          <w:color w:val="auto"/>
        </w:rPr>
        <w:t xml:space="preserve"> </w:t>
      </w:r>
      <w:r>
        <w:rPr>
          <w:rFonts w:ascii="Arial" w:cs="Arial" w:eastAsia="Arial" w:hAnsi="Arial"/>
          <w:sz w:val="16"/>
          <w:szCs w:val="16"/>
          <w:color w:val="auto"/>
        </w:rPr>
        <w:t>was fueled by higher income from Loans, which rose on the back of the same portfolio dynamics mentioned in the YoY analysis. In the case of expenses, the drop was propelled by a decrease in expenses for Deposits, which was driven by the same factors in play YoY.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Dynamics (FC)</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FC </w:t>
      </w:r>
      <w:r>
        <w:rPr>
          <w:rFonts w:ascii="Arial" w:cs="Arial" w:eastAsia="Arial" w:hAnsi="Arial"/>
          <w:sz w:val="16"/>
          <w:szCs w:val="16"/>
          <w:color w:val="auto"/>
        </w:rPr>
        <w:t>increased 1.7%, where the decline in interest expenses was partially offset by a decrease in interest income. Expenses fell primarily on the</w:t>
      </w:r>
      <w:r>
        <w:rPr>
          <w:rFonts w:ascii="Arial" w:cs="Arial" w:eastAsia="Arial" w:hAnsi="Arial"/>
          <w:sz w:val="16"/>
          <w:szCs w:val="16"/>
          <w:b w:val="1"/>
          <w:bCs w:val="1"/>
          <w:color w:val="auto"/>
        </w:rPr>
        <w:t xml:space="preserve"> </w:t>
      </w:r>
      <w:r>
        <w:rPr>
          <w:rFonts w:ascii="Arial" w:cs="Arial" w:eastAsia="Arial" w:hAnsi="Arial"/>
          <w:sz w:val="16"/>
          <w:szCs w:val="16"/>
          <w:color w:val="auto"/>
        </w:rPr>
        <w:t>back of drop in interest on deposits, which was driven by the same factors in play YoY, and secondarily by a reduction in the funding volume through BCRP + banks. Interest income, in turn, fell due to a decrease in income from Loans, which was mainly attributable to declining market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710565</wp:posOffset>
            </wp:positionV>
            <wp:extent cx="670750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92710</wp:posOffset>
            </wp:positionV>
            <wp:extent cx="5991225" cy="5257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91225" cy="525780"/>
                    </a:xfrm>
                    <a:prstGeom prst="rect">
                      <a:avLst/>
                    </a:prstGeom>
                    <a:noFill/>
                  </pic:spPr>
                </pic:pic>
              </a:graphicData>
            </a:graphic>
          </wp:anchor>
        </w:drawing>
      </w:r>
    </w:p>
    <w:p>
      <w:pPr>
        <w:sectPr>
          <w:pgSz w:w="11900" w:h="16840" w:orient="portrait"/>
          <w:cols w:equalWidth="0" w:num="1">
            <w:col w:w="10580"/>
          </w:cols>
          <w:pgMar w:left="660" w:top="929" w:right="660" w:bottom="1440" w:gutter="0" w:footer="0" w:header="0"/>
        </w:sectPr>
      </w:pPr>
    </w:p>
    <w:bookmarkStart w:id="29" w:name="page30"/>
    <w:bookmarkEnd w:id="29"/>
    <w:p>
      <w:pPr>
        <w:ind w:left="256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86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07505" cy="5867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364"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05 </w:t>
      </w:r>
      <w:r>
        <w:rPr>
          <w:rFonts w:ascii="Arial" w:cs="Arial" w:eastAsia="Arial" w:hAnsi="Arial"/>
          <w:sz w:val="28"/>
          <w:szCs w:val="28"/>
          <w:color w:val="E93BAC"/>
        </w:rPr>
        <w:t>Portfolio Quality and Provisions</w:t>
      </w:r>
    </w:p>
    <w:p>
      <w:pPr>
        <w:spacing w:after="0" w:line="196" w:lineRule="exact"/>
        <w:rPr>
          <w:sz w:val="20"/>
          <w:szCs w:val="20"/>
          <w:color w:val="auto"/>
        </w:rPr>
      </w:pPr>
    </w:p>
    <w:p>
      <w:pPr>
        <w:jc w:val="both"/>
        <w:ind w:left="120" w:right="100"/>
        <w:spacing w:after="0" w:line="262" w:lineRule="auto"/>
        <w:rPr>
          <w:sz w:val="20"/>
          <w:szCs w:val="20"/>
          <w:color w:val="auto"/>
        </w:rPr>
      </w:pPr>
      <w:r>
        <w:rPr>
          <w:rFonts w:ascii="Arial" w:cs="Arial" w:eastAsia="Arial" w:hAnsi="Arial"/>
          <w:sz w:val="16"/>
          <w:szCs w:val="16"/>
          <w:color w:val="FFFFFF"/>
        </w:rPr>
        <w:t>Portfolio quality indicators have continued to evolve positively over the last year, driven by fortified risk management and backed by improvements in payment performance and in the Peruvian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6707505" cy="13569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07505" cy="1356995"/>
                    </a:xfrm>
                    <a:prstGeom prst="rect">
                      <a:avLst/>
                    </a:prstGeom>
                    <a:noFill/>
                  </pic:spPr>
                </pic:pic>
              </a:graphicData>
            </a:graphic>
          </wp:anchor>
        </w:drawing>
      </w:r>
    </w:p>
    <w:p>
      <w:pPr>
        <w:spacing w:after="0" w:line="106" w:lineRule="exact"/>
        <w:rPr>
          <w:sz w:val="20"/>
          <w:szCs w:val="20"/>
          <w:color w:val="auto"/>
        </w:rPr>
      </w:pPr>
    </w:p>
    <w:p>
      <w:pPr>
        <w:jc w:val="both"/>
        <w:ind w:left="120" w:right="100"/>
        <w:spacing w:after="0" w:line="248" w:lineRule="auto"/>
        <w:rPr>
          <w:sz w:val="20"/>
          <w:szCs w:val="20"/>
          <w:color w:val="auto"/>
        </w:rPr>
      </w:pPr>
      <w:r>
        <w:rPr>
          <w:rFonts w:ascii="Arial" w:cs="Arial" w:eastAsia="Arial" w:hAnsi="Arial"/>
          <w:sz w:val="16"/>
          <w:szCs w:val="16"/>
          <w:color w:val="FFFFFF"/>
        </w:rPr>
        <w:t>QoQ, the drop in the NPL balance at BCP Stand-alone was fueled mainly by ongoing improvements in origination and debt collections management in Consumer and Credit Cards. At Mibanco, the reduction in the NPL balance was spurred primarily by a drop in overdue loans. In this context, the NPL ratio dropped 15 bps and 105 bps QoQ and YoY, respectively, to stand at 4.8%.</w:t>
      </w:r>
    </w:p>
    <w:p>
      <w:pPr>
        <w:spacing w:after="0" w:line="138" w:lineRule="exact"/>
        <w:rPr>
          <w:sz w:val="20"/>
          <w:szCs w:val="20"/>
          <w:color w:val="auto"/>
        </w:rPr>
      </w:pPr>
    </w:p>
    <w:p>
      <w:pPr>
        <w:jc w:val="both"/>
        <w:ind w:left="120" w:right="80"/>
        <w:spacing w:after="0" w:line="241" w:lineRule="auto"/>
        <w:rPr>
          <w:sz w:val="20"/>
          <w:szCs w:val="20"/>
          <w:color w:val="auto"/>
        </w:rPr>
      </w:pPr>
      <w:r>
        <w:rPr>
          <w:rFonts w:ascii="Arial" w:cs="Arial" w:eastAsia="Arial" w:hAnsi="Arial"/>
          <w:sz w:val="16"/>
          <w:szCs w:val="16"/>
          <w:color w:val="FFFFFF"/>
        </w:rPr>
        <w:t>Provisions rose QoQ, driven by an increase at BCP Stand -alone, reflecting both the recurring dynamics of Retail Banking and specific impacts within Wholesale Banking, with Individuals stable, SMEs slightly higher due to a base effect, and one corporate client showing increased credit risk. This evolution was partially offset by a drop in provisions at Mibanco, which reflects improvements in debt collections management. YoY, provisions dropped 30.5%, driven by BCP Stand-alone and Mibanco. In this context, the cost of risk rose slightly 6 bps QoQ and fell 71 bps YoY, to stand at 1.7% at quarter-end.</w:t>
      </w:r>
    </w:p>
    <w:p>
      <w:pPr>
        <w:spacing w:after="0" w:line="145" w:lineRule="exact"/>
        <w:rPr>
          <w:sz w:val="20"/>
          <w:szCs w:val="20"/>
          <w:color w:val="auto"/>
        </w:rPr>
      </w:pPr>
    </w:p>
    <w:p>
      <w:pPr>
        <w:jc w:val="both"/>
        <w:spacing w:after="0" w:line="346" w:lineRule="auto"/>
        <w:rPr>
          <w:sz w:val="20"/>
          <w:szCs w:val="20"/>
          <w:color w:val="auto"/>
        </w:rPr>
      </w:pPr>
      <w:r>
        <w:rPr>
          <w:rFonts w:ascii="Arial" w:cs="Arial" w:eastAsia="Arial" w:hAnsi="Arial"/>
          <w:sz w:val="14"/>
          <w:szCs w:val="14"/>
          <w:color w:val="auto"/>
        </w:rPr>
        <w:t xml:space="preserve">Our portfolio quality indicators have improved substantially over the last twelve months and continue to follow a positive trend in all segments, led by </w:t>
      </w:r>
      <w:r>
        <w:rPr>
          <w:rFonts w:ascii="Arial" w:cs="Arial" w:eastAsia="Arial" w:hAnsi="Arial"/>
          <w:sz w:val="14"/>
          <w:szCs w:val="14"/>
          <w:b w:val="1"/>
          <w:bCs w:val="1"/>
          <w:color w:val="auto"/>
        </w:rPr>
        <w:t>Retail Banking</w:t>
      </w:r>
      <w:r>
        <w:rPr>
          <w:rFonts w:ascii="Arial" w:cs="Arial" w:eastAsia="Arial" w:hAnsi="Arial"/>
          <w:sz w:val="14"/>
          <w:szCs w:val="14"/>
          <w:color w:val="auto"/>
        </w:rPr>
        <w:t>, which benefitted from fortified risk management and backed by improvements in payment performance and in the Peruvian economy.</w:t>
      </w:r>
    </w:p>
    <w:p>
      <w:pPr>
        <w:spacing w:after="0" w:line="62"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4"/>
          <w:szCs w:val="14"/>
          <w:b w:val="1"/>
          <w:bCs w:val="1"/>
          <w:color w:val="auto"/>
        </w:rPr>
        <w:t>Portfolio Quality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Total Portfolio Quality (in quarter-end balances)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26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rPr>
              <w:t>Loan Portfolio quality and Delinquency ratios</w:t>
            </w:r>
          </w:p>
        </w:tc>
        <w:tc>
          <w:tcPr>
            <w:tcW w:w="1260" w:type="dxa"/>
            <w:vAlign w:val="bottom"/>
            <w:tcBorders>
              <w:top w:val="single" w:sz="8" w:color="auto"/>
            </w:tcBorders>
            <w:shd w:val="clear" w:color="auto" w:fill="33CCCC"/>
          </w:tcPr>
          <w:p>
            <w:pPr>
              <w:spacing w:after="0"/>
              <w:rPr>
                <w:sz w:val="16"/>
                <w:szCs w:val="16"/>
                <w:color w:val="auto"/>
              </w:rPr>
            </w:pPr>
          </w:p>
        </w:tc>
        <w:tc>
          <w:tcPr>
            <w:tcW w:w="128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9"/>
              </w:rPr>
              <w:t>As of</w:t>
            </w:r>
          </w:p>
        </w:tc>
        <w:tc>
          <w:tcPr>
            <w:tcW w:w="1300" w:type="dxa"/>
            <w:vAlign w:val="bottom"/>
            <w:tcBorders>
              <w:top w:val="single" w:sz="8" w:color="auto"/>
              <w:right w:val="single" w:sz="8" w:color="auto"/>
            </w:tcBorders>
            <w:shd w:val="clear" w:color="auto" w:fill="33CCCC"/>
          </w:tcPr>
          <w:p>
            <w:pPr>
              <w:spacing w:after="0"/>
              <w:rPr>
                <w:sz w:val="16"/>
                <w:szCs w:val="16"/>
                <w:color w:val="auto"/>
              </w:rPr>
            </w:pPr>
          </w:p>
        </w:tc>
        <w:tc>
          <w:tcPr>
            <w:tcW w:w="2480" w:type="dxa"/>
            <w:vAlign w:val="bottom"/>
            <w:tcBorders>
              <w:top w:val="single" w:sz="8" w:color="auto"/>
              <w:right w:val="single" w:sz="8" w:color="auto"/>
            </w:tcBorders>
            <w:gridSpan w:val="2"/>
            <w:shd w:val="clear" w:color="auto" w:fill="33CCCC"/>
          </w:tcPr>
          <w:p>
            <w:pPr>
              <w:ind w:left="860"/>
              <w:spacing w:after="0"/>
              <w:rPr>
                <w:sz w:val="20"/>
                <w:szCs w:val="20"/>
                <w:color w:val="auto"/>
              </w:rPr>
            </w:pPr>
            <w:r>
              <w:rPr>
                <w:rFonts w:ascii="Arial" w:cs="Arial" w:eastAsia="Arial" w:hAnsi="Arial"/>
                <w:sz w:val="16"/>
                <w:szCs w:val="16"/>
                <w:b w:val="1"/>
                <w:bCs w:val="1"/>
                <w:color w:val="FFFFFF"/>
              </w:rPr>
              <w:t>% change</w:t>
            </w:r>
          </w:p>
        </w:tc>
      </w:tr>
      <w:tr>
        <w:trPr>
          <w:trHeight w:val="180"/>
        </w:trPr>
        <w:tc>
          <w:tcPr>
            <w:tcW w:w="4260" w:type="dxa"/>
            <w:vAlign w:val="bottom"/>
            <w:tcBorders>
              <w:left w:val="single" w:sz="8" w:color="auto"/>
              <w:bottom w:val="single" w:sz="8" w:color="auto"/>
              <w:right w:val="single" w:sz="8" w:color="auto"/>
            </w:tcBorders>
            <w:shd w:val="clear" w:color="auto" w:fill="33CCCC"/>
          </w:tcPr>
          <w:p>
            <w:pPr>
              <w:ind w:left="20"/>
              <w:spacing w:after="0" w:line="180" w:lineRule="exact"/>
              <w:rPr>
                <w:sz w:val="20"/>
                <w:szCs w:val="20"/>
                <w:color w:val="auto"/>
              </w:rPr>
            </w:pPr>
            <w:r>
              <w:rPr>
                <w:rFonts w:ascii="Arial" w:cs="Arial" w:eastAsia="Arial" w:hAnsi="Arial"/>
                <w:sz w:val="16"/>
                <w:szCs w:val="16"/>
                <w:b w:val="1"/>
                <w:bCs w:val="1"/>
                <w:color w:val="FFFFFF"/>
              </w:rPr>
              <w:t>S/000</w:t>
            </w:r>
          </w:p>
        </w:tc>
        <w:tc>
          <w:tcPr>
            <w:tcW w:w="1260" w:type="dxa"/>
            <w:vAlign w:val="bottom"/>
            <w:tcBorders>
              <w:bottom w:val="single" w:sz="8" w:color="auto"/>
            </w:tcBorders>
            <w:shd w:val="clear" w:color="auto" w:fill="33CCCC"/>
          </w:tcPr>
          <w:p>
            <w:pPr>
              <w:ind w:left="360"/>
              <w:spacing w:after="0" w:line="180" w:lineRule="exact"/>
              <w:rPr>
                <w:sz w:val="20"/>
                <w:szCs w:val="20"/>
                <w:color w:val="auto"/>
              </w:rPr>
            </w:pPr>
            <w:r>
              <w:rPr>
                <w:rFonts w:ascii="Arial" w:cs="Arial" w:eastAsia="Arial" w:hAnsi="Arial"/>
                <w:sz w:val="16"/>
                <w:szCs w:val="16"/>
                <w:b w:val="1"/>
                <w:bCs w:val="1"/>
                <w:color w:val="FFFFFF"/>
              </w:rPr>
              <w:t>Sep 24</w:t>
            </w:r>
          </w:p>
        </w:tc>
        <w:tc>
          <w:tcPr>
            <w:tcW w:w="1280" w:type="dxa"/>
            <w:vAlign w:val="bottom"/>
            <w:tcBorders>
              <w:bottom w:val="single" w:sz="8" w:color="auto"/>
            </w:tcBorders>
            <w:shd w:val="clear" w:color="auto" w:fill="33CCCC"/>
          </w:tcPr>
          <w:p>
            <w:pPr>
              <w:jc w:val="center"/>
              <w:spacing w:after="0" w:line="180" w:lineRule="exact"/>
              <w:rPr>
                <w:sz w:val="20"/>
                <w:szCs w:val="20"/>
                <w:color w:val="auto"/>
              </w:rPr>
            </w:pPr>
            <w:r>
              <w:rPr>
                <w:rFonts w:ascii="Arial" w:cs="Arial" w:eastAsia="Arial" w:hAnsi="Arial"/>
                <w:sz w:val="16"/>
                <w:szCs w:val="16"/>
                <w:b w:val="1"/>
                <w:bCs w:val="1"/>
                <w:color w:val="FFFFFF"/>
                <w:w w:val="94"/>
              </w:rPr>
              <w:t>Jun 25</w:t>
            </w:r>
          </w:p>
        </w:tc>
        <w:tc>
          <w:tcPr>
            <w:tcW w:w="1300" w:type="dxa"/>
            <w:vAlign w:val="bottom"/>
            <w:tcBorders>
              <w:bottom w:val="single" w:sz="8" w:color="auto"/>
              <w:right w:val="single" w:sz="8" w:color="auto"/>
            </w:tcBorders>
            <w:shd w:val="clear" w:color="auto" w:fill="33CCCC"/>
          </w:tcPr>
          <w:p>
            <w:pPr>
              <w:ind w:left="400"/>
              <w:spacing w:after="0" w:line="180" w:lineRule="exact"/>
              <w:rPr>
                <w:sz w:val="20"/>
                <w:szCs w:val="20"/>
                <w:color w:val="auto"/>
              </w:rPr>
            </w:pPr>
            <w:r>
              <w:rPr>
                <w:rFonts w:ascii="Arial" w:cs="Arial" w:eastAsia="Arial" w:hAnsi="Arial"/>
                <w:sz w:val="16"/>
                <w:szCs w:val="16"/>
                <w:b w:val="1"/>
                <w:bCs w:val="1"/>
                <w:color w:val="FFFFFF"/>
              </w:rPr>
              <w:t>Sep 25</w:t>
            </w:r>
          </w:p>
        </w:tc>
        <w:tc>
          <w:tcPr>
            <w:tcW w:w="1220" w:type="dxa"/>
            <w:vAlign w:val="bottom"/>
            <w:tcBorders>
              <w:bottom w:val="single" w:sz="8" w:color="auto"/>
            </w:tcBorders>
            <w:shd w:val="clear" w:color="auto" w:fill="33CCCC"/>
          </w:tcPr>
          <w:p>
            <w:pPr>
              <w:jc w:val="center"/>
              <w:spacing w:after="0" w:line="180" w:lineRule="exact"/>
              <w:rPr>
                <w:sz w:val="20"/>
                <w:szCs w:val="20"/>
                <w:color w:val="auto"/>
              </w:rPr>
            </w:pPr>
            <w:r>
              <w:rPr>
                <w:rFonts w:ascii="Arial" w:cs="Arial" w:eastAsia="Arial" w:hAnsi="Arial"/>
                <w:sz w:val="16"/>
                <w:szCs w:val="16"/>
                <w:b w:val="1"/>
                <w:bCs w:val="1"/>
                <w:color w:val="FFFFFF"/>
                <w:w w:val="97"/>
              </w:rPr>
              <w:t>QoQ</w:t>
            </w:r>
          </w:p>
        </w:tc>
        <w:tc>
          <w:tcPr>
            <w:tcW w:w="1260" w:type="dxa"/>
            <w:vAlign w:val="bottom"/>
            <w:tcBorders>
              <w:bottom w:val="single" w:sz="8" w:color="auto"/>
              <w:right w:val="single" w:sz="8" w:color="auto"/>
            </w:tcBorders>
            <w:shd w:val="clear" w:color="auto" w:fill="33CCCC"/>
          </w:tcPr>
          <w:p>
            <w:pPr>
              <w:jc w:val="center"/>
              <w:spacing w:after="0" w:line="180" w:lineRule="exact"/>
              <w:rPr>
                <w:sz w:val="20"/>
                <w:szCs w:val="20"/>
                <w:color w:val="auto"/>
              </w:rPr>
            </w:pPr>
            <w:r>
              <w:rPr>
                <w:rFonts w:ascii="Arial" w:cs="Arial" w:eastAsia="Arial" w:hAnsi="Arial"/>
                <w:sz w:val="16"/>
                <w:szCs w:val="16"/>
                <w:b w:val="1"/>
                <w:bCs w:val="1"/>
                <w:color w:val="FFFFFF"/>
                <w:w w:val="96"/>
              </w:rPr>
              <w:t>YoY</w:t>
            </w:r>
          </w:p>
        </w:tc>
      </w:tr>
      <w:tr>
        <w:trPr>
          <w:trHeight w:val="172"/>
        </w:trPr>
        <w:tc>
          <w:tcPr>
            <w:tcW w:w="4260" w:type="dxa"/>
            <w:vAlign w:val="bottom"/>
            <w:tcBorders>
              <w:left w:val="single" w:sz="8" w:color="auto"/>
              <w:bottom w:val="single" w:sz="8" w:color="auto"/>
              <w:right w:val="single" w:sz="8" w:color="auto"/>
            </w:tcBorders>
          </w:tcPr>
          <w:p>
            <w:pPr>
              <w:ind w:left="20"/>
              <w:spacing w:after="0" w:line="172" w:lineRule="exact"/>
              <w:rPr>
                <w:sz w:val="20"/>
                <w:szCs w:val="20"/>
                <w:color w:val="auto"/>
              </w:rPr>
            </w:pPr>
            <w:r>
              <w:rPr>
                <w:rFonts w:ascii="Arial" w:cs="Arial" w:eastAsia="Arial" w:hAnsi="Arial"/>
                <w:sz w:val="16"/>
                <w:szCs w:val="16"/>
                <w:b w:val="1"/>
                <w:bCs w:val="1"/>
                <w:color w:val="auto"/>
              </w:rPr>
              <w:t>Total loans (Quarter-end balance)</w:t>
            </w:r>
          </w:p>
        </w:tc>
        <w:tc>
          <w:tcPr>
            <w:tcW w:w="12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8"/>
              </w:rPr>
              <w:t>142,568,785</w:t>
            </w:r>
          </w:p>
        </w:tc>
        <w:tc>
          <w:tcPr>
            <w:tcW w:w="128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8"/>
              </w:rPr>
              <w:t>140,961,978</w:t>
            </w:r>
          </w:p>
        </w:tc>
        <w:tc>
          <w:tcPr>
            <w:tcW w:w="130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144,752,254</w:t>
            </w:r>
          </w:p>
        </w:tc>
        <w:tc>
          <w:tcPr>
            <w:tcW w:w="122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3"/>
              </w:rPr>
              <w:t>2.7%</w:t>
            </w:r>
          </w:p>
        </w:tc>
        <w:tc>
          <w:tcPr>
            <w:tcW w:w="126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8"/>
              </w:rPr>
              <w:t>1.5%</w:t>
            </w:r>
          </w:p>
        </w:tc>
      </w:tr>
      <w:tr>
        <w:trPr>
          <w:trHeight w:val="172"/>
        </w:trPr>
        <w:tc>
          <w:tcPr>
            <w:tcW w:w="4260" w:type="dxa"/>
            <w:vAlign w:val="bottom"/>
            <w:tcBorders>
              <w:left w:val="single" w:sz="8" w:color="auto"/>
              <w:bottom w:val="single" w:sz="8" w:color="auto"/>
              <w:right w:val="single" w:sz="8" w:color="auto"/>
            </w:tcBorders>
          </w:tcPr>
          <w:p>
            <w:pPr>
              <w:ind w:left="20"/>
              <w:spacing w:after="0" w:line="172" w:lineRule="exact"/>
              <w:rPr>
                <w:sz w:val="20"/>
                <w:szCs w:val="20"/>
                <w:color w:val="auto"/>
              </w:rPr>
            </w:pPr>
            <w:r>
              <w:rPr>
                <w:rFonts w:ascii="Arial" w:cs="Arial" w:eastAsia="Arial" w:hAnsi="Arial"/>
                <w:sz w:val="16"/>
                <w:szCs w:val="16"/>
                <w:color w:val="auto"/>
              </w:rPr>
              <w:t>Write-offs</w:t>
            </w:r>
          </w:p>
        </w:tc>
        <w:tc>
          <w:tcPr>
            <w:tcW w:w="12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color w:val="auto"/>
                <w:w w:val="96"/>
              </w:rPr>
              <w:t>923,946</w:t>
            </w:r>
          </w:p>
        </w:tc>
        <w:tc>
          <w:tcPr>
            <w:tcW w:w="128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color w:val="auto"/>
                <w:w w:val="96"/>
              </w:rPr>
              <w:t>581,373</w:t>
            </w:r>
          </w:p>
        </w:tc>
        <w:tc>
          <w:tcPr>
            <w:tcW w:w="130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color w:val="auto"/>
                <w:w w:val="96"/>
              </w:rPr>
              <w:t>713,933</w:t>
            </w:r>
          </w:p>
        </w:tc>
        <w:tc>
          <w:tcPr>
            <w:tcW w:w="122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color w:val="auto"/>
                <w:w w:val="96"/>
              </w:rPr>
              <w:t>22.8%</w:t>
            </w:r>
          </w:p>
        </w:tc>
        <w:tc>
          <w:tcPr>
            <w:tcW w:w="126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color w:val="auto"/>
                <w:w w:val="94"/>
              </w:rPr>
              <w:t>-22.7%</w:t>
            </w:r>
          </w:p>
        </w:tc>
      </w:tr>
      <w:tr>
        <w:trPr>
          <w:trHeight w:val="161"/>
        </w:trPr>
        <w:tc>
          <w:tcPr>
            <w:tcW w:w="426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Internal overdue loans (IOLs)</w:t>
            </w:r>
          </w:p>
        </w:tc>
        <w:tc>
          <w:tcPr>
            <w:tcW w:w="1260" w:type="dxa"/>
            <w:vAlign w:val="bottom"/>
          </w:tcPr>
          <w:p>
            <w:pPr>
              <w:jc w:val="center"/>
              <w:spacing w:after="0" w:line="161" w:lineRule="exact"/>
              <w:rPr>
                <w:sz w:val="20"/>
                <w:szCs w:val="20"/>
                <w:color w:val="auto"/>
              </w:rPr>
            </w:pPr>
            <w:r>
              <w:rPr>
                <w:rFonts w:ascii="Arial" w:cs="Arial" w:eastAsia="Arial" w:hAnsi="Arial"/>
                <w:sz w:val="16"/>
                <w:szCs w:val="16"/>
                <w:color w:val="auto"/>
                <w:w w:val="95"/>
              </w:rPr>
              <w:t>6,026,341</w:t>
            </w:r>
          </w:p>
        </w:tc>
        <w:tc>
          <w:tcPr>
            <w:tcW w:w="1280" w:type="dxa"/>
            <w:vAlign w:val="bottom"/>
          </w:tcPr>
          <w:p>
            <w:pPr>
              <w:jc w:val="center"/>
              <w:spacing w:after="0" w:line="161" w:lineRule="exact"/>
              <w:rPr>
                <w:sz w:val="20"/>
                <w:szCs w:val="20"/>
                <w:color w:val="auto"/>
              </w:rPr>
            </w:pPr>
            <w:r>
              <w:rPr>
                <w:rFonts w:ascii="Arial" w:cs="Arial" w:eastAsia="Arial" w:hAnsi="Arial"/>
                <w:sz w:val="16"/>
                <w:szCs w:val="16"/>
                <w:color w:val="auto"/>
                <w:w w:val="98"/>
              </w:rPr>
              <w:t>5,044,212</w:t>
            </w:r>
          </w:p>
        </w:tc>
        <w:tc>
          <w:tcPr>
            <w:tcW w:w="130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6"/>
                <w:szCs w:val="16"/>
                <w:color w:val="auto"/>
                <w:w w:val="95"/>
              </w:rPr>
              <w:t>4,953,303</w:t>
            </w:r>
          </w:p>
        </w:tc>
        <w:tc>
          <w:tcPr>
            <w:tcW w:w="1220" w:type="dxa"/>
            <w:vAlign w:val="bottom"/>
          </w:tcPr>
          <w:p>
            <w:pPr>
              <w:jc w:val="center"/>
              <w:spacing w:after="0" w:line="161" w:lineRule="exact"/>
              <w:rPr>
                <w:sz w:val="20"/>
                <w:szCs w:val="20"/>
                <w:color w:val="auto"/>
              </w:rPr>
            </w:pPr>
            <w:r>
              <w:rPr>
                <w:rFonts w:ascii="Arial" w:cs="Arial" w:eastAsia="Arial" w:hAnsi="Arial"/>
                <w:sz w:val="16"/>
                <w:szCs w:val="16"/>
                <w:color w:val="auto"/>
              </w:rPr>
              <w:t>-1.8%</w:t>
            </w:r>
          </w:p>
        </w:tc>
        <w:tc>
          <w:tcPr>
            <w:tcW w:w="12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6"/>
                <w:szCs w:val="16"/>
                <w:color w:val="auto"/>
                <w:w w:val="94"/>
              </w:rPr>
              <w:t>-17.8%</w:t>
            </w:r>
          </w:p>
        </w:tc>
      </w:tr>
      <w:tr>
        <w:trPr>
          <w:trHeight w:val="180"/>
        </w:trPr>
        <w:tc>
          <w:tcPr>
            <w:tcW w:w="426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Internal overdue loans over 90-days</w:t>
            </w:r>
          </w:p>
        </w:tc>
        <w:tc>
          <w:tcPr>
            <w:tcW w:w="1260" w:type="dxa"/>
            <w:vAlign w:val="bottom"/>
          </w:tcPr>
          <w:p>
            <w:pPr>
              <w:jc w:val="center"/>
              <w:spacing w:after="0" w:line="180" w:lineRule="exact"/>
              <w:rPr>
                <w:sz w:val="20"/>
                <w:szCs w:val="20"/>
                <w:color w:val="auto"/>
              </w:rPr>
            </w:pPr>
            <w:r>
              <w:rPr>
                <w:rFonts w:ascii="Arial" w:cs="Arial" w:eastAsia="Arial" w:hAnsi="Arial"/>
                <w:sz w:val="16"/>
                <w:szCs w:val="16"/>
                <w:color w:val="auto"/>
                <w:w w:val="95"/>
              </w:rPr>
              <w:t>4,851,591</w:t>
            </w:r>
          </w:p>
        </w:tc>
        <w:tc>
          <w:tcPr>
            <w:tcW w:w="1280" w:type="dxa"/>
            <w:vAlign w:val="bottom"/>
          </w:tcPr>
          <w:p>
            <w:pPr>
              <w:jc w:val="center"/>
              <w:spacing w:after="0" w:line="180" w:lineRule="exact"/>
              <w:rPr>
                <w:sz w:val="20"/>
                <w:szCs w:val="20"/>
                <w:color w:val="auto"/>
              </w:rPr>
            </w:pPr>
            <w:r>
              <w:rPr>
                <w:rFonts w:ascii="Arial" w:cs="Arial" w:eastAsia="Arial" w:hAnsi="Arial"/>
                <w:sz w:val="16"/>
                <w:szCs w:val="16"/>
                <w:color w:val="auto"/>
                <w:w w:val="98"/>
              </w:rPr>
              <w:t>4,171,379</w:t>
            </w:r>
          </w:p>
        </w:tc>
        <w:tc>
          <w:tcPr>
            <w:tcW w:w="130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5"/>
              </w:rPr>
              <w:t>4,142,080</w:t>
            </w:r>
          </w:p>
        </w:tc>
        <w:tc>
          <w:tcPr>
            <w:tcW w:w="1220" w:type="dxa"/>
            <w:vAlign w:val="bottom"/>
          </w:tcPr>
          <w:p>
            <w:pPr>
              <w:jc w:val="center"/>
              <w:spacing w:after="0" w:line="180" w:lineRule="exact"/>
              <w:rPr>
                <w:sz w:val="20"/>
                <w:szCs w:val="20"/>
                <w:color w:val="auto"/>
              </w:rPr>
            </w:pPr>
            <w:r>
              <w:rPr>
                <w:rFonts w:ascii="Arial" w:cs="Arial" w:eastAsia="Arial" w:hAnsi="Arial"/>
                <w:sz w:val="16"/>
                <w:szCs w:val="16"/>
                <w:color w:val="auto"/>
              </w:rPr>
              <w:t>-0.7%</w:t>
            </w:r>
          </w:p>
        </w:tc>
        <w:tc>
          <w:tcPr>
            <w:tcW w:w="12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4"/>
              </w:rPr>
              <w:t>-14.6%</w:t>
            </w:r>
          </w:p>
        </w:tc>
      </w:tr>
      <w:tr>
        <w:trPr>
          <w:trHeight w:val="180"/>
        </w:trPr>
        <w:tc>
          <w:tcPr>
            <w:tcW w:w="426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Refinanced loans</w:t>
            </w:r>
          </w:p>
        </w:tc>
        <w:tc>
          <w:tcPr>
            <w:tcW w:w="1260" w:type="dxa"/>
            <w:vAlign w:val="bottom"/>
          </w:tcPr>
          <w:p>
            <w:pPr>
              <w:jc w:val="center"/>
              <w:spacing w:after="0" w:line="180" w:lineRule="exact"/>
              <w:rPr>
                <w:sz w:val="20"/>
                <w:szCs w:val="20"/>
                <w:color w:val="auto"/>
              </w:rPr>
            </w:pPr>
            <w:r>
              <w:rPr>
                <w:rFonts w:ascii="Arial" w:cs="Arial" w:eastAsia="Arial" w:hAnsi="Arial"/>
                <w:sz w:val="16"/>
                <w:szCs w:val="16"/>
                <w:color w:val="auto"/>
                <w:w w:val="95"/>
              </w:rPr>
              <w:t>2,333,814</w:t>
            </w:r>
          </w:p>
        </w:tc>
        <w:tc>
          <w:tcPr>
            <w:tcW w:w="1280" w:type="dxa"/>
            <w:vAlign w:val="bottom"/>
          </w:tcPr>
          <w:p>
            <w:pPr>
              <w:jc w:val="center"/>
              <w:spacing w:after="0" w:line="180" w:lineRule="exact"/>
              <w:rPr>
                <w:sz w:val="20"/>
                <w:szCs w:val="20"/>
                <w:color w:val="auto"/>
              </w:rPr>
            </w:pPr>
            <w:r>
              <w:rPr>
                <w:rFonts w:ascii="Arial" w:cs="Arial" w:eastAsia="Arial" w:hAnsi="Arial"/>
                <w:sz w:val="16"/>
                <w:szCs w:val="16"/>
                <w:color w:val="auto"/>
                <w:w w:val="98"/>
              </w:rPr>
              <w:t>1,947,709</w:t>
            </w:r>
          </w:p>
        </w:tc>
        <w:tc>
          <w:tcPr>
            <w:tcW w:w="130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5"/>
              </w:rPr>
              <w:t>2,016,442</w:t>
            </w:r>
          </w:p>
        </w:tc>
        <w:tc>
          <w:tcPr>
            <w:tcW w:w="1220" w:type="dxa"/>
            <w:vAlign w:val="bottom"/>
          </w:tcPr>
          <w:p>
            <w:pPr>
              <w:jc w:val="center"/>
              <w:spacing w:after="0" w:line="180" w:lineRule="exact"/>
              <w:rPr>
                <w:sz w:val="20"/>
                <w:szCs w:val="20"/>
                <w:color w:val="auto"/>
              </w:rPr>
            </w:pPr>
            <w:r>
              <w:rPr>
                <w:rFonts w:ascii="Arial" w:cs="Arial" w:eastAsia="Arial" w:hAnsi="Arial"/>
                <w:sz w:val="16"/>
                <w:szCs w:val="16"/>
                <w:color w:val="auto"/>
                <w:w w:val="93"/>
              </w:rPr>
              <w:t>3.5%</w:t>
            </w:r>
          </w:p>
        </w:tc>
        <w:tc>
          <w:tcPr>
            <w:tcW w:w="12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4"/>
              </w:rPr>
              <w:t>-13.6%</w:t>
            </w:r>
          </w:p>
        </w:tc>
      </w:tr>
      <w:tr>
        <w:trPr>
          <w:trHeight w:val="191"/>
        </w:trPr>
        <w:tc>
          <w:tcPr>
            <w:tcW w:w="4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Non-performing loans (NPLs)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8,360,155</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6,991,921</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6,969,745</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-0.3%</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-16.6%</w:t>
            </w:r>
          </w:p>
        </w:tc>
      </w:tr>
      <w:tr>
        <w:trPr>
          <w:trHeight w:val="159"/>
        </w:trPr>
        <w:tc>
          <w:tcPr>
            <w:tcW w:w="4260" w:type="dxa"/>
            <w:vAlign w:val="bottom"/>
            <w:tcBorders>
              <w:left w:val="single" w:sz="8" w:color="auto"/>
              <w:right w:val="single" w:sz="8" w:color="auto"/>
            </w:tcBorders>
          </w:tcPr>
          <w:p>
            <w:pPr>
              <w:ind w:left="20"/>
              <w:spacing w:after="0" w:line="159" w:lineRule="exact"/>
              <w:rPr>
                <w:sz w:val="20"/>
                <w:szCs w:val="20"/>
                <w:color w:val="auto"/>
              </w:rPr>
            </w:pPr>
            <w:r>
              <w:rPr>
                <w:rFonts w:ascii="Arial" w:cs="Arial" w:eastAsia="Arial" w:hAnsi="Arial"/>
                <w:sz w:val="16"/>
                <w:szCs w:val="16"/>
                <w:b w:val="1"/>
                <w:bCs w:val="1"/>
                <w:color w:val="auto"/>
              </w:rPr>
              <w:t>IOL ratio</w:t>
            </w:r>
          </w:p>
        </w:tc>
        <w:tc>
          <w:tcPr>
            <w:tcW w:w="12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4.2%</w:t>
            </w:r>
          </w:p>
        </w:tc>
        <w:tc>
          <w:tcPr>
            <w:tcW w:w="12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3.6%</w:t>
            </w:r>
          </w:p>
        </w:tc>
        <w:tc>
          <w:tcPr>
            <w:tcW w:w="13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b w:val="1"/>
                <w:bCs w:val="1"/>
                <w:color w:val="auto"/>
                <w:w w:val="98"/>
              </w:rPr>
              <w:t>3.4%</w:t>
            </w:r>
          </w:p>
        </w:tc>
        <w:tc>
          <w:tcPr>
            <w:tcW w:w="12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6"/>
              </w:rPr>
              <w:t>-16 bps</w:t>
            </w:r>
          </w:p>
        </w:tc>
        <w:tc>
          <w:tcPr>
            <w:tcW w:w="12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b w:val="1"/>
                <w:bCs w:val="1"/>
                <w:color w:val="auto"/>
                <w:w w:val="96"/>
              </w:rPr>
              <w:t>-81 bps</w:t>
            </w:r>
          </w:p>
        </w:tc>
      </w:tr>
      <w:tr>
        <w:trPr>
          <w:trHeight w:val="180"/>
        </w:trPr>
        <w:tc>
          <w:tcPr>
            <w:tcW w:w="426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16"/>
                <w:szCs w:val="16"/>
                <w:b w:val="1"/>
                <w:bCs w:val="1"/>
                <w:color w:val="auto"/>
              </w:rPr>
              <w:t>IOL over 90-days ratio</w:t>
            </w:r>
          </w:p>
        </w:tc>
        <w:tc>
          <w:tcPr>
            <w:tcW w:w="12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3.4%</w:t>
            </w:r>
          </w:p>
        </w:tc>
        <w:tc>
          <w:tcPr>
            <w:tcW w:w="12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3.0%</w:t>
            </w:r>
          </w:p>
        </w:tc>
        <w:tc>
          <w:tcPr>
            <w:tcW w:w="130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b w:val="1"/>
                <w:bCs w:val="1"/>
                <w:color w:val="auto"/>
                <w:w w:val="98"/>
              </w:rPr>
              <w:t>2.9%</w:t>
            </w:r>
          </w:p>
        </w:tc>
        <w:tc>
          <w:tcPr>
            <w:tcW w:w="12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-10 bps</w:t>
            </w:r>
          </w:p>
        </w:tc>
        <w:tc>
          <w:tcPr>
            <w:tcW w:w="12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b w:val="1"/>
                <w:bCs w:val="1"/>
                <w:color w:val="auto"/>
                <w:w w:val="96"/>
              </w:rPr>
              <w:t>-54 bps</w:t>
            </w:r>
          </w:p>
        </w:tc>
      </w:tr>
      <w:tr>
        <w:trPr>
          <w:trHeight w:val="193"/>
        </w:trPr>
        <w:tc>
          <w:tcPr>
            <w:tcW w:w="4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NPL ratio</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5.9%</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5.0%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4.8%</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-15 bps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-105 bps</w:t>
            </w:r>
          </w:p>
        </w:tc>
      </w:tr>
    </w:tbl>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the NPL balance dropped 0.3%, led primarily by</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and secondarily by</w:t>
      </w:r>
      <w:r>
        <w:rPr>
          <w:rFonts w:ascii="Arial" w:cs="Arial" w:eastAsia="Arial" w:hAnsi="Arial"/>
          <w:sz w:val="16"/>
          <w:szCs w:val="16"/>
          <w:b w:val="1"/>
          <w:bCs w:val="1"/>
          <w:color w:val="auto"/>
        </w:rPr>
        <w:t xml:space="preserve"> Mibanco</w:t>
      </w:r>
      <w:r>
        <w:rPr>
          <w:rFonts w:ascii="Arial" w:cs="Arial" w:eastAsia="Arial" w:hAnsi="Arial"/>
          <w:sz w:val="16"/>
          <w:szCs w:val="16"/>
          <w:color w:val="auto"/>
        </w:rPr>
        <w:t>. Write-offs rose 22.8%, spurred by extraordinary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write-offs, mainly of loans in the judicial recovery stage in </w:t>
      </w:r>
      <w:r>
        <w:rPr>
          <w:rFonts w:ascii="Arial" w:cs="Arial" w:eastAsia="Arial" w:hAnsi="Arial"/>
          <w:sz w:val="16"/>
          <w:szCs w:val="16"/>
          <w:b w:val="1"/>
          <w:bCs w:val="1"/>
          <w:color w:val="auto"/>
        </w:rPr>
        <w:t>SME-Pyme</w:t>
      </w:r>
      <w:r>
        <w:rPr>
          <w:rFonts w:ascii="Arial" w:cs="Arial" w:eastAsia="Arial" w:hAnsi="Arial"/>
          <w:sz w:val="16"/>
          <w:szCs w:val="16"/>
          <w:color w:val="auto"/>
        </w:rPr>
        <w:t>.</w:t>
      </w:r>
    </w:p>
    <w:p>
      <w:pPr>
        <w:spacing w:after="0" w:line="107" w:lineRule="exact"/>
        <w:rPr>
          <w:sz w:val="20"/>
          <w:szCs w:val="20"/>
          <w:color w:val="auto"/>
        </w:rPr>
      </w:pPr>
    </w:p>
    <w:p>
      <w:pPr>
        <w:jc w:val="both"/>
        <w:spacing w:after="0"/>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at</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the decrease in the NPL balance was driven primarily by</w:t>
      </w:r>
      <w:r>
        <w:rPr>
          <w:rFonts w:ascii="Arial" w:cs="Arial" w:eastAsia="Arial" w:hAnsi="Arial"/>
          <w:sz w:val="16"/>
          <w:szCs w:val="16"/>
          <w:b w:val="1"/>
          <w:bCs w:val="1"/>
          <w:color w:val="auto"/>
        </w:rPr>
        <w:t xml:space="preserve"> Retail Banking</w:t>
      </w:r>
      <w:r>
        <w:rPr>
          <w:rFonts w:ascii="Arial" w:cs="Arial" w:eastAsia="Arial" w:hAnsi="Arial"/>
          <w:sz w:val="16"/>
          <w:szCs w:val="16"/>
          <w:color w:val="auto"/>
        </w:rPr>
        <w:t>. This evolution was mainly attributable to (i)</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improvements in origination and debt collections management in </w:t>
      </w:r>
      <w:r>
        <w:rPr>
          <w:rFonts w:ascii="Arial" w:cs="Arial" w:eastAsia="Arial" w:hAnsi="Arial"/>
          <w:sz w:val="16"/>
          <w:szCs w:val="16"/>
          <w:b w:val="1"/>
          <w:bCs w:val="1"/>
          <w:color w:val="auto"/>
        </w:rPr>
        <w:t>Consumer</w:t>
      </w:r>
      <w:r>
        <w:rPr>
          <w:rFonts w:ascii="Arial" w:cs="Arial" w:eastAsia="Arial" w:hAnsi="Arial"/>
          <w:sz w:val="16"/>
          <w:szCs w:val="16"/>
          <w:color w:val="auto"/>
        </w:rPr>
        <w:t xml:space="preserve"> and </w:t>
      </w:r>
      <w:r>
        <w:rPr>
          <w:rFonts w:ascii="Arial" w:cs="Arial" w:eastAsia="Arial" w:hAnsi="Arial"/>
          <w:sz w:val="16"/>
          <w:szCs w:val="16"/>
          <w:b w:val="1"/>
          <w:bCs w:val="1"/>
          <w:color w:val="auto"/>
        </w:rPr>
        <w:t>Credit Cards</w:t>
      </w:r>
      <w:r>
        <w:rPr>
          <w:rFonts w:ascii="Arial" w:cs="Arial" w:eastAsia="Arial" w:hAnsi="Arial"/>
          <w:sz w:val="16"/>
          <w:szCs w:val="16"/>
          <w:color w:val="auto"/>
        </w:rPr>
        <w:t xml:space="preserve">, and (ii) debt repayments by clients with loans under judicial recovery in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The reduction in the balance in </w:t>
      </w:r>
      <w:r>
        <w:rPr>
          <w:rFonts w:ascii="Arial" w:cs="Arial" w:eastAsia="Arial" w:hAnsi="Arial"/>
          <w:sz w:val="16"/>
          <w:szCs w:val="16"/>
          <w:b w:val="1"/>
          <w:bCs w:val="1"/>
          <w:color w:val="auto"/>
        </w:rPr>
        <w:t>Retail Banking</w:t>
      </w:r>
      <w:r>
        <w:rPr>
          <w:rFonts w:ascii="Arial" w:cs="Arial" w:eastAsia="Arial" w:hAnsi="Arial"/>
          <w:sz w:val="16"/>
          <w:szCs w:val="16"/>
          <w:color w:val="auto"/>
        </w:rPr>
        <w:t xml:space="preserve"> was upset by an uptick in NPLs in </w:t>
      </w:r>
      <w:r>
        <w:rPr>
          <w:rFonts w:ascii="Arial" w:cs="Arial" w:eastAsia="Arial" w:hAnsi="Arial"/>
          <w:sz w:val="16"/>
          <w:szCs w:val="16"/>
          <w:b w:val="1"/>
          <w:bCs w:val="1"/>
          <w:color w:val="auto"/>
        </w:rPr>
        <w:t>Wholesale Banking,</w:t>
      </w:r>
      <w:r>
        <w:rPr>
          <w:rFonts w:ascii="Arial" w:cs="Arial" w:eastAsia="Arial" w:hAnsi="Arial"/>
          <w:sz w:val="16"/>
          <w:szCs w:val="16"/>
          <w:color w:val="auto"/>
        </w:rPr>
        <w:t xml:space="preserve"> which was fueled mainly by refinancing of a client in the real estate sector. At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 the reduction in the NPL balance was attributable to a drop in overdue loans, which fell primarily on the back of stricter origination and improvements in debt collections management that began one year ago. Currently, 78% of the loan portfolio is comprised of new, healthier loans that were originated under these policies.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the NPL balance dropped 16.6%, led primarily by</w:t>
      </w:r>
      <w:r>
        <w:rPr>
          <w:rFonts w:ascii="Arial" w:cs="Arial" w:eastAsia="Arial" w:hAnsi="Arial"/>
          <w:sz w:val="16"/>
          <w:szCs w:val="16"/>
          <w:b w:val="1"/>
          <w:bCs w:val="1"/>
          <w:color w:val="auto"/>
        </w:rPr>
        <w:t xml:space="preserve"> BCP Stand -alone </w:t>
      </w:r>
      <w:r>
        <w:rPr>
          <w:rFonts w:ascii="Arial" w:cs="Arial" w:eastAsia="Arial" w:hAnsi="Arial"/>
          <w:sz w:val="16"/>
          <w:szCs w:val="16"/>
          <w:color w:val="auto"/>
        </w:rPr>
        <w:t>and to a lesser extent by</w:t>
      </w:r>
      <w:r>
        <w:rPr>
          <w:rFonts w:ascii="Arial" w:cs="Arial" w:eastAsia="Arial" w:hAnsi="Arial"/>
          <w:sz w:val="16"/>
          <w:szCs w:val="16"/>
          <w:b w:val="1"/>
          <w:bCs w:val="1"/>
          <w:color w:val="auto"/>
        </w:rPr>
        <w:t xml:space="preserve"> Mibanco</w:t>
      </w:r>
      <w:r>
        <w:rPr>
          <w:rFonts w:ascii="Arial" w:cs="Arial" w:eastAsia="Arial" w:hAnsi="Arial"/>
          <w:sz w:val="16"/>
          <w:szCs w:val="16"/>
          <w:color w:val="auto"/>
        </w:rPr>
        <w:t>. The reduction in write-offs (-22.7%) was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spurred mainly by an improvement in origination quality in the </w:t>
      </w:r>
      <w:r>
        <w:rPr>
          <w:rFonts w:ascii="Arial" w:cs="Arial" w:eastAsia="Arial" w:hAnsi="Arial"/>
          <w:sz w:val="16"/>
          <w:szCs w:val="16"/>
          <w:b w:val="1"/>
          <w:bCs w:val="1"/>
          <w:color w:val="auto"/>
        </w:rPr>
        <w:t>Retail</w:t>
      </w:r>
      <w:r>
        <w:rPr>
          <w:rFonts w:ascii="Arial" w:cs="Arial" w:eastAsia="Arial" w:hAnsi="Arial"/>
          <w:sz w:val="16"/>
          <w:szCs w:val="16"/>
          <w:color w:val="auto"/>
        </w:rPr>
        <w:t xml:space="preserve"> segment.</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at</w:t>
      </w:r>
      <w:r>
        <w:rPr>
          <w:rFonts w:ascii="Arial" w:cs="Arial" w:eastAsia="Arial" w:hAnsi="Arial"/>
          <w:sz w:val="16"/>
          <w:szCs w:val="16"/>
          <w:b w:val="1"/>
          <w:bCs w:val="1"/>
          <w:color w:val="auto"/>
        </w:rPr>
        <w:t xml:space="preserve"> BCP Stand-alone</w:t>
      </w:r>
      <w:r>
        <w:rPr>
          <w:rFonts w:ascii="Arial" w:cs="Arial" w:eastAsia="Arial" w:hAnsi="Arial"/>
          <w:sz w:val="16"/>
          <w:szCs w:val="16"/>
          <w:color w:val="auto"/>
        </w:rPr>
        <w:t>, the decrease in the NPL balance was driven primarily by</w:t>
      </w:r>
      <w:r>
        <w:rPr>
          <w:rFonts w:ascii="Arial" w:cs="Arial" w:eastAsia="Arial" w:hAnsi="Arial"/>
          <w:sz w:val="16"/>
          <w:szCs w:val="16"/>
          <w:b w:val="1"/>
          <w:bCs w:val="1"/>
          <w:color w:val="auto"/>
        </w:rPr>
        <w:t xml:space="preserve"> Retail Banking </w:t>
      </w:r>
      <w:r>
        <w:rPr>
          <w:rFonts w:ascii="Arial" w:cs="Arial" w:eastAsia="Arial" w:hAnsi="Arial"/>
          <w:sz w:val="16"/>
          <w:szCs w:val="16"/>
          <w:color w:val="auto"/>
        </w:rPr>
        <w:t>and secondarily by</w:t>
      </w:r>
      <w:r>
        <w:rPr>
          <w:rFonts w:ascii="Arial" w:cs="Arial" w:eastAsia="Arial" w:hAnsi="Arial"/>
          <w:sz w:val="16"/>
          <w:szCs w:val="16"/>
          <w:b w:val="1"/>
          <w:bCs w:val="1"/>
          <w:color w:val="auto"/>
        </w:rPr>
        <w:t xml:space="preserve"> Wholesale Banking. </w:t>
      </w:r>
      <w:r>
        <w:rPr>
          <w:rFonts w:ascii="Arial" w:cs="Arial" w:eastAsia="Arial" w:hAnsi="Arial"/>
          <w:sz w:val="16"/>
          <w:szCs w:val="16"/>
          <w:color w:val="auto"/>
        </w:rPr>
        <w:t>In</w:t>
      </w:r>
      <w:r>
        <w:rPr>
          <w:rFonts w:ascii="Arial" w:cs="Arial" w:eastAsia="Arial" w:hAnsi="Arial"/>
          <w:sz w:val="16"/>
          <w:szCs w:val="16"/>
          <w:b w:val="1"/>
          <w:bCs w:val="1"/>
          <w:color w:val="auto"/>
        </w:rPr>
        <w:t xml:space="preserve"> Retail, </w:t>
      </w:r>
      <w:r>
        <w:rPr>
          <w:rFonts w:ascii="Arial" w:cs="Arial" w:eastAsia="Arial" w:hAnsi="Arial"/>
          <w:sz w:val="16"/>
          <w:szCs w:val="16"/>
          <w:color w:val="auto"/>
        </w:rPr>
        <w:t xml:space="preserve">the reduction was mainly attributable, in order of impact, to an uptick in debt repayments due to an increase in liquidity in the system, followed by the same dynamics seen in the QoQ Analysis, in the </w:t>
      </w:r>
      <w:r>
        <w:rPr>
          <w:rFonts w:ascii="Arial" w:cs="Arial" w:eastAsia="Arial" w:hAnsi="Arial"/>
          <w:sz w:val="16"/>
          <w:szCs w:val="16"/>
          <w:b w:val="1"/>
          <w:bCs w:val="1"/>
          <w:color w:val="auto"/>
        </w:rPr>
        <w:t>Consumer</w:t>
      </w:r>
      <w:r>
        <w:rPr>
          <w:rFonts w:ascii="Arial" w:cs="Arial" w:eastAsia="Arial" w:hAnsi="Arial"/>
          <w:sz w:val="16"/>
          <w:szCs w:val="16"/>
          <w:color w:val="auto"/>
        </w:rPr>
        <w:t xml:space="preserve"> and </w:t>
      </w:r>
      <w:r>
        <w:rPr>
          <w:rFonts w:ascii="Arial" w:cs="Arial" w:eastAsia="Arial" w:hAnsi="Arial"/>
          <w:sz w:val="16"/>
          <w:szCs w:val="16"/>
          <w:b w:val="1"/>
          <w:bCs w:val="1"/>
          <w:color w:val="auto"/>
        </w:rPr>
        <w:t>Credit Card</w:t>
      </w:r>
      <w:r>
        <w:rPr>
          <w:rFonts w:ascii="Arial" w:cs="Arial" w:eastAsia="Arial" w:hAnsi="Arial"/>
          <w:sz w:val="16"/>
          <w:szCs w:val="16"/>
          <w:color w:val="auto"/>
        </w:rPr>
        <w:t xml:space="preserve"> segments; and a reduction in overdue loans, which was concentrated mainly among clients with medium ticket (&gt; S/ 150 thousand) and lower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714375</wp:posOffset>
            </wp:positionV>
            <wp:extent cx="670750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97155</wp:posOffset>
            </wp:positionV>
            <wp:extent cx="5991225" cy="5257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91225" cy="525780"/>
                    </a:xfrm>
                    <a:prstGeom prst="rect">
                      <a:avLst/>
                    </a:prstGeom>
                    <a:noFill/>
                  </pic:spPr>
                </pic:pic>
              </a:graphicData>
            </a:graphic>
          </wp:anchor>
        </w:drawing>
      </w:r>
    </w:p>
    <w:p>
      <w:pPr>
        <w:sectPr>
          <w:pgSz w:w="11900" w:h="16840" w:orient="portrait"/>
          <w:cols w:equalWidth="0" w:num="1">
            <w:col w:w="10560"/>
          </w:cols>
          <w:pgMar w:left="660" w:top="929" w:right="680" w:bottom="1440" w:gutter="0" w:footer="0" w:header="0"/>
        </w:sectPr>
      </w:pPr>
    </w:p>
    <w:bookmarkStart w:id="30" w:name="page31"/>
    <w:bookmarkEnd w:id="30"/>
    <w:p>
      <w:pPr>
        <w:ind w:left="2560"/>
        <w:spacing w:after="0"/>
        <w:tabs>
          <w:tab w:leader="none" w:pos="2840" w:val="left"/>
          <w:tab w:leader="none" w:pos="822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86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07505" cy="5867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6707505"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05. Portfolio Quality and Provisions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loans in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In </w:t>
      </w:r>
      <w:r>
        <w:rPr>
          <w:rFonts w:ascii="Arial" w:cs="Arial" w:eastAsia="Arial" w:hAnsi="Arial"/>
          <w:sz w:val="16"/>
          <w:szCs w:val="16"/>
          <w:b w:val="1"/>
          <w:bCs w:val="1"/>
          <w:color w:val="auto"/>
        </w:rPr>
        <w:t>Wholesale,</w:t>
      </w:r>
      <w:r>
        <w:rPr>
          <w:rFonts w:ascii="Arial" w:cs="Arial" w:eastAsia="Arial" w:hAnsi="Arial"/>
          <w:sz w:val="16"/>
          <w:szCs w:val="16"/>
          <w:color w:val="auto"/>
        </w:rPr>
        <w:t xml:space="preserve"> the drop in NPLs was primarily spurred by total debt repayment by two corporate clients in the real estate sector.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Finally, at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the reduction in NPLs was driven by the same dynamics in play  </w:t>
      </w:r>
      <w:r>
        <w:rPr>
          <w:rFonts w:ascii="Arial" w:cs="Arial" w:eastAsia="Arial" w:hAnsi="Arial"/>
          <w:sz w:val="16"/>
          <w:szCs w:val="16"/>
          <w:b w:val="1"/>
          <w:bCs w:val="1"/>
          <w:color w:val="auto"/>
        </w:rPr>
        <w:t>QoQ</w:t>
      </w:r>
      <w:r>
        <w:rPr>
          <w:rFonts w:ascii="Arial" w:cs="Arial" w:eastAsia="Arial" w:hAnsi="Arial"/>
          <w:sz w:val="16"/>
          <w:szCs w:val="16"/>
          <w:color w:val="auto"/>
        </w:rPr>
        <w:t>.</w:t>
      </w:r>
    </w:p>
    <w:p>
      <w:pPr>
        <w:spacing w:after="0" w:line="148"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NPL Ratio for Total Loans</w:t>
      </w:r>
    </w:p>
    <w:p>
      <w:pPr>
        <w:spacing w:after="0" w:line="12" w:lineRule="exact"/>
        <w:rPr>
          <w:sz w:val="20"/>
          <w:szCs w:val="20"/>
          <w:color w:val="auto"/>
        </w:rPr>
      </w:pPr>
    </w:p>
    <w:p>
      <w:pPr>
        <w:jc w:val="both"/>
        <w:ind w:left="5500"/>
        <w:spacing w:after="0" w:line="244" w:lineRule="auto"/>
        <w:rPr>
          <w:sz w:val="20"/>
          <w:szCs w:val="20"/>
          <w:color w:val="auto"/>
        </w:rPr>
      </w:pPr>
      <w:r>
        <w:rPr>
          <w:rFonts w:ascii="Arial" w:cs="Arial" w:eastAsia="Arial" w:hAnsi="Arial"/>
          <w:sz w:val="16"/>
          <w:szCs w:val="16"/>
          <w:color w:val="auto"/>
        </w:rPr>
        <w:t xml:space="preserve">The NPL ratio at </w:t>
      </w:r>
      <w:r>
        <w:rPr>
          <w:rFonts w:ascii="Arial" w:cs="Arial" w:eastAsia="Arial" w:hAnsi="Arial"/>
          <w:sz w:val="16"/>
          <w:szCs w:val="16"/>
          <w:b w:val="1"/>
          <w:bCs w:val="1"/>
          <w:color w:val="auto"/>
        </w:rPr>
        <w:t>Credicorp</w:t>
      </w:r>
      <w:r>
        <w:rPr>
          <w:rFonts w:ascii="Arial" w:cs="Arial" w:eastAsia="Arial" w:hAnsi="Arial"/>
          <w:sz w:val="16"/>
          <w:szCs w:val="16"/>
          <w:color w:val="auto"/>
        </w:rPr>
        <w:t xml:space="preserve"> fell 15 bps </w:t>
      </w:r>
      <w:r>
        <w:rPr>
          <w:rFonts w:ascii="Arial" w:cs="Arial" w:eastAsia="Arial" w:hAnsi="Arial"/>
          <w:sz w:val="16"/>
          <w:szCs w:val="16"/>
          <w:b w:val="1"/>
          <w:bCs w:val="1"/>
          <w:color w:val="auto"/>
        </w:rPr>
        <w:t>QoQ</w:t>
      </w:r>
      <w:r>
        <w:rPr>
          <w:rFonts w:ascii="Arial" w:cs="Arial" w:eastAsia="Arial" w:hAnsi="Arial"/>
          <w:sz w:val="16"/>
          <w:szCs w:val="16"/>
          <w:color w:val="auto"/>
        </w:rPr>
        <w:t xml:space="preserve"> to stand at 4.8%. This decline was driven mainly by loan growth and secondarily, by the same drivers that drove the NPL evolution in the </w:t>
      </w:r>
      <w:r>
        <w:rPr>
          <w:rFonts w:ascii="Arial" w:cs="Arial" w:eastAsia="Arial" w:hAnsi="Arial"/>
          <w:sz w:val="16"/>
          <w:szCs w:val="16"/>
          <w:b w:val="1"/>
          <w:bCs w:val="1"/>
          <w:color w:val="auto"/>
        </w:rPr>
        <w:t>QoQ</w:t>
      </w:r>
      <w:r>
        <w:rPr>
          <w:rFonts w:ascii="Arial" w:cs="Arial" w:eastAsia="Arial" w:hAnsi="Arial"/>
          <w:sz w:val="16"/>
          <w:szCs w:val="16"/>
          <w:color w:val="auto"/>
        </w:rPr>
        <w:t xml:space="preserve">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-250825</wp:posOffset>
            </wp:positionV>
            <wp:extent cx="2728595" cy="13874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28595" cy="1387475"/>
                    </a:xfrm>
                    <a:prstGeom prst="rect">
                      <a:avLst/>
                    </a:prstGeom>
                    <a:noFill/>
                  </pic:spPr>
                </pic:pic>
              </a:graphicData>
            </a:graphic>
          </wp:anchor>
        </w:drawing>
      </w:r>
    </w:p>
    <w:p>
      <w:pPr>
        <w:spacing w:after="0" w:line="123" w:lineRule="exact"/>
        <w:rPr>
          <w:sz w:val="20"/>
          <w:szCs w:val="20"/>
          <w:color w:val="auto"/>
        </w:rPr>
      </w:pPr>
    </w:p>
    <w:p>
      <w:pPr>
        <w:jc w:val="both"/>
        <w:ind w:left="5500" w:right="20"/>
        <w:spacing w:after="0" w:line="275" w:lineRule="auto"/>
        <w:rPr>
          <w:sz w:val="20"/>
          <w:szCs w:val="20"/>
          <w:color w:val="auto"/>
        </w:rPr>
      </w:pPr>
      <w:r>
        <w:rPr>
          <w:rFonts w:ascii="Arial" w:cs="Arial" w:eastAsia="Arial" w:hAnsi="Arial"/>
          <w:sz w:val="16"/>
          <w:szCs w:val="16"/>
          <w:b w:val="1"/>
          <w:bCs w:val="1"/>
          <w:color w:val="auto"/>
        </w:rPr>
        <w:t>If we analyze the QoQ evolution of the NPL ratio by subsidiary, we see:</w:t>
      </w:r>
    </w:p>
    <w:p>
      <w:pPr>
        <w:spacing w:after="0" w:line="119" w:lineRule="exact"/>
        <w:rPr>
          <w:sz w:val="20"/>
          <w:szCs w:val="20"/>
          <w:color w:val="auto"/>
        </w:rPr>
      </w:pPr>
    </w:p>
    <w:p>
      <w:pPr>
        <w:jc w:val="both"/>
        <w:ind w:left="5500"/>
        <w:spacing w:after="0" w:line="291" w:lineRule="auto"/>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BCP Stand-alone,</w:t>
      </w:r>
      <w:r>
        <w:rPr>
          <w:rFonts w:ascii="Arial" w:cs="Arial" w:eastAsia="Arial" w:hAnsi="Arial"/>
          <w:sz w:val="14"/>
          <w:szCs w:val="14"/>
          <w:color w:val="auto"/>
        </w:rPr>
        <w:t xml:space="preserve"> where the NPL ratio dropped 12 bps. In the case of </w:t>
      </w:r>
      <w:r>
        <w:rPr>
          <w:rFonts w:ascii="Arial" w:cs="Arial" w:eastAsia="Arial" w:hAnsi="Arial"/>
          <w:sz w:val="14"/>
          <w:szCs w:val="14"/>
          <w:b w:val="1"/>
          <w:bCs w:val="1"/>
          <w:color w:val="auto"/>
        </w:rPr>
        <w:t>Small Businesses and Mortgage</w:t>
      </w:r>
      <w:r>
        <w:rPr>
          <w:rFonts w:ascii="Arial" w:cs="Arial" w:eastAsia="Arial" w:hAnsi="Arial"/>
          <w:sz w:val="14"/>
          <w:szCs w:val="14"/>
          <w:color w:val="auto"/>
        </w:rPr>
        <w:t xml:space="preserve">, the reduction in the NPL ratio was attributable mainly to loan growth whereas in </w:t>
      </w:r>
      <w:r>
        <w:rPr>
          <w:rFonts w:ascii="Arial" w:cs="Arial" w:eastAsia="Arial" w:hAnsi="Arial"/>
          <w:sz w:val="14"/>
          <w:szCs w:val="14"/>
          <w:b w:val="1"/>
          <w:bCs w:val="1"/>
          <w:color w:val="auto"/>
        </w:rPr>
        <w:t>Consumer</w:t>
      </w:r>
      <w:r>
        <w:rPr>
          <w:rFonts w:ascii="Arial" w:cs="Arial" w:eastAsia="Arial" w:hAnsi="Arial"/>
          <w:sz w:val="14"/>
          <w:szCs w:val="14"/>
          <w:color w:val="auto"/>
        </w:rPr>
        <w:t xml:space="preserve"> and Credit Cards, the decline was spurred primarily by a drop in NPL volumes.</w:t>
      </w:r>
    </w:p>
    <w:p>
      <w:pPr>
        <w:spacing w:after="0" w:line="200" w:lineRule="exact"/>
        <w:rPr>
          <w:sz w:val="20"/>
          <w:szCs w:val="20"/>
          <w:color w:val="auto"/>
        </w:rPr>
      </w:pPr>
    </w:p>
    <w:p>
      <w:pPr>
        <w:spacing w:after="0" w:line="280" w:lineRule="exact"/>
        <w:rPr>
          <w:sz w:val="20"/>
          <w:szCs w:val="20"/>
          <w:color w:val="auto"/>
        </w:rPr>
      </w:pPr>
    </w:p>
    <w:p>
      <w:pPr>
        <w:ind w:left="580" w:hanging="298"/>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Mibanco</w:t>
      </w:r>
      <w:r>
        <w:rPr>
          <w:rFonts w:ascii="Arial" w:cs="Arial" w:eastAsia="Arial" w:hAnsi="Arial"/>
          <w:sz w:val="16"/>
          <w:szCs w:val="16"/>
          <w:color w:val="auto"/>
        </w:rPr>
        <w:t>, where the NPL ratio fell 41 bps. This evolution was fueled primarily by a drop in NPL volumes and secondarily, by loan growth.</w:t>
      </w:r>
    </w:p>
    <w:p>
      <w:pPr>
        <w:spacing w:after="0" w:line="153"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6"/>
          <w:szCs w:val="16"/>
          <w:b w:val="1"/>
          <w:bCs w:val="1"/>
          <w:color w:val="auto"/>
        </w:rPr>
        <w:t xml:space="preserve">NPL Ratio for Total Loans at BCP </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31115</wp:posOffset>
            </wp:positionV>
            <wp:extent cx="2766695" cy="18370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66695" cy="1837055"/>
                    </a:xfrm>
                    <a:prstGeom prst="rect">
                      <a:avLst/>
                    </a:prstGeom>
                    <a:noFill/>
                  </pic:spPr>
                </pic:pic>
              </a:graphicData>
            </a:graphic>
          </wp:anchor>
        </w:drawing>
      </w:r>
    </w:p>
    <w:p>
      <w:pPr>
        <w:spacing w:after="0" w:line="40" w:lineRule="exact"/>
        <w:rPr>
          <w:sz w:val="20"/>
          <w:szCs w:val="20"/>
          <w:color w:val="auto"/>
        </w:rPr>
      </w:pPr>
    </w:p>
    <w:p>
      <w:pPr>
        <w:jc w:val="both"/>
        <w:ind w:left="5500"/>
        <w:spacing w:after="0" w:line="247" w:lineRule="auto"/>
        <w:rPr>
          <w:sz w:val="20"/>
          <w:szCs w:val="20"/>
          <w:color w:val="auto"/>
        </w:rPr>
      </w:pPr>
      <w:r>
        <w:rPr>
          <w:rFonts w:ascii="Arial" w:cs="Arial" w:eastAsia="Arial" w:hAnsi="Arial"/>
          <w:sz w:val="16"/>
          <w:szCs w:val="16"/>
          <w:color w:val="auto"/>
        </w:rPr>
        <w:t xml:space="preserve">The NPL ratio at Credicorp dropped 105 bps </w:t>
      </w:r>
      <w:r>
        <w:rPr>
          <w:rFonts w:ascii="Arial" w:cs="Arial" w:eastAsia="Arial" w:hAnsi="Arial"/>
          <w:sz w:val="16"/>
          <w:szCs w:val="16"/>
          <w:b w:val="1"/>
          <w:bCs w:val="1"/>
          <w:color w:val="auto"/>
        </w:rPr>
        <w:t>YoY</w:t>
      </w:r>
      <w:r>
        <w:rPr>
          <w:rFonts w:ascii="Arial" w:cs="Arial" w:eastAsia="Arial" w:hAnsi="Arial"/>
          <w:sz w:val="16"/>
          <w:szCs w:val="16"/>
          <w:color w:val="auto"/>
        </w:rPr>
        <w:t xml:space="preserve"> to stand at 4.8%. This decline was driven mainly by the same dynamics that fueled the evolution of NPLs </w:t>
      </w:r>
      <w:r>
        <w:rPr>
          <w:rFonts w:ascii="Arial" w:cs="Arial" w:eastAsia="Arial" w:hAnsi="Arial"/>
          <w:sz w:val="16"/>
          <w:szCs w:val="16"/>
          <w:b w:val="1"/>
          <w:bCs w:val="1"/>
          <w:color w:val="auto"/>
        </w:rPr>
        <w:t>YoY</w:t>
      </w:r>
      <w:r>
        <w:rPr>
          <w:rFonts w:ascii="Arial" w:cs="Arial" w:eastAsia="Arial" w:hAnsi="Arial"/>
          <w:sz w:val="16"/>
          <w:szCs w:val="16"/>
          <w:color w:val="auto"/>
        </w:rPr>
        <w:t xml:space="preserve"> and secondarily, by loan growth.</w:t>
      </w:r>
    </w:p>
    <w:p>
      <w:pPr>
        <w:spacing w:after="0" w:line="140" w:lineRule="exact"/>
        <w:rPr>
          <w:sz w:val="20"/>
          <w:szCs w:val="20"/>
          <w:color w:val="auto"/>
        </w:rPr>
      </w:pPr>
    </w:p>
    <w:p>
      <w:pPr>
        <w:ind w:left="5500" w:right="40"/>
        <w:spacing w:after="0" w:line="275" w:lineRule="auto"/>
        <w:rPr>
          <w:sz w:val="20"/>
          <w:szCs w:val="20"/>
          <w:color w:val="auto"/>
        </w:rPr>
      </w:pPr>
      <w:r>
        <w:rPr>
          <w:rFonts w:ascii="Arial" w:cs="Arial" w:eastAsia="Arial" w:hAnsi="Arial"/>
          <w:sz w:val="16"/>
          <w:szCs w:val="16"/>
          <w:b w:val="1"/>
          <w:bCs w:val="1"/>
          <w:color w:val="auto"/>
        </w:rPr>
        <w:t>If we analyze the YoY evolution of the NPL Ratio by Subsidary, we see:</w:t>
      </w:r>
    </w:p>
    <w:p>
      <w:pPr>
        <w:spacing w:after="0" w:line="119" w:lineRule="exact"/>
        <w:rPr>
          <w:sz w:val="20"/>
          <w:szCs w:val="20"/>
          <w:color w:val="auto"/>
        </w:rPr>
      </w:pPr>
    </w:p>
    <w:p>
      <w:pPr>
        <w:jc w:val="both"/>
        <w:ind w:left="5500" w:right="20"/>
        <w:spacing w:after="0" w:line="242"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where the NPL ratio fell 119 bps </w:t>
      </w:r>
      <w:r>
        <w:rPr>
          <w:rFonts w:ascii="Arial" w:cs="Arial" w:eastAsia="Arial" w:hAnsi="Arial"/>
          <w:sz w:val="16"/>
          <w:szCs w:val="16"/>
          <w:b w:val="1"/>
          <w:bCs w:val="1"/>
          <w:color w:val="auto"/>
        </w:rPr>
        <w:t>YoY</w:t>
      </w:r>
      <w:r>
        <w:rPr>
          <w:rFonts w:ascii="Arial" w:cs="Arial" w:eastAsia="Arial" w:hAnsi="Arial"/>
          <w:sz w:val="16"/>
          <w:szCs w:val="16"/>
          <w:color w:val="auto"/>
        </w:rPr>
        <w:t xml:space="preserve">. Across segments, except for </w:t>
      </w:r>
      <w:r>
        <w:rPr>
          <w:rFonts w:ascii="Arial" w:cs="Arial" w:eastAsia="Arial" w:hAnsi="Arial"/>
          <w:sz w:val="16"/>
          <w:szCs w:val="16"/>
          <w:b w:val="1"/>
          <w:bCs w:val="1"/>
          <w:color w:val="auto"/>
        </w:rPr>
        <w:t>Mortgage</w:t>
      </w:r>
      <w:r>
        <w:rPr>
          <w:rFonts w:ascii="Arial" w:cs="Arial" w:eastAsia="Arial" w:hAnsi="Arial"/>
          <w:sz w:val="16"/>
          <w:szCs w:val="16"/>
          <w:color w:val="auto"/>
        </w:rPr>
        <w:t xml:space="preserve">, the reduction in the NPL ratio was mainly attributable to a drop in NPL volumes. In the case of </w:t>
      </w:r>
      <w:r>
        <w:rPr>
          <w:rFonts w:ascii="Arial" w:cs="Arial" w:eastAsia="Arial" w:hAnsi="Arial"/>
          <w:sz w:val="16"/>
          <w:szCs w:val="16"/>
          <w:b w:val="1"/>
          <w:bCs w:val="1"/>
          <w:color w:val="auto"/>
        </w:rPr>
        <w:t>Mortgage</w:t>
      </w:r>
      <w:r>
        <w:rPr>
          <w:rFonts w:ascii="Arial" w:cs="Arial" w:eastAsia="Arial" w:hAnsi="Arial"/>
          <w:sz w:val="16"/>
          <w:szCs w:val="16"/>
          <w:color w:val="auto"/>
        </w:rPr>
        <w:t>, the decline in the NPL ratio was driven primarily by loan growth and secondarily, by a reduction in NPL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0" w:hanging="154"/>
        <w:spacing w:after="0"/>
        <w:tabs>
          <w:tab w:leader="none" w:pos="1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It corresponds to management information by segment in BCP Stand-Alone.</w:t>
      </w:r>
    </w:p>
    <w:p>
      <w:pPr>
        <w:spacing w:after="0" w:line="160" w:lineRule="exact"/>
        <w:rPr>
          <w:rFonts w:ascii="Arial" w:cs="Arial" w:eastAsia="Arial" w:hAnsi="Arial"/>
          <w:sz w:val="11"/>
          <w:szCs w:val="11"/>
          <w:color w:val="auto"/>
        </w:rPr>
      </w:pPr>
    </w:p>
    <w:p>
      <w:pPr>
        <w:ind w:left="720" w:hanging="294"/>
        <w:spacing w:after="0"/>
        <w:tabs>
          <w:tab w:leader="none" w:pos="720" w:val="left"/>
        </w:tabs>
        <w:numPr>
          <w:ilvl w:val="1"/>
          <w:numId w:val="21"/>
        </w:numPr>
        <w:rPr>
          <w:rFonts w:ascii="Arial" w:cs="Arial" w:eastAsia="Arial" w:hAnsi="Arial"/>
          <w:sz w:val="16"/>
          <w:szCs w:val="16"/>
          <w:color w:val="auto"/>
        </w:rPr>
      </w:pPr>
      <w:r>
        <w:rPr>
          <w:rFonts w:ascii="Arial" w:cs="Arial" w:eastAsia="Arial" w:hAnsi="Arial"/>
          <w:sz w:val="16"/>
          <w:szCs w:val="16"/>
          <w:b w:val="1"/>
          <w:bCs w:val="1"/>
          <w:color w:val="auto"/>
        </w:rPr>
        <w:t>Mibanco</w:t>
      </w:r>
      <w:r>
        <w:rPr>
          <w:rFonts w:ascii="Arial" w:cs="Arial" w:eastAsia="Arial" w:hAnsi="Arial"/>
          <w:sz w:val="16"/>
          <w:szCs w:val="16"/>
          <w:color w:val="auto"/>
        </w:rPr>
        <w:t>, where the NPL ratio dropped 215 bps</w:t>
      </w:r>
      <w:r>
        <w:rPr>
          <w:rFonts w:ascii="Arial" w:cs="Arial" w:eastAsia="Arial" w:hAnsi="Arial"/>
          <w:sz w:val="16"/>
          <w:szCs w:val="16"/>
          <w:b w:val="1"/>
          <w:bCs w:val="1"/>
          <w:color w:val="auto"/>
        </w:rPr>
        <w:t xml:space="preserve"> YoY</w:t>
      </w:r>
      <w:r>
        <w:rPr>
          <w:rFonts w:ascii="Arial" w:cs="Arial" w:eastAsia="Arial" w:hAnsi="Arial"/>
          <w:sz w:val="16"/>
          <w:szCs w:val="16"/>
          <w:color w:val="auto"/>
        </w:rPr>
        <w:t>, fueled mainly by a reduction in NPL volumes and secondarily, by loan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722630</wp:posOffset>
            </wp:positionV>
            <wp:extent cx="670750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112395</wp:posOffset>
            </wp:positionV>
            <wp:extent cx="5991225" cy="518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91225" cy="518160"/>
                    </a:xfrm>
                    <a:prstGeom prst="rect">
                      <a:avLst/>
                    </a:prstGeom>
                    <a:noFill/>
                  </pic:spPr>
                </pic:pic>
              </a:graphicData>
            </a:graphic>
          </wp:anchor>
        </w:drawing>
      </w:r>
    </w:p>
    <w:p>
      <w:pPr>
        <w:sectPr>
          <w:pgSz w:w="11900" w:h="16840" w:orient="portrait"/>
          <w:cols w:equalWidth="0" w:num="1">
            <w:col w:w="10580"/>
          </w:cols>
          <w:pgMar w:left="660" w:top="929" w:right="660" w:bottom="1440" w:gutter="0" w:footer="0" w:header="0"/>
        </w:sectPr>
      </w:pPr>
    </w:p>
    <w:bookmarkStart w:id="31" w:name="page32"/>
    <w:bookmarkEnd w:id="31"/>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05. Portfolio Quality and Provisions</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60" w:type="dxa"/>
            <w:vAlign w:val="bottom"/>
          </w:tcPr>
          <w:p>
            <w:pPr>
              <w:spacing w:after="0"/>
              <w:rPr>
                <w:sz w:val="20"/>
                <w:szCs w:val="20"/>
                <w:color w:val="auto"/>
              </w:rPr>
            </w:pPr>
            <w:r>
              <w:rPr>
                <w:rFonts w:ascii="Arial" w:cs="Arial" w:eastAsia="Arial" w:hAnsi="Arial"/>
                <w:sz w:val="16"/>
                <w:szCs w:val="16"/>
                <w:b w:val="1"/>
                <w:bCs w:val="1"/>
                <w:color w:val="auto"/>
              </w:rPr>
              <w:t>5.2</w:t>
            </w:r>
          </w:p>
        </w:tc>
        <w:tc>
          <w:tcPr>
            <w:tcW w:w="3940" w:type="dxa"/>
            <w:vAlign w:val="bottom"/>
            <w:gridSpan w:val="2"/>
          </w:tcPr>
          <w:p>
            <w:pPr>
              <w:ind w:left="80"/>
              <w:spacing w:after="0"/>
              <w:rPr>
                <w:sz w:val="20"/>
                <w:szCs w:val="20"/>
                <w:color w:val="auto"/>
              </w:rPr>
            </w:pPr>
            <w:r>
              <w:rPr>
                <w:rFonts w:ascii="Arial" w:cs="Arial" w:eastAsia="Arial" w:hAnsi="Arial"/>
                <w:sz w:val="16"/>
                <w:szCs w:val="16"/>
                <w:b w:val="1"/>
                <w:bCs w:val="1"/>
                <w:color w:val="auto"/>
              </w:rPr>
              <w:t>Provisions and Cost of Risk of the Total Portfolio</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46"/>
        </w:trPr>
        <w:tc>
          <w:tcPr>
            <w:tcW w:w="3440" w:type="dxa"/>
            <w:vAlign w:val="bottom"/>
            <w:tcBorders>
              <w:bottom w:val="single" w:sz="8" w:color="auto"/>
            </w:tcBorders>
            <w:gridSpan w:val="2"/>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124"/>
        </w:trPr>
        <w:tc>
          <w:tcPr>
            <w:tcW w:w="3440" w:type="dxa"/>
            <w:vAlign w:val="bottom"/>
            <w:tcBorders>
              <w:left w:val="single" w:sz="8" w:color="auto"/>
              <w:right w:val="single" w:sz="8" w:color="auto"/>
            </w:tcBorders>
            <w:gridSpan w:val="2"/>
            <w:shd w:val="clear" w:color="auto" w:fill="2AD2C9"/>
          </w:tcPr>
          <w:p>
            <w:pPr>
              <w:ind w:left="20"/>
              <w:spacing w:after="0" w:line="124" w:lineRule="exact"/>
              <w:rPr>
                <w:sz w:val="20"/>
                <w:szCs w:val="20"/>
                <w:color w:val="auto"/>
              </w:rPr>
            </w:pPr>
            <w:r>
              <w:rPr>
                <w:rFonts w:ascii="Arial" w:cs="Arial" w:eastAsia="Arial" w:hAnsi="Arial"/>
                <w:sz w:val="11"/>
                <w:szCs w:val="11"/>
                <w:b w:val="1"/>
                <w:bCs w:val="1"/>
                <w:color w:val="FFFFFF"/>
              </w:rPr>
              <w:t>Loan Portfolio Provisions</w:t>
            </w:r>
          </w:p>
        </w:tc>
        <w:tc>
          <w:tcPr>
            <w:tcW w:w="860" w:type="dxa"/>
            <w:vAlign w:val="bottom"/>
            <w:shd w:val="clear" w:color="auto" w:fill="2AD2C9"/>
          </w:tcPr>
          <w:p>
            <w:pPr>
              <w:spacing w:after="0"/>
              <w:rPr>
                <w:sz w:val="10"/>
                <w:szCs w:val="10"/>
                <w:color w:val="auto"/>
              </w:rPr>
            </w:pPr>
          </w:p>
        </w:tc>
        <w:tc>
          <w:tcPr>
            <w:tcW w:w="880" w:type="dxa"/>
            <w:vAlign w:val="bottom"/>
            <w:shd w:val="clear" w:color="auto" w:fill="2AD2C9"/>
          </w:tcPr>
          <w:p>
            <w:pPr>
              <w:ind w:left="240"/>
              <w:spacing w:after="0" w:line="124" w:lineRule="exact"/>
              <w:rPr>
                <w:sz w:val="20"/>
                <w:szCs w:val="20"/>
                <w:color w:val="auto"/>
              </w:rPr>
            </w:pPr>
            <w:r>
              <w:rPr>
                <w:rFonts w:ascii="Arial" w:cs="Arial" w:eastAsia="Arial" w:hAnsi="Arial"/>
                <w:sz w:val="11"/>
                <w:szCs w:val="11"/>
                <w:b w:val="1"/>
                <w:bCs w:val="1"/>
                <w:color w:val="FFFFFF"/>
              </w:rPr>
              <w:t>Quarter</w:t>
            </w:r>
          </w:p>
        </w:tc>
        <w:tc>
          <w:tcPr>
            <w:tcW w:w="880" w:type="dxa"/>
            <w:vAlign w:val="bottom"/>
            <w:tcBorders>
              <w:right w:val="single" w:sz="8" w:color="auto"/>
            </w:tcBorders>
            <w:shd w:val="clear" w:color="auto" w:fill="2AD2C9"/>
          </w:tcPr>
          <w:p>
            <w:pPr>
              <w:spacing w:after="0"/>
              <w:rPr>
                <w:sz w:val="10"/>
                <w:szCs w:val="10"/>
                <w:color w:val="auto"/>
              </w:rPr>
            </w:pPr>
          </w:p>
        </w:tc>
        <w:tc>
          <w:tcPr>
            <w:tcW w:w="1300" w:type="dxa"/>
            <w:vAlign w:val="bottom"/>
            <w:tcBorders>
              <w:right w:val="single" w:sz="8" w:color="auto"/>
            </w:tcBorders>
            <w:gridSpan w:val="2"/>
            <w:shd w:val="clear" w:color="auto" w:fill="2AD2C9"/>
          </w:tcPr>
          <w:p>
            <w:pPr>
              <w:ind w:left="380"/>
              <w:spacing w:after="0" w:line="124" w:lineRule="exact"/>
              <w:rPr>
                <w:sz w:val="20"/>
                <w:szCs w:val="20"/>
                <w:color w:val="auto"/>
              </w:rPr>
            </w:pPr>
            <w:r>
              <w:rPr>
                <w:rFonts w:ascii="Arial" w:cs="Arial" w:eastAsia="Arial" w:hAnsi="Arial"/>
                <w:sz w:val="11"/>
                <w:szCs w:val="11"/>
                <w:b w:val="1"/>
                <w:bCs w:val="1"/>
                <w:color w:val="FFFFFF"/>
              </w:rPr>
              <w:t>% change</w:t>
            </w:r>
          </w:p>
        </w:tc>
        <w:tc>
          <w:tcPr>
            <w:tcW w:w="800" w:type="dxa"/>
            <w:vAlign w:val="bottom"/>
            <w:shd w:val="clear" w:color="auto" w:fill="2AD2C9"/>
          </w:tcPr>
          <w:p>
            <w:pPr>
              <w:spacing w:after="0"/>
              <w:rPr>
                <w:sz w:val="10"/>
                <w:szCs w:val="10"/>
                <w:color w:val="auto"/>
              </w:rPr>
            </w:pPr>
          </w:p>
        </w:tc>
        <w:tc>
          <w:tcPr>
            <w:tcW w:w="1160" w:type="dxa"/>
            <w:vAlign w:val="bottom"/>
            <w:tcBorders>
              <w:right w:val="single" w:sz="8" w:color="auto"/>
            </w:tcBorders>
            <w:shd w:val="clear" w:color="auto" w:fill="2AD2C9"/>
          </w:tcPr>
          <w:p>
            <w:pPr>
              <w:ind w:left="40"/>
              <w:spacing w:after="0" w:line="124" w:lineRule="exact"/>
              <w:rPr>
                <w:sz w:val="20"/>
                <w:szCs w:val="20"/>
                <w:color w:val="auto"/>
              </w:rPr>
            </w:pPr>
            <w:r>
              <w:rPr>
                <w:rFonts w:ascii="Arial" w:cs="Arial" w:eastAsia="Arial" w:hAnsi="Arial"/>
                <w:sz w:val="11"/>
                <w:szCs w:val="11"/>
                <w:b w:val="1"/>
                <w:bCs w:val="1"/>
                <w:color w:val="FFFFFF"/>
              </w:rPr>
              <w:t>Up to</w:t>
            </w:r>
          </w:p>
        </w:tc>
        <w:tc>
          <w:tcPr>
            <w:tcW w:w="1260" w:type="dxa"/>
            <w:vAlign w:val="bottom"/>
            <w:tcBorders>
              <w:right w:val="single" w:sz="8" w:color="auto"/>
            </w:tcBorders>
            <w:shd w:val="clear" w:color="auto" w:fill="2AD2C9"/>
          </w:tcPr>
          <w:p>
            <w:pPr>
              <w:jc w:val="center"/>
              <w:spacing w:after="0" w:line="124" w:lineRule="exact"/>
              <w:rPr>
                <w:sz w:val="20"/>
                <w:szCs w:val="20"/>
                <w:color w:val="auto"/>
              </w:rPr>
            </w:pPr>
            <w:r>
              <w:rPr>
                <w:rFonts w:ascii="Arial" w:cs="Arial" w:eastAsia="Arial" w:hAnsi="Arial"/>
                <w:sz w:val="11"/>
                <w:szCs w:val="11"/>
                <w:b w:val="1"/>
                <w:bCs w:val="1"/>
                <w:color w:val="FFFFFF"/>
              </w:rPr>
              <w:t>% change</w:t>
            </w:r>
          </w:p>
        </w:tc>
      </w:tr>
      <w:tr>
        <w:trPr>
          <w:trHeight w:val="144"/>
        </w:trPr>
        <w:tc>
          <w:tcPr>
            <w:tcW w:w="360" w:type="dxa"/>
            <w:vAlign w:val="bottom"/>
            <w:tcBorders>
              <w:left w:val="single" w:sz="8" w:color="auto"/>
              <w:bottom w:val="single" w:sz="8" w:color="auto"/>
            </w:tcBorders>
            <w:shd w:val="clear" w:color="auto" w:fill="2AD2C9"/>
          </w:tcPr>
          <w:p>
            <w:pPr>
              <w:ind w:left="20"/>
              <w:spacing w:after="0"/>
              <w:rPr>
                <w:sz w:val="20"/>
                <w:szCs w:val="20"/>
                <w:color w:val="auto"/>
              </w:rPr>
            </w:pPr>
            <w:r>
              <w:rPr>
                <w:rFonts w:ascii="Arial" w:cs="Arial" w:eastAsia="Arial" w:hAnsi="Arial"/>
                <w:sz w:val="11"/>
                <w:szCs w:val="11"/>
                <w:b w:val="1"/>
                <w:bCs w:val="1"/>
                <w:color w:val="FFFFFF"/>
              </w:rPr>
              <w:t>S/000</w:t>
            </w:r>
          </w:p>
        </w:tc>
        <w:tc>
          <w:tcPr>
            <w:tcW w:w="3080" w:type="dxa"/>
            <w:vAlign w:val="bottom"/>
            <w:tcBorders>
              <w:bottom w:val="single" w:sz="8" w:color="auto"/>
              <w:right w:val="single" w:sz="8" w:color="auto"/>
            </w:tcBorders>
            <w:shd w:val="clear" w:color="auto" w:fill="2AD2C9"/>
          </w:tcPr>
          <w:p>
            <w:pPr>
              <w:spacing w:after="0"/>
              <w:rPr>
                <w:sz w:val="12"/>
                <w:szCs w:val="12"/>
                <w:color w:val="auto"/>
              </w:rPr>
            </w:pP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3Q24</w:t>
            </w:r>
          </w:p>
        </w:tc>
        <w:tc>
          <w:tcPr>
            <w:tcW w:w="8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2Q25</w:t>
            </w:r>
          </w:p>
        </w:tc>
        <w:tc>
          <w:tcPr>
            <w:tcW w:w="8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3Q25</w:t>
            </w:r>
          </w:p>
        </w:tc>
        <w:tc>
          <w:tcPr>
            <w:tcW w:w="580" w:type="dxa"/>
            <w:vAlign w:val="bottom"/>
            <w:tcBorders>
              <w:bottom w:val="single" w:sz="8" w:color="auto"/>
            </w:tcBorders>
            <w:shd w:val="clear" w:color="auto" w:fill="2AD2C9"/>
          </w:tcPr>
          <w:p>
            <w:pPr>
              <w:jc w:val="right"/>
              <w:ind w:right="126"/>
              <w:spacing w:after="0"/>
              <w:rPr>
                <w:sz w:val="20"/>
                <w:szCs w:val="20"/>
                <w:color w:val="auto"/>
              </w:rPr>
            </w:pPr>
            <w:r>
              <w:rPr>
                <w:rFonts w:ascii="Arial" w:cs="Arial" w:eastAsia="Arial" w:hAnsi="Arial"/>
                <w:sz w:val="11"/>
                <w:szCs w:val="11"/>
                <w:b w:val="1"/>
                <w:bCs w:val="1"/>
                <w:color w:val="FFFFFF"/>
              </w:rPr>
              <w:t>QoQ</w:t>
            </w:r>
          </w:p>
        </w:tc>
        <w:tc>
          <w:tcPr>
            <w:tcW w:w="7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YoY</w:t>
            </w:r>
          </w:p>
        </w:tc>
        <w:tc>
          <w:tcPr>
            <w:tcW w:w="80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1"/>
                <w:szCs w:val="11"/>
                <w:b w:val="1"/>
                <w:bCs w:val="1"/>
                <w:color w:val="FFFFFF"/>
              </w:rPr>
              <w:t>Sep 24</w:t>
            </w:r>
          </w:p>
        </w:tc>
        <w:tc>
          <w:tcPr>
            <w:tcW w:w="1160" w:type="dxa"/>
            <w:vAlign w:val="bottom"/>
            <w:tcBorders>
              <w:bottom w:val="single" w:sz="8" w:color="auto"/>
              <w:right w:val="single" w:sz="8" w:color="auto"/>
            </w:tcBorders>
            <w:shd w:val="clear" w:color="auto" w:fill="2AD2C9"/>
          </w:tcPr>
          <w:p>
            <w:pPr>
              <w:ind w:left="480"/>
              <w:spacing w:after="0"/>
              <w:rPr>
                <w:sz w:val="20"/>
                <w:szCs w:val="20"/>
                <w:color w:val="auto"/>
              </w:rPr>
            </w:pPr>
            <w:r>
              <w:rPr>
                <w:rFonts w:ascii="Arial" w:cs="Arial" w:eastAsia="Arial" w:hAnsi="Arial"/>
                <w:sz w:val="11"/>
                <w:szCs w:val="11"/>
                <w:b w:val="1"/>
                <w:bCs w:val="1"/>
                <w:color w:val="FFFFFF"/>
              </w:rPr>
              <w:t>Sep 25</w:t>
            </w:r>
          </w:p>
        </w:tc>
        <w:tc>
          <w:tcPr>
            <w:tcW w:w="12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7"/>
              </w:rPr>
              <w:t>Sep 25 / Sep 24</w:t>
            </w:r>
          </w:p>
        </w:tc>
      </w:tr>
      <w:tr>
        <w:trPr>
          <w:trHeight w:val="124"/>
        </w:trPr>
        <w:tc>
          <w:tcPr>
            <w:tcW w:w="3440" w:type="dxa"/>
            <w:vAlign w:val="bottom"/>
            <w:tcBorders>
              <w:left w:val="single" w:sz="8" w:color="auto"/>
              <w:right w:val="single" w:sz="8" w:color="auto"/>
            </w:tcBorders>
            <w:gridSpan w:val="2"/>
          </w:tcPr>
          <w:p>
            <w:pPr>
              <w:ind w:left="20"/>
              <w:spacing w:after="0" w:line="124" w:lineRule="exact"/>
              <w:rPr>
                <w:sz w:val="20"/>
                <w:szCs w:val="20"/>
                <w:color w:val="auto"/>
              </w:rPr>
            </w:pPr>
            <w:r>
              <w:rPr>
                <w:rFonts w:ascii="Arial" w:cs="Arial" w:eastAsia="Arial" w:hAnsi="Arial"/>
                <w:sz w:val="11"/>
                <w:szCs w:val="11"/>
                <w:color w:val="auto"/>
              </w:rPr>
              <w:t>Gross provision for credit losses on loan portfolio</w:t>
            </w:r>
          </w:p>
        </w:tc>
        <w:tc>
          <w:tcPr>
            <w:tcW w:w="860" w:type="dxa"/>
            <w:vAlign w:val="bottom"/>
          </w:tcPr>
          <w:p>
            <w:pPr>
              <w:jc w:val="center"/>
              <w:spacing w:after="0" w:line="124" w:lineRule="exact"/>
              <w:rPr>
                <w:sz w:val="20"/>
                <w:szCs w:val="20"/>
                <w:color w:val="auto"/>
              </w:rPr>
            </w:pPr>
            <w:r>
              <w:rPr>
                <w:rFonts w:ascii="Arial" w:cs="Arial" w:eastAsia="Arial" w:hAnsi="Arial"/>
                <w:sz w:val="11"/>
                <w:szCs w:val="11"/>
                <w:color w:val="auto"/>
                <w:w w:val="97"/>
              </w:rPr>
              <w:t>(981,870)</w:t>
            </w:r>
          </w:p>
        </w:tc>
        <w:tc>
          <w:tcPr>
            <w:tcW w:w="880" w:type="dxa"/>
            <w:vAlign w:val="bottom"/>
          </w:tcPr>
          <w:p>
            <w:pPr>
              <w:jc w:val="center"/>
              <w:spacing w:after="0" w:line="124" w:lineRule="exact"/>
              <w:rPr>
                <w:sz w:val="20"/>
                <w:szCs w:val="20"/>
                <w:color w:val="auto"/>
              </w:rPr>
            </w:pPr>
            <w:r>
              <w:rPr>
                <w:rFonts w:ascii="Arial" w:cs="Arial" w:eastAsia="Arial" w:hAnsi="Arial"/>
                <w:sz w:val="11"/>
                <w:szCs w:val="11"/>
                <w:color w:val="auto"/>
                <w:w w:val="97"/>
              </w:rPr>
              <w:t>(683,965)</w:t>
            </w:r>
          </w:p>
        </w:tc>
        <w:tc>
          <w:tcPr>
            <w:tcW w:w="8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(720,445)</w:t>
            </w:r>
          </w:p>
        </w:tc>
        <w:tc>
          <w:tcPr>
            <w:tcW w:w="580" w:type="dxa"/>
            <w:vAlign w:val="bottom"/>
          </w:tcPr>
          <w:p>
            <w:pPr>
              <w:jc w:val="right"/>
              <w:ind w:right="126"/>
              <w:spacing w:after="0" w:line="124" w:lineRule="exact"/>
              <w:rPr>
                <w:sz w:val="20"/>
                <w:szCs w:val="20"/>
                <w:color w:val="auto"/>
              </w:rPr>
            </w:pPr>
            <w:r>
              <w:rPr>
                <w:rFonts w:ascii="Arial" w:cs="Arial" w:eastAsia="Arial" w:hAnsi="Arial"/>
                <w:sz w:val="11"/>
                <w:szCs w:val="11"/>
                <w:color w:val="auto"/>
              </w:rPr>
              <w:t>5.3%</w:t>
            </w:r>
          </w:p>
        </w:tc>
        <w:tc>
          <w:tcPr>
            <w:tcW w:w="7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-26.6%</w:t>
            </w:r>
          </w:p>
        </w:tc>
        <w:tc>
          <w:tcPr>
            <w:tcW w:w="800" w:type="dxa"/>
            <w:vAlign w:val="bottom"/>
          </w:tcPr>
          <w:p>
            <w:pPr>
              <w:jc w:val="center"/>
              <w:ind w:left="106"/>
              <w:spacing w:after="0" w:line="124" w:lineRule="exact"/>
              <w:rPr>
                <w:sz w:val="20"/>
                <w:szCs w:val="20"/>
                <w:color w:val="auto"/>
              </w:rPr>
            </w:pPr>
            <w:r>
              <w:rPr>
                <w:rFonts w:ascii="Arial" w:cs="Arial" w:eastAsia="Arial" w:hAnsi="Arial"/>
                <w:sz w:val="11"/>
                <w:szCs w:val="11"/>
                <w:color w:val="auto"/>
                <w:w w:val="99"/>
              </w:rPr>
              <w:t>(3,085,607)</w:t>
            </w:r>
          </w:p>
        </w:tc>
        <w:tc>
          <w:tcPr>
            <w:tcW w:w="1160" w:type="dxa"/>
            <w:vAlign w:val="bottom"/>
            <w:tcBorders>
              <w:right w:val="single" w:sz="8" w:color="auto"/>
            </w:tcBorders>
          </w:tcPr>
          <w:p>
            <w:pPr>
              <w:jc w:val="center"/>
              <w:ind w:left="106"/>
              <w:spacing w:after="0" w:line="124" w:lineRule="exact"/>
              <w:rPr>
                <w:sz w:val="20"/>
                <w:szCs w:val="20"/>
                <w:color w:val="auto"/>
              </w:rPr>
            </w:pPr>
            <w:r>
              <w:rPr>
                <w:rFonts w:ascii="Arial" w:cs="Arial" w:eastAsia="Arial" w:hAnsi="Arial"/>
                <w:sz w:val="11"/>
                <w:szCs w:val="11"/>
                <w:color w:val="auto"/>
                <w:w w:val="99"/>
              </w:rPr>
              <w:t>(2,100,143)</w:t>
            </w:r>
          </w:p>
        </w:tc>
        <w:tc>
          <w:tcPr>
            <w:tcW w:w="12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-31.9%</w:t>
            </w:r>
          </w:p>
        </w:tc>
      </w:tr>
      <w:tr>
        <w:trPr>
          <w:trHeight w:val="132"/>
        </w:trPr>
        <w:tc>
          <w:tcPr>
            <w:tcW w:w="34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1"/>
                <w:szCs w:val="11"/>
                <w:color w:val="auto"/>
              </w:rPr>
              <w:t>Recoveries of written-off loans</w:t>
            </w:r>
          </w:p>
        </w:tc>
        <w:tc>
          <w:tcPr>
            <w:tcW w:w="860" w:type="dxa"/>
            <w:vAlign w:val="bottom"/>
          </w:tcPr>
          <w:p>
            <w:pPr>
              <w:jc w:val="center"/>
              <w:spacing w:after="0"/>
              <w:rPr>
                <w:sz w:val="20"/>
                <w:szCs w:val="20"/>
                <w:color w:val="auto"/>
              </w:rPr>
            </w:pPr>
            <w:r>
              <w:rPr>
                <w:rFonts w:ascii="Arial" w:cs="Arial" w:eastAsia="Arial" w:hAnsi="Arial"/>
                <w:sz w:val="11"/>
                <w:szCs w:val="11"/>
                <w:color w:val="auto"/>
                <w:w w:val="95"/>
              </w:rPr>
              <w:t>113,789</w:t>
            </w:r>
          </w:p>
        </w:tc>
        <w:tc>
          <w:tcPr>
            <w:tcW w:w="880" w:type="dxa"/>
            <w:vAlign w:val="bottom"/>
          </w:tcPr>
          <w:p>
            <w:pPr>
              <w:jc w:val="center"/>
              <w:spacing w:after="0"/>
              <w:rPr>
                <w:sz w:val="20"/>
                <w:szCs w:val="20"/>
                <w:color w:val="auto"/>
              </w:rPr>
            </w:pPr>
            <w:r>
              <w:rPr>
                <w:rFonts w:ascii="Arial" w:cs="Arial" w:eastAsia="Arial" w:hAnsi="Arial"/>
                <w:sz w:val="11"/>
                <w:szCs w:val="11"/>
                <w:color w:val="auto"/>
              </w:rPr>
              <w:t>108,806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117,527</w:t>
            </w:r>
          </w:p>
        </w:tc>
        <w:tc>
          <w:tcPr>
            <w:tcW w:w="580" w:type="dxa"/>
            <w:vAlign w:val="bottom"/>
          </w:tcPr>
          <w:p>
            <w:pPr>
              <w:jc w:val="right"/>
              <w:ind w:right="126"/>
              <w:spacing w:after="0"/>
              <w:rPr>
                <w:sz w:val="20"/>
                <w:szCs w:val="20"/>
                <w:color w:val="auto"/>
              </w:rPr>
            </w:pPr>
            <w:r>
              <w:rPr>
                <w:rFonts w:ascii="Arial" w:cs="Arial" w:eastAsia="Arial" w:hAnsi="Arial"/>
                <w:sz w:val="11"/>
                <w:szCs w:val="11"/>
                <w:color w:val="auto"/>
              </w:rPr>
              <w:t>8.0%</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3.3%</w:t>
            </w:r>
          </w:p>
        </w:tc>
        <w:tc>
          <w:tcPr>
            <w:tcW w:w="800" w:type="dxa"/>
            <w:vAlign w:val="bottom"/>
          </w:tcPr>
          <w:p>
            <w:pPr>
              <w:jc w:val="center"/>
              <w:ind w:left="86"/>
              <w:spacing w:after="0"/>
              <w:rPr>
                <w:sz w:val="20"/>
                <w:szCs w:val="20"/>
                <w:color w:val="auto"/>
              </w:rPr>
            </w:pPr>
            <w:r>
              <w:rPr>
                <w:rFonts w:ascii="Arial" w:cs="Arial" w:eastAsia="Arial" w:hAnsi="Arial"/>
                <w:sz w:val="11"/>
                <w:szCs w:val="11"/>
                <w:color w:val="auto"/>
                <w:w w:val="95"/>
              </w:rPr>
              <w:t>309,456</w:t>
            </w:r>
          </w:p>
        </w:tc>
        <w:tc>
          <w:tcPr>
            <w:tcW w:w="1160" w:type="dxa"/>
            <w:vAlign w:val="bottom"/>
            <w:tcBorders>
              <w:right w:val="single" w:sz="8" w:color="auto"/>
            </w:tcBorders>
          </w:tcPr>
          <w:p>
            <w:pPr>
              <w:jc w:val="center"/>
              <w:ind w:left="86"/>
              <w:spacing w:after="0"/>
              <w:rPr>
                <w:sz w:val="20"/>
                <w:szCs w:val="20"/>
                <w:color w:val="auto"/>
              </w:rPr>
            </w:pPr>
            <w:r>
              <w:rPr>
                <w:rFonts w:ascii="Arial" w:cs="Arial" w:eastAsia="Arial" w:hAnsi="Arial"/>
                <w:sz w:val="11"/>
                <w:szCs w:val="11"/>
                <w:color w:val="auto"/>
                <w:w w:val="95"/>
              </w:rPr>
              <w:t>340,173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9.9%</w:t>
            </w:r>
          </w:p>
        </w:tc>
      </w:tr>
      <w:tr>
        <w:trPr>
          <w:trHeight w:val="132"/>
        </w:trPr>
        <w:tc>
          <w:tcPr>
            <w:tcW w:w="34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Provision for credit losses on loan portfolio, net of recoveries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(868,081)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(575,159)</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(602,918)</w:t>
            </w:r>
          </w:p>
        </w:tc>
        <w:tc>
          <w:tcPr>
            <w:tcW w:w="5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4.8%</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-30.5%</w:t>
            </w:r>
          </w:p>
        </w:tc>
        <w:tc>
          <w:tcPr>
            <w:tcW w:w="800" w:type="dxa"/>
            <w:vAlign w:val="bottom"/>
            <w:tcBorders>
              <w:bottom w:val="single" w:sz="8" w:color="auto"/>
            </w:tcBorders>
          </w:tcPr>
          <w:p>
            <w:pPr>
              <w:jc w:val="center"/>
              <w:ind w:left="106"/>
              <w:spacing w:after="0"/>
              <w:rPr>
                <w:sz w:val="20"/>
                <w:szCs w:val="20"/>
                <w:color w:val="auto"/>
              </w:rPr>
            </w:pPr>
            <w:r>
              <w:rPr>
                <w:rFonts w:ascii="Arial" w:cs="Arial" w:eastAsia="Arial" w:hAnsi="Arial"/>
                <w:sz w:val="11"/>
                <w:szCs w:val="11"/>
                <w:b w:val="1"/>
                <w:bCs w:val="1"/>
                <w:color w:val="auto"/>
                <w:w w:val="99"/>
              </w:rPr>
              <w:t>(2,776,151)</w:t>
            </w:r>
          </w:p>
        </w:tc>
        <w:tc>
          <w:tcPr>
            <w:tcW w:w="1160" w:type="dxa"/>
            <w:vAlign w:val="bottom"/>
            <w:tcBorders>
              <w:bottom w:val="single" w:sz="8" w:color="auto"/>
              <w:right w:val="single" w:sz="8" w:color="auto"/>
            </w:tcBorders>
          </w:tcPr>
          <w:p>
            <w:pPr>
              <w:jc w:val="center"/>
              <w:ind w:left="106"/>
              <w:spacing w:after="0"/>
              <w:rPr>
                <w:sz w:val="20"/>
                <w:szCs w:val="20"/>
                <w:color w:val="auto"/>
              </w:rPr>
            </w:pPr>
            <w:r>
              <w:rPr>
                <w:rFonts w:ascii="Arial" w:cs="Arial" w:eastAsia="Arial" w:hAnsi="Arial"/>
                <w:sz w:val="11"/>
                <w:szCs w:val="11"/>
                <w:b w:val="1"/>
                <w:bCs w:val="1"/>
                <w:color w:val="auto"/>
                <w:w w:val="99"/>
              </w:rPr>
              <w:t>(1,759,970)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-36.6%</w:t>
            </w:r>
          </w:p>
        </w:tc>
      </w:tr>
      <w:tr>
        <w:trPr>
          <w:trHeight w:val="124"/>
        </w:trPr>
        <w:tc>
          <w:tcPr>
            <w:tcW w:w="3440" w:type="dxa"/>
            <w:vAlign w:val="bottom"/>
            <w:tcBorders>
              <w:left w:val="single" w:sz="8" w:color="auto"/>
              <w:bottom w:val="single" w:sz="8" w:color="auto"/>
              <w:right w:val="single" w:sz="8" w:color="auto"/>
            </w:tcBorders>
            <w:gridSpan w:val="2"/>
          </w:tcPr>
          <w:p>
            <w:pPr>
              <w:ind w:left="20"/>
              <w:spacing w:after="0" w:line="124" w:lineRule="exact"/>
              <w:rPr>
                <w:sz w:val="20"/>
                <w:szCs w:val="20"/>
                <w:color w:val="auto"/>
              </w:rPr>
            </w:pPr>
            <w:r>
              <w:rPr>
                <w:rFonts w:ascii="Arial" w:cs="Arial" w:eastAsia="Arial" w:hAnsi="Arial"/>
                <w:sz w:val="9"/>
                <w:szCs w:val="9"/>
                <w:color w:val="auto"/>
              </w:rPr>
              <w:t xml:space="preserve">Cost of risk </w:t>
            </w:r>
            <w:r>
              <w:rPr>
                <w:rFonts w:ascii="Arial" w:cs="Arial" w:eastAsia="Arial" w:hAnsi="Arial"/>
                <w:sz w:val="14"/>
                <w:szCs w:val="14"/>
                <w:color w:val="auto"/>
                <w:vertAlign w:val="superscript"/>
              </w:rPr>
              <w:t>(1)</w:t>
            </w:r>
          </w:p>
        </w:tc>
        <w:tc>
          <w:tcPr>
            <w:tcW w:w="8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2.4%</w:t>
            </w:r>
          </w:p>
        </w:tc>
        <w:tc>
          <w:tcPr>
            <w:tcW w:w="8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1.6%</w:t>
            </w:r>
          </w:p>
        </w:tc>
        <w:tc>
          <w:tcPr>
            <w:tcW w:w="8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1.7%</w:t>
            </w:r>
          </w:p>
        </w:tc>
        <w:tc>
          <w:tcPr>
            <w:tcW w:w="580" w:type="dxa"/>
            <w:vAlign w:val="bottom"/>
            <w:tcBorders>
              <w:bottom w:val="single" w:sz="8" w:color="auto"/>
            </w:tcBorders>
          </w:tcPr>
          <w:p>
            <w:pPr>
              <w:jc w:val="right"/>
              <w:ind w:right="126"/>
              <w:spacing w:after="0" w:line="124" w:lineRule="exact"/>
              <w:rPr>
                <w:sz w:val="20"/>
                <w:szCs w:val="20"/>
                <w:color w:val="auto"/>
              </w:rPr>
            </w:pPr>
            <w:r>
              <w:rPr>
                <w:rFonts w:ascii="Arial" w:cs="Arial" w:eastAsia="Arial" w:hAnsi="Arial"/>
                <w:sz w:val="11"/>
                <w:szCs w:val="11"/>
                <w:color w:val="auto"/>
              </w:rPr>
              <w:t>6 bps</w:t>
            </w:r>
          </w:p>
        </w:tc>
        <w:tc>
          <w:tcPr>
            <w:tcW w:w="72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-71 bps</w:t>
            </w:r>
          </w:p>
        </w:tc>
        <w:tc>
          <w:tcPr>
            <w:tcW w:w="800" w:type="dxa"/>
            <w:vAlign w:val="bottom"/>
            <w:tcBorders>
              <w:bottom w:val="single" w:sz="8" w:color="auto"/>
            </w:tcBorders>
          </w:tcPr>
          <w:p>
            <w:pPr>
              <w:jc w:val="center"/>
              <w:ind w:left="106"/>
              <w:spacing w:after="0" w:line="124" w:lineRule="exact"/>
              <w:rPr>
                <w:sz w:val="20"/>
                <w:szCs w:val="20"/>
                <w:color w:val="auto"/>
              </w:rPr>
            </w:pPr>
            <w:r>
              <w:rPr>
                <w:rFonts w:ascii="Arial" w:cs="Arial" w:eastAsia="Arial" w:hAnsi="Arial"/>
                <w:sz w:val="11"/>
                <w:szCs w:val="11"/>
                <w:color w:val="auto"/>
                <w:w w:val="95"/>
              </w:rPr>
              <w:t>2.6%</w:t>
            </w:r>
          </w:p>
        </w:tc>
        <w:tc>
          <w:tcPr>
            <w:tcW w:w="1160" w:type="dxa"/>
            <w:vAlign w:val="bottom"/>
            <w:tcBorders>
              <w:bottom w:val="single" w:sz="8" w:color="auto"/>
              <w:right w:val="single" w:sz="8" w:color="auto"/>
            </w:tcBorders>
          </w:tcPr>
          <w:p>
            <w:pPr>
              <w:jc w:val="center"/>
              <w:ind w:left="106"/>
              <w:spacing w:after="0" w:line="124" w:lineRule="exact"/>
              <w:rPr>
                <w:sz w:val="20"/>
                <w:szCs w:val="20"/>
                <w:color w:val="auto"/>
              </w:rPr>
            </w:pPr>
            <w:r>
              <w:rPr>
                <w:rFonts w:ascii="Arial" w:cs="Arial" w:eastAsia="Arial" w:hAnsi="Arial"/>
                <w:sz w:val="11"/>
                <w:szCs w:val="11"/>
                <w:color w:val="auto"/>
                <w:w w:val="95"/>
              </w:rPr>
              <w:t>1.6%</w:t>
            </w:r>
          </w:p>
        </w:tc>
        <w:tc>
          <w:tcPr>
            <w:tcW w:w="126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-95 bps</w:t>
            </w:r>
          </w:p>
        </w:tc>
      </w:tr>
    </w:tbl>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(1) Provisions for credit losses on loan portfolio, net of annualized recoveries / Average Total Loans. It includes reversal of provisions for “El Niño” Phenomenon in 1Q24.</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provisions rose 4.8%. This evolution was driven by</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and partially offset by</w:t>
      </w:r>
      <w:r>
        <w:rPr>
          <w:rFonts w:ascii="Arial" w:cs="Arial" w:eastAsia="Arial" w:hAnsi="Arial"/>
          <w:sz w:val="16"/>
          <w:szCs w:val="16"/>
          <w:b w:val="1"/>
          <w:bCs w:val="1"/>
          <w:color w:val="auto"/>
        </w:rPr>
        <w:t xml:space="preserve"> Mibanco </w:t>
      </w:r>
      <w:r>
        <w:rPr>
          <w:rFonts w:ascii="Arial" w:cs="Arial" w:eastAsia="Arial" w:hAnsi="Arial"/>
          <w:sz w:val="16"/>
          <w:szCs w:val="16"/>
          <w:color w:val="auto"/>
        </w:rPr>
        <w:t>. At</w:t>
      </w:r>
      <w:r>
        <w:rPr>
          <w:rFonts w:ascii="Arial" w:cs="Arial" w:eastAsia="Arial" w:hAnsi="Arial"/>
          <w:sz w:val="16"/>
          <w:szCs w:val="16"/>
          <w:b w:val="1"/>
          <w:bCs w:val="1"/>
          <w:color w:val="auto"/>
        </w:rPr>
        <w:t xml:space="preserve"> BCP Stand-alone</w:t>
      </w:r>
      <w:r>
        <w:rPr>
          <w:rFonts w:ascii="Arial" w:cs="Arial" w:eastAsia="Arial" w:hAnsi="Arial"/>
          <w:sz w:val="16"/>
          <w:szCs w:val="16"/>
          <w:color w:val="auto"/>
        </w:rPr>
        <w:t>, growth in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reflected both the recurring dynamics of </w:t>
      </w:r>
      <w:r>
        <w:rPr>
          <w:rFonts w:ascii="Arial" w:cs="Arial" w:eastAsia="Arial" w:hAnsi="Arial"/>
          <w:sz w:val="16"/>
          <w:szCs w:val="16"/>
          <w:b w:val="1"/>
          <w:bCs w:val="1"/>
          <w:color w:val="auto"/>
        </w:rPr>
        <w:t>Retail Banking</w:t>
      </w:r>
      <w:r>
        <w:rPr>
          <w:rFonts w:ascii="Arial" w:cs="Arial" w:eastAsia="Arial" w:hAnsi="Arial"/>
          <w:sz w:val="16"/>
          <w:szCs w:val="16"/>
          <w:color w:val="auto"/>
        </w:rPr>
        <w:t xml:space="preserve"> and specific impacts within </w:t>
      </w:r>
      <w:r>
        <w:rPr>
          <w:rFonts w:ascii="Arial" w:cs="Arial" w:eastAsia="Arial" w:hAnsi="Arial"/>
          <w:sz w:val="16"/>
          <w:szCs w:val="16"/>
          <w:b w:val="1"/>
          <w:bCs w:val="1"/>
          <w:color w:val="auto"/>
        </w:rPr>
        <w:t>Wholesale Banking</w:t>
      </w:r>
      <w:r>
        <w:rPr>
          <w:rFonts w:ascii="Arial" w:cs="Arial" w:eastAsia="Arial" w:hAnsi="Arial"/>
          <w:sz w:val="16"/>
          <w:szCs w:val="16"/>
          <w:color w:val="auto"/>
        </w:rPr>
        <w:t xml:space="preserve">. In </w:t>
      </w:r>
      <w:r>
        <w:rPr>
          <w:rFonts w:ascii="Arial" w:cs="Arial" w:eastAsia="Arial" w:hAnsi="Arial"/>
          <w:sz w:val="16"/>
          <w:szCs w:val="16"/>
          <w:b w:val="1"/>
          <w:bCs w:val="1"/>
          <w:color w:val="auto"/>
        </w:rPr>
        <w:t>Retail Banking</w:t>
      </w:r>
      <w:r>
        <w:rPr>
          <w:rFonts w:ascii="Arial" w:cs="Arial" w:eastAsia="Arial" w:hAnsi="Arial"/>
          <w:sz w:val="16"/>
          <w:szCs w:val="16"/>
          <w:color w:val="auto"/>
        </w:rPr>
        <w:t xml:space="preserve">, provisions for </w:t>
      </w:r>
      <w:r>
        <w:rPr>
          <w:rFonts w:ascii="Arial" w:cs="Arial" w:eastAsia="Arial" w:hAnsi="Arial"/>
          <w:sz w:val="16"/>
          <w:szCs w:val="16"/>
          <w:b w:val="1"/>
          <w:bCs w:val="1"/>
          <w:color w:val="auto"/>
        </w:rPr>
        <w:t>Individuals</w:t>
      </w:r>
      <w:r>
        <w:rPr>
          <w:rFonts w:ascii="Arial" w:cs="Arial" w:eastAsia="Arial" w:hAnsi="Arial"/>
          <w:sz w:val="16"/>
          <w:szCs w:val="16"/>
          <w:color w:val="auto"/>
        </w:rPr>
        <w:t xml:space="preserve"> remained stable while provisions for </w:t>
      </w:r>
      <w:r>
        <w:rPr>
          <w:rFonts w:ascii="Arial" w:cs="Arial" w:eastAsia="Arial" w:hAnsi="Arial"/>
          <w:sz w:val="16"/>
          <w:szCs w:val="16"/>
          <w:b w:val="1"/>
          <w:bCs w:val="1"/>
          <w:color w:val="auto"/>
        </w:rPr>
        <w:t>SMEs</w:t>
      </w:r>
      <w:r>
        <w:rPr>
          <w:rFonts w:ascii="Arial" w:cs="Arial" w:eastAsia="Arial" w:hAnsi="Arial"/>
          <w:sz w:val="16"/>
          <w:szCs w:val="16"/>
          <w:color w:val="auto"/>
        </w:rPr>
        <w:t xml:space="preserve"> rose slightly due to a base effect stemming from higher reversals last quarter linked to increased debt repayments in </w:t>
      </w:r>
      <w:r>
        <w:rPr>
          <w:rFonts w:ascii="Arial" w:cs="Arial" w:eastAsia="Arial" w:hAnsi="Arial"/>
          <w:sz w:val="16"/>
          <w:szCs w:val="16"/>
          <w:b w:val="1"/>
          <w:bCs w:val="1"/>
          <w:color w:val="auto"/>
        </w:rPr>
        <w:t>SME-Business</w:t>
      </w:r>
      <w:r>
        <w:rPr>
          <w:rFonts w:ascii="Arial" w:cs="Arial" w:eastAsia="Arial" w:hAnsi="Arial"/>
          <w:sz w:val="16"/>
          <w:szCs w:val="16"/>
          <w:color w:val="auto"/>
        </w:rPr>
        <w:t xml:space="preserve">. </w:t>
      </w:r>
      <w:r>
        <w:rPr>
          <w:rFonts w:ascii="Arial" w:cs="Arial" w:eastAsia="Arial" w:hAnsi="Arial"/>
          <w:sz w:val="16"/>
          <w:szCs w:val="16"/>
          <w:b w:val="1"/>
          <w:bCs w:val="1"/>
          <w:color w:val="auto"/>
        </w:rPr>
        <w:t>In Wholesale Banking</w:t>
      </w:r>
      <w:r>
        <w:rPr>
          <w:rFonts w:ascii="Arial" w:cs="Arial" w:eastAsia="Arial" w:hAnsi="Arial"/>
          <w:sz w:val="16"/>
          <w:szCs w:val="16"/>
          <w:color w:val="auto"/>
        </w:rPr>
        <w:t xml:space="preserve">, there was a relevant increase in the credit risk of one corporate client. At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provisions contracted slightly on the back of improvements in debt collections management. In this context, the CoR at </w:t>
      </w:r>
      <w:r>
        <w:rPr>
          <w:rFonts w:ascii="Arial" w:cs="Arial" w:eastAsia="Arial" w:hAnsi="Arial"/>
          <w:sz w:val="16"/>
          <w:szCs w:val="16"/>
          <w:b w:val="1"/>
          <w:bCs w:val="1"/>
          <w:color w:val="auto"/>
        </w:rPr>
        <w:t>Credicorp</w:t>
      </w:r>
      <w:r>
        <w:rPr>
          <w:rFonts w:ascii="Arial" w:cs="Arial" w:eastAsia="Arial" w:hAnsi="Arial"/>
          <w:sz w:val="16"/>
          <w:szCs w:val="16"/>
          <w:color w:val="auto"/>
        </w:rPr>
        <w:t xml:space="preserve"> rose slightly by 6 bps </w:t>
      </w:r>
      <w:r>
        <w:rPr>
          <w:rFonts w:ascii="Arial" w:cs="Arial" w:eastAsia="Arial" w:hAnsi="Arial"/>
          <w:sz w:val="16"/>
          <w:szCs w:val="16"/>
          <w:b w:val="1"/>
          <w:bCs w:val="1"/>
          <w:color w:val="auto"/>
        </w:rPr>
        <w:t>QoQ</w:t>
      </w:r>
      <w:r>
        <w:rPr>
          <w:rFonts w:ascii="Arial" w:cs="Arial" w:eastAsia="Arial" w:hAnsi="Arial"/>
          <w:sz w:val="16"/>
          <w:szCs w:val="16"/>
          <w:color w:val="auto"/>
        </w:rPr>
        <w:t xml:space="preserve"> but remained low again this quarter at 1.7%. This result was attributable to the risk management measures instituted this year and to improvements in the Peruvian economy.</w:t>
      </w:r>
    </w:p>
    <w:p>
      <w:pPr>
        <w:spacing w:after="0" w:line="146"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Cost of Risk by Subsidiary</w:t>
      </w:r>
    </w:p>
    <w:p>
      <w:pPr>
        <w:spacing w:after="0" w:line="12" w:lineRule="exact"/>
        <w:rPr>
          <w:sz w:val="20"/>
          <w:szCs w:val="20"/>
          <w:color w:val="auto"/>
        </w:rPr>
      </w:pPr>
    </w:p>
    <w:p>
      <w:pPr>
        <w:jc w:val="both"/>
        <w:ind w:right="5600"/>
        <w:spacing w:after="0" w:line="236" w:lineRule="auto"/>
        <w:rPr>
          <w:sz w:val="20"/>
          <w:szCs w:val="20"/>
          <w:color w:val="auto"/>
        </w:rPr>
      </w:pPr>
      <w:r>
        <w:rPr>
          <w:rFonts w:ascii="Arial" w:cs="Arial" w:eastAsia="Arial" w:hAnsi="Arial"/>
          <w:sz w:val="16"/>
          <w:szCs w:val="16"/>
          <w:b w:val="1"/>
          <w:bCs w:val="1"/>
          <w:color w:val="auto"/>
        </w:rPr>
        <w:t xml:space="preserve">YoY, </w:t>
      </w:r>
      <w:r>
        <w:rPr>
          <w:rFonts w:ascii="Arial" w:cs="Arial" w:eastAsia="Arial" w:hAnsi="Arial"/>
          <w:sz w:val="16"/>
          <w:szCs w:val="16"/>
          <w:color w:val="auto"/>
        </w:rPr>
        <w:t>provisions dropped 30.5%, driven by</w:t>
      </w:r>
      <w:r>
        <w:rPr>
          <w:rFonts w:ascii="Arial" w:cs="Arial" w:eastAsia="Arial" w:hAnsi="Arial"/>
          <w:sz w:val="16"/>
          <w:szCs w:val="16"/>
          <w:b w:val="1"/>
          <w:bCs w:val="1"/>
          <w:color w:val="auto"/>
        </w:rPr>
        <w:t xml:space="preserve"> BCP Stand-alone and Mibanco</w:t>
      </w:r>
      <w:r>
        <w:rPr>
          <w:rFonts w:ascii="Arial" w:cs="Arial" w:eastAsia="Arial" w:hAnsi="Arial"/>
          <w:sz w:val="16"/>
          <w:szCs w:val="16"/>
          <w:color w:val="auto"/>
        </w:rPr>
        <w:t>. This evolution was fueled by improvements in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performance in a context of economic recovery. At </w:t>
      </w:r>
      <w:r>
        <w:rPr>
          <w:rFonts w:ascii="Arial" w:cs="Arial" w:eastAsia="Arial" w:hAnsi="Arial"/>
          <w:sz w:val="16"/>
          <w:szCs w:val="16"/>
          <w:b w:val="1"/>
          <w:bCs w:val="1"/>
          <w:color w:val="auto"/>
        </w:rPr>
        <w:t>BCP Individual</w:t>
      </w:r>
      <w:r>
        <w:rPr>
          <w:rFonts w:ascii="Arial" w:cs="Arial" w:eastAsia="Arial" w:hAnsi="Arial"/>
          <w:sz w:val="16"/>
          <w:szCs w:val="16"/>
          <w:color w:val="auto"/>
        </w:rPr>
        <w:t xml:space="preserve">, the reduction in provisions was attributable to </w:t>
      </w:r>
      <w:r>
        <w:rPr>
          <w:rFonts w:ascii="Arial" w:cs="Arial" w:eastAsia="Arial" w:hAnsi="Arial"/>
          <w:sz w:val="16"/>
          <w:szCs w:val="16"/>
          <w:b w:val="1"/>
          <w:bCs w:val="1"/>
          <w:color w:val="auto"/>
        </w:rPr>
        <w:t>Individuals</w:t>
      </w:r>
      <w:r>
        <w:rPr>
          <w:rFonts w:ascii="Arial" w:cs="Arial" w:eastAsia="Arial" w:hAnsi="Arial"/>
          <w:sz w:val="16"/>
          <w:szCs w:val="16"/>
          <w:color w:val="auto"/>
        </w:rPr>
        <w:t xml:space="preserve"> and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where the decine was mainly due to an increase in lower-risk vintages’ share of total loans. This evolution was partially offset by </w:t>
      </w:r>
      <w:r>
        <w:rPr>
          <w:rFonts w:ascii="Arial" w:cs="Arial" w:eastAsia="Arial" w:hAnsi="Arial"/>
          <w:sz w:val="16"/>
          <w:szCs w:val="16"/>
          <w:b w:val="1"/>
          <w:bCs w:val="1"/>
          <w:color w:val="auto"/>
        </w:rPr>
        <w:t>Wholesale</w:t>
      </w:r>
      <w:r>
        <w:rPr>
          <w:rFonts w:ascii="Arial" w:cs="Arial" w:eastAsia="Arial" w:hAnsi="Arial"/>
          <w:sz w:val="16"/>
          <w:szCs w:val="16"/>
          <w:color w:val="auto"/>
        </w:rPr>
        <w:t xml:space="preserve">, which was impacted by the base effect generated by an uptick in reversals due to an increase in debt repayments. At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the decrease was led by an improvement in underlying risk as lower-risk vintages gained traction and currently represent 78% of total loans. In this context, the CoR at </w:t>
      </w:r>
      <w:r>
        <w:rPr>
          <w:rFonts w:ascii="Arial" w:cs="Arial" w:eastAsia="Arial" w:hAnsi="Arial"/>
          <w:sz w:val="16"/>
          <w:szCs w:val="16"/>
          <w:b w:val="1"/>
          <w:bCs w:val="1"/>
          <w:color w:val="auto"/>
        </w:rPr>
        <w:t>Credicorp</w:t>
      </w:r>
      <w:r>
        <w:rPr>
          <w:rFonts w:ascii="Arial" w:cs="Arial" w:eastAsia="Arial" w:hAnsi="Arial"/>
          <w:sz w:val="16"/>
          <w:szCs w:val="16"/>
          <w:color w:val="auto"/>
        </w:rPr>
        <w:t xml:space="preserve"> dropped 71 bps </w:t>
      </w:r>
      <w:r>
        <w:rPr>
          <w:rFonts w:ascii="Arial" w:cs="Arial" w:eastAsia="Arial" w:hAnsi="Arial"/>
          <w:sz w:val="16"/>
          <w:szCs w:val="16"/>
          <w:b w:val="1"/>
          <w:bCs w:val="1"/>
          <w:color w:val="auto"/>
        </w:rPr>
        <w:t>YoY</w:t>
      </w:r>
      <w:r>
        <w:rPr>
          <w:rFonts w:ascii="Arial" w:cs="Arial" w:eastAsia="Arial" w:hAnsi="Arial"/>
          <w:sz w:val="16"/>
          <w:szCs w:val="16"/>
          <w:color w:val="auto"/>
        </w:rPr>
        <w:t xml:space="preserve"> to stand at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-1296035</wp:posOffset>
            </wp:positionV>
            <wp:extent cx="2164715" cy="11741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64715" cy="1174115"/>
                    </a:xfrm>
                    <a:prstGeom prst="rect">
                      <a:avLst/>
                    </a:prstGeom>
                    <a:noFill/>
                  </pic:spPr>
                </pic:pic>
              </a:graphicData>
            </a:graphic>
          </wp:anchor>
        </w:drawing>
      </w:r>
    </w:p>
    <w:p>
      <w:pPr>
        <w:spacing w:after="0" w:line="13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color w:val="auto"/>
        </w:rPr>
        <w:t xml:space="preserve">YTD, </w:t>
      </w:r>
      <w:r>
        <w:rPr>
          <w:rFonts w:ascii="Arial" w:cs="Arial" w:eastAsia="Arial" w:hAnsi="Arial"/>
          <w:sz w:val="16"/>
          <w:szCs w:val="16"/>
          <w:color w:val="auto"/>
        </w:rPr>
        <w:t>provisions fell 36.6%. This evolution was driven by</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and</w:t>
      </w:r>
      <w:r>
        <w:rPr>
          <w:rFonts w:ascii="Arial" w:cs="Arial" w:eastAsia="Arial" w:hAnsi="Arial"/>
          <w:sz w:val="16"/>
          <w:szCs w:val="16"/>
          <w:b w:val="1"/>
          <w:bCs w:val="1"/>
          <w:color w:val="auto"/>
        </w:rPr>
        <w:t xml:space="preserve"> Mibanco</w:t>
      </w:r>
      <w:r>
        <w:rPr>
          <w:rFonts w:ascii="Arial" w:cs="Arial" w:eastAsia="Arial" w:hAnsi="Arial"/>
          <w:sz w:val="16"/>
          <w:szCs w:val="16"/>
          <w:color w:val="auto"/>
        </w:rPr>
        <w:t>, via the same dynamics as those seen</w:t>
      </w:r>
      <w:r>
        <w:rPr>
          <w:rFonts w:ascii="Arial" w:cs="Arial" w:eastAsia="Arial" w:hAnsi="Arial"/>
          <w:sz w:val="16"/>
          <w:szCs w:val="16"/>
          <w:b w:val="1"/>
          <w:bCs w:val="1"/>
          <w:color w:val="auto"/>
        </w:rPr>
        <w:t xml:space="preserve"> YoY</w:t>
      </w:r>
      <w:r>
        <w:rPr>
          <w:rFonts w:ascii="Arial" w:cs="Arial" w:eastAsia="Arial" w:hAnsi="Arial"/>
          <w:sz w:val="16"/>
          <w:szCs w:val="16"/>
          <w:color w:val="auto"/>
        </w:rPr>
        <w:t>. In this scenario,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CoR at </w:t>
      </w:r>
      <w:r>
        <w:rPr>
          <w:rFonts w:ascii="Arial" w:cs="Arial" w:eastAsia="Arial" w:hAnsi="Arial"/>
          <w:sz w:val="16"/>
          <w:szCs w:val="16"/>
          <w:b w:val="1"/>
          <w:bCs w:val="1"/>
          <w:color w:val="auto"/>
        </w:rPr>
        <w:t>Credicorp</w:t>
      </w:r>
      <w:r>
        <w:rPr>
          <w:rFonts w:ascii="Arial" w:cs="Arial" w:eastAsia="Arial" w:hAnsi="Arial"/>
          <w:sz w:val="16"/>
          <w:szCs w:val="16"/>
          <w:color w:val="auto"/>
        </w:rPr>
        <w:t xml:space="preserve"> decreased 95 pbs to stand at 1.7%.</w:t>
      </w:r>
    </w:p>
    <w:p>
      <w:pPr>
        <w:spacing w:after="0" w:line="119" w:lineRule="exact"/>
        <w:rPr>
          <w:sz w:val="20"/>
          <w:szCs w:val="20"/>
          <w:color w:val="auto"/>
        </w:rPr>
      </w:pPr>
    </w:p>
    <w:p>
      <w:pPr>
        <w:ind w:left="1460"/>
        <w:spacing w:after="0"/>
        <w:tabs>
          <w:tab w:leader="none" w:pos="6640" w:val="left"/>
        </w:tabs>
        <w:rPr>
          <w:sz w:val="20"/>
          <w:szCs w:val="20"/>
          <w:color w:val="auto"/>
        </w:rPr>
      </w:pPr>
      <w:r>
        <w:rPr>
          <w:rFonts w:ascii="Arial" w:cs="Arial" w:eastAsia="Arial" w:hAnsi="Arial"/>
          <w:sz w:val="16"/>
          <w:szCs w:val="16"/>
          <w:b w:val="1"/>
          <w:bCs w:val="1"/>
          <w:color w:val="auto"/>
        </w:rPr>
        <w:t>QoQ Cost of Risk Evolution</w:t>
      </w:r>
      <w:r>
        <w:rPr>
          <w:sz w:val="20"/>
          <w:szCs w:val="20"/>
          <w:color w:val="auto"/>
        </w:rPr>
        <w:tab/>
      </w:r>
      <w:r>
        <w:rPr>
          <w:rFonts w:ascii="Arial" w:cs="Arial" w:eastAsia="Arial" w:hAnsi="Arial"/>
          <w:sz w:val="14"/>
          <w:szCs w:val="14"/>
          <w:b w:val="1"/>
          <w:bCs w:val="1"/>
          <w:color w:val="auto"/>
        </w:rPr>
        <w:t>YoY Cost of Risk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5715</wp:posOffset>
            </wp:positionV>
            <wp:extent cx="5563870" cy="8610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63870" cy="861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(1) Others include BCP Bolivia, Mibanco Colombia, ASB and eliminations.</w:t>
      </w:r>
    </w:p>
    <w:p>
      <w:pPr>
        <w:ind w:left="5320"/>
        <w:spacing w:after="0"/>
        <w:rPr>
          <w:sz w:val="20"/>
          <w:szCs w:val="20"/>
          <w:color w:val="auto"/>
        </w:rPr>
      </w:pPr>
      <w:r>
        <w:rPr>
          <w:rFonts w:ascii="Arial" w:cs="Arial" w:eastAsia="Arial" w:hAnsi="Arial"/>
          <w:sz w:val="11"/>
          <w:szCs w:val="11"/>
          <w:color w:val="auto"/>
        </w:rPr>
        <w:t>(1) Others include BCP Bolivia, Mibanco Colombia, ASB and eliminations.</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YTD Cost of Risk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5715</wp:posOffset>
            </wp:positionV>
            <wp:extent cx="2499995" cy="10058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99995" cy="100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700" w:hanging="135"/>
        <w:spacing w:after="0"/>
        <w:tabs>
          <w:tab w:leader="none" w:pos="3700" w:val="left"/>
        </w:tabs>
        <w:numPr>
          <w:ilvl w:val="1"/>
          <w:numId w:val="22"/>
        </w:numPr>
        <w:rPr>
          <w:rFonts w:ascii="Arial" w:cs="Arial" w:eastAsia="Arial" w:hAnsi="Arial"/>
          <w:sz w:val="11"/>
          <w:szCs w:val="11"/>
          <w:color w:val="auto"/>
        </w:rPr>
      </w:pPr>
      <w:r>
        <w:rPr>
          <w:rFonts w:ascii="Arial" w:cs="Arial" w:eastAsia="Arial" w:hAnsi="Arial"/>
          <w:sz w:val="11"/>
          <w:szCs w:val="11"/>
          <w:color w:val="auto"/>
        </w:rPr>
        <w:t>It includes reversal of provisions for “El Niño” Phenomenon in 1Q24.</w:t>
      </w:r>
    </w:p>
    <w:p>
      <w:pPr>
        <w:spacing w:after="0" w:line="15" w:lineRule="exact"/>
        <w:rPr>
          <w:rFonts w:ascii="Arial" w:cs="Arial" w:eastAsia="Arial" w:hAnsi="Arial"/>
          <w:sz w:val="11"/>
          <w:szCs w:val="11"/>
          <w:color w:val="auto"/>
        </w:rPr>
      </w:pPr>
    </w:p>
    <w:p>
      <w:pPr>
        <w:ind w:left="3660" w:hanging="155"/>
        <w:spacing w:after="0"/>
        <w:tabs>
          <w:tab w:leader="none" w:pos="36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Others include BCP Bolivia, Mibanco Colombia, ASB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789940</wp:posOffset>
            </wp:positionV>
            <wp:extent cx="670750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104140</wp:posOffset>
            </wp:positionV>
            <wp:extent cx="5975985" cy="4648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75985" cy="464820"/>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sectPr>
      </w:pPr>
    </w:p>
    <w:bookmarkStart w:id="32" w:name="page33"/>
    <w:bookmarkEnd w:id="32"/>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05. Portfolio Quality and Provisions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NPL Coverage Ratio (in Quarter-end balances)</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4260" w:type="dxa"/>
            <w:vAlign w:val="bottom"/>
            <w:tcBorders>
              <w:top w:val="single" w:sz="8" w:color="auto"/>
              <w:left w:val="single" w:sz="8" w:color="auto"/>
              <w:right w:val="single" w:sz="8" w:color="auto"/>
            </w:tcBorders>
            <w:shd w:val="clear" w:color="auto" w:fill="33CCCC"/>
          </w:tcPr>
          <w:p>
            <w:pPr>
              <w:ind w:left="20"/>
              <w:spacing w:after="0" w:line="172" w:lineRule="exact"/>
              <w:rPr>
                <w:sz w:val="20"/>
                <w:szCs w:val="20"/>
                <w:color w:val="auto"/>
              </w:rPr>
            </w:pPr>
            <w:r>
              <w:rPr>
                <w:rFonts w:ascii="Arial" w:cs="Arial" w:eastAsia="Arial" w:hAnsi="Arial"/>
                <w:sz w:val="16"/>
                <w:szCs w:val="16"/>
                <w:b w:val="1"/>
                <w:bCs w:val="1"/>
                <w:color w:val="FFFFFF"/>
              </w:rPr>
              <w:t>Loan Portfolio Quality and Delinquency Ratios</w:t>
            </w:r>
          </w:p>
        </w:tc>
        <w:tc>
          <w:tcPr>
            <w:tcW w:w="1260" w:type="dxa"/>
            <w:vAlign w:val="bottom"/>
            <w:tcBorders>
              <w:top w:val="single" w:sz="8" w:color="auto"/>
            </w:tcBorders>
            <w:shd w:val="clear" w:color="auto" w:fill="33CCCC"/>
          </w:tcPr>
          <w:p>
            <w:pPr>
              <w:spacing w:after="0"/>
              <w:rPr>
                <w:sz w:val="14"/>
                <w:szCs w:val="14"/>
                <w:color w:val="auto"/>
              </w:rPr>
            </w:pPr>
          </w:p>
        </w:tc>
        <w:tc>
          <w:tcPr>
            <w:tcW w:w="1260" w:type="dxa"/>
            <w:vAlign w:val="bottom"/>
            <w:tcBorders>
              <w:top w:val="single" w:sz="8" w:color="auto"/>
            </w:tcBorders>
            <w:shd w:val="clear" w:color="auto" w:fill="33CCCC"/>
          </w:tcPr>
          <w:p>
            <w:pPr>
              <w:jc w:val="center"/>
              <w:spacing w:after="0" w:line="172" w:lineRule="exact"/>
              <w:rPr>
                <w:sz w:val="20"/>
                <w:szCs w:val="20"/>
                <w:color w:val="auto"/>
              </w:rPr>
            </w:pPr>
            <w:r>
              <w:rPr>
                <w:rFonts w:ascii="Arial" w:cs="Arial" w:eastAsia="Arial" w:hAnsi="Arial"/>
                <w:sz w:val="16"/>
                <w:szCs w:val="16"/>
                <w:b w:val="1"/>
                <w:bCs w:val="1"/>
                <w:color w:val="FFFFFF"/>
                <w:w w:val="99"/>
              </w:rPr>
              <w:t>As of</w:t>
            </w:r>
          </w:p>
        </w:tc>
        <w:tc>
          <w:tcPr>
            <w:tcW w:w="1280" w:type="dxa"/>
            <w:vAlign w:val="bottom"/>
            <w:tcBorders>
              <w:top w:val="single" w:sz="8" w:color="auto"/>
              <w:right w:val="single" w:sz="8" w:color="auto"/>
            </w:tcBorders>
            <w:shd w:val="clear" w:color="auto" w:fill="33CCCC"/>
          </w:tcPr>
          <w:p>
            <w:pPr>
              <w:spacing w:after="0"/>
              <w:rPr>
                <w:sz w:val="14"/>
                <w:szCs w:val="14"/>
                <w:color w:val="auto"/>
              </w:rPr>
            </w:pPr>
          </w:p>
        </w:tc>
        <w:tc>
          <w:tcPr>
            <w:tcW w:w="2520" w:type="dxa"/>
            <w:vAlign w:val="bottom"/>
            <w:tcBorders>
              <w:top w:val="single" w:sz="8" w:color="auto"/>
              <w:right w:val="single" w:sz="8" w:color="auto"/>
            </w:tcBorders>
            <w:gridSpan w:val="2"/>
            <w:shd w:val="clear" w:color="auto" w:fill="33CCCC"/>
          </w:tcPr>
          <w:p>
            <w:pPr>
              <w:ind w:left="880"/>
              <w:spacing w:after="0" w:line="172" w:lineRule="exact"/>
              <w:rPr>
                <w:sz w:val="20"/>
                <w:szCs w:val="20"/>
                <w:color w:val="auto"/>
              </w:rPr>
            </w:pPr>
            <w:r>
              <w:rPr>
                <w:rFonts w:ascii="Arial" w:cs="Arial" w:eastAsia="Arial" w:hAnsi="Arial"/>
                <w:sz w:val="16"/>
                <w:szCs w:val="16"/>
                <w:b w:val="1"/>
                <w:bCs w:val="1"/>
                <w:color w:val="FFFFFF"/>
              </w:rPr>
              <w:t>% change</w:t>
            </w:r>
          </w:p>
        </w:tc>
      </w:tr>
      <w:tr>
        <w:trPr>
          <w:trHeight w:val="180"/>
        </w:trPr>
        <w:tc>
          <w:tcPr>
            <w:tcW w:w="4260" w:type="dxa"/>
            <w:vAlign w:val="bottom"/>
            <w:tcBorders>
              <w:left w:val="single" w:sz="8" w:color="auto"/>
              <w:bottom w:val="single" w:sz="8" w:color="auto"/>
              <w:right w:val="single" w:sz="8" w:color="auto"/>
            </w:tcBorders>
            <w:shd w:val="clear" w:color="auto" w:fill="33CCCC"/>
          </w:tcPr>
          <w:p>
            <w:pPr>
              <w:ind w:left="20"/>
              <w:spacing w:after="0" w:line="180" w:lineRule="exact"/>
              <w:rPr>
                <w:sz w:val="20"/>
                <w:szCs w:val="20"/>
                <w:color w:val="auto"/>
              </w:rPr>
            </w:pPr>
            <w:r>
              <w:rPr>
                <w:rFonts w:ascii="Arial" w:cs="Arial" w:eastAsia="Arial" w:hAnsi="Arial"/>
                <w:sz w:val="16"/>
                <w:szCs w:val="16"/>
                <w:b w:val="1"/>
                <w:bCs w:val="1"/>
                <w:color w:val="FFFFFF"/>
              </w:rPr>
              <w:t>S/000</w:t>
            </w:r>
          </w:p>
        </w:tc>
        <w:tc>
          <w:tcPr>
            <w:tcW w:w="1260" w:type="dxa"/>
            <w:vAlign w:val="bottom"/>
            <w:tcBorders>
              <w:bottom w:val="single" w:sz="8" w:color="auto"/>
            </w:tcBorders>
            <w:shd w:val="clear" w:color="auto" w:fill="33CCCC"/>
          </w:tcPr>
          <w:p>
            <w:pPr>
              <w:ind w:left="380"/>
              <w:spacing w:after="0" w:line="180" w:lineRule="exact"/>
              <w:rPr>
                <w:sz w:val="20"/>
                <w:szCs w:val="20"/>
                <w:color w:val="auto"/>
              </w:rPr>
            </w:pPr>
            <w:r>
              <w:rPr>
                <w:rFonts w:ascii="Arial" w:cs="Arial" w:eastAsia="Arial" w:hAnsi="Arial"/>
                <w:sz w:val="16"/>
                <w:szCs w:val="16"/>
                <w:b w:val="1"/>
                <w:bCs w:val="1"/>
                <w:color w:val="FFFFFF"/>
              </w:rPr>
              <w:t>Sep 24</w:t>
            </w:r>
          </w:p>
        </w:tc>
        <w:tc>
          <w:tcPr>
            <w:tcW w:w="1260" w:type="dxa"/>
            <w:vAlign w:val="bottom"/>
            <w:tcBorders>
              <w:bottom w:val="single" w:sz="8" w:color="auto"/>
            </w:tcBorders>
            <w:shd w:val="clear" w:color="auto" w:fill="33CCCC"/>
          </w:tcPr>
          <w:p>
            <w:pPr>
              <w:jc w:val="center"/>
              <w:spacing w:after="0" w:line="180" w:lineRule="exact"/>
              <w:rPr>
                <w:sz w:val="20"/>
                <w:szCs w:val="20"/>
                <w:color w:val="auto"/>
              </w:rPr>
            </w:pPr>
            <w:r>
              <w:rPr>
                <w:rFonts w:ascii="Arial" w:cs="Arial" w:eastAsia="Arial" w:hAnsi="Arial"/>
                <w:sz w:val="16"/>
                <w:szCs w:val="16"/>
                <w:b w:val="1"/>
                <w:bCs w:val="1"/>
                <w:color w:val="FFFFFF"/>
                <w:w w:val="98"/>
              </w:rPr>
              <w:t>Jun 25</w:t>
            </w:r>
          </w:p>
        </w:tc>
        <w:tc>
          <w:tcPr>
            <w:tcW w:w="1280" w:type="dxa"/>
            <w:vAlign w:val="bottom"/>
            <w:tcBorders>
              <w:bottom w:val="single" w:sz="8" w:color="auto"/>
              <w:right w:val="single" w:sz="8" w:color="auto"/>
            </w:tcBorders>
            <w:shd w:val="clear" w:color="auto" w:fill="33CCCC"/>
          </w:tcPr>
          <w:p>
            <w:pPr>
              <w:ind w:left="380"/>
              <w:spacing w:after="0" w:line="180" w:lineRule="exact"/>
              <w:rPr>
                <w:sz w:val="20"/>
                <w:szCs w:val="20"/>
                <w:color w:val="auto"/>
              </w:rPr>
            </w:pPr>
            <w:r>
              <w:rPr>
                <w:rFonts w:ascii="Arial" w:cs="Arial" w:eastAsia="Arial" w:hAnsi="Arial"/>
                <w:sz w:val="16"/>
                <w:szCs w:val="16"/>
                <w:b w:val="1"/>
                <w:bCs w:val="1"/>
                <w:color w:val="FFFFFF"/>
              </w:rPr>
              <w:t>Sep 25</w:t>
            </w:r>
          </w:p>
        </w:tc>
        <w:tc>
          <w:tcPr>
            <w:tcW w:w="1520" w:type="dxa"/>
            <w:vAlign w:val="bottom"/>
            <w:tcBorders>
              <w:bottom w:val="single" w:sz="8" w:color="auto"/>
            </w:tcBorders>
            <w:shd w:val="clear" w:color="auto" w:fill="33CCCC"/>
          </w:tcPr>
          <w:p>
            <w:pPr>
              <w:jc w:val="center"/>
              <w:ind w:right="222"/>
              <w:spacing w:after="0" w:line="180" w:lineRule="exact"/>
              <w:rPr>
                <w:sz w:val="20"/>
                <w:szCs w:val="20"/>
                <w:color w:val="auto"/>
              </w:rPr>
            </w:pPr>
            <w:r>
              <w:rPr>
                <w:rFonts w:ascii="Arial" w:cs="Arial" w:eastAsia="Arial" w:hAnsi="Arial"/>
                <w:sz w:val="16"/>
                <w:szCs w:val="16"/>
                <w:b w:val="1"/>
                <w:bCs w:val="1"/>
                <w:color w:val="FFFFFF"/>
                <w:w w:val="97"/>
              </w:rPr>
              <w:t>QoQ</w:t>
            </w:r>
          </w:p>
        </w:tc>
        <w:tc>
          <w:tcPr>
            <w:tcW w:w="1000" w:type="dxa"/>
            <w:vAlign w:val="bottom"/>
            <w:tcBorders>
              <w:bottom w:val="single" w:sz="8" w:color="auto"/>
              <w:right w:val="single" w:sz="8" w:color="auto"/>
            </w:tcBorders>
            <w:shd w:val="clear" w:color="auto" w:fill="33CCCC"/>
          </w:tcPr>
          <w:p>
            <w:pPr>
              <w:jc w:val="center"/>
              <w:ind w:right="222"/>
              <w:spacing w:after="0" w:line="180" w:lineRule="exact"/>
              <w:rPr>
                <w:sz w:val="20"/>
                <w:szCs w:val="20"/>
                <w:color w:val="auto"/>
              </w:rPr>
            </w:pPr>
            <w:r>
              <w:rPr>
                <w:rFonts w:ascii="Arial" w:cs="Arial" w:eastAsia="Arial" w:hAnsi="Arial"/>
                <w:sz w:val="16"/>
                <w:szCs w:val="16"/>
                <w:b w:val="1"/>
                <w:bCs w:val="1"/>
                <w:color w:val="FFFFFF"/>
                <w:w w:val="96"/>
              </w:rPr>
              <w:t>YoY</w:t>
            </w:r>
          </w:p>
        </w:tc>
      </w:tr>
      <w:tr>
        <w:trPr>
          <w:trHeight w:val="161"/>
        </w:trPr>
        <w:tc>
          <w:tcPr>
            <w:tcW w:w="426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Total loans (Quarter-end balance)</w:t>
            </w:r>
          </w:p>
        </w:tc>
        <w:tc>
          <w:tcPr>
            <w:tcW w:w="1260" w:type="dxa"/>
            <w:vAlign w:val="bottom"/>
          </w:tcPr>
          <w:p>
            <w:pPr>
              <w:jc w:val="center"/>
              <w:spacing w:after="0" w:line="161" w:lineRule="exact"/>
              <w:rPr>
                <w:sz w:val="20"/>
                <w:szCs w:val="20"/>
                <w:color w:val="auto"/>
              </w:rPr>
            </w:pPr>
            <w:r>
              <w:rPr>
                <w:rFonts w:ascii="Arial" w:cs="Arial" w:eastAsia="Arial" w:hAnsi="Arial"/>
                <w:sz w:val="16"/>
                <w:szCs w:val="16"/>
                <w:color w:val="auto"/>
                <w:w w:val="96"/>
              </w:rPr>
              <w:t>142,568,785</w:t>
            </w:r>
          </w:p>
        </w:tc>
        <w:tc>
          <w:tcPr>
            <w:tcW w:w="1260" w:type="dxa"/>
            <w:vAlign w:val="bottom"/>
          </w:tcPr>
          <w:p>
            <w:pPr>
              <w:jc w:val="center"/>
              <w:spacing w:after="0" w:line="161" w:lineRule="exact"/>
              <w:rPr>
                <w:sz w:val="20"/>
                <w:szCs w:val="20"/>
                <w:color w:val="auto"/>
              </w:rPr>
            </w:pPr>
            <w:r>
              <w:rPr>
                <w:rFonts w:ascii="Arial" w:cs="Arial" w:eastAsia="Arial" w:hAnsi="Arial"/>
                <w:sz w:val="16"/>
                <w:szCs w:val="16"/>
                <w:color w:val="auto"/>
                <w:w w:val="96"/>
              </w:rPr>
              <w:t>140,961,978</w:t>
            </w:r>
          </w:p>
        </w:tc>
        <w:tc>
          <w:tcPr>
            <w:tcW w:w="128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6"/>
                <w:szCs w:val="16"/>
                <w:color w:val="auto"/>
                <w:w w:val="96"/>
              </w:rPr>
              <w:t>144,752,254</w:t>
            </w:r>
          </w:p>
        </w:tc>
        <w:tc>
          <w:tcPr>
            <w:tcW w:w="1520" w:type="dxa"/>
            <w:vAlign w:val="bottom"/>
          </w:tcPr>
          <w:p>
            <w:pPr>
              <w:jc w:val="center"/>
              <w:ind w:right="222"/>
              <w:spacing w:after="0" w:line="161" w:lineRule="exact"/>
              <w:rPr>
                <w:sz w:val="20"/>
                <w:szCs w:val="20"/>
                <w:color w:val="auto"/>
              </w:rPr>
            </w:pPr>
            <w:r>
              <w:rPr>
                <w:rFonts w:ascii="Arial" w:cs="Arial" w:eastAsia="Arial" w:hAnsi="Arial"/>
                <w:sz w:val="16"/>
                <w:szCs w:val="16"/>
                <w:color w:val="auto"/>
                <w:w w:val="93"/>
              </w:rPr>
              <w:t>2.7%</w:t>
            </w:r>
          </w:p>
        </w:tc>
        <w:tc>
          <w:tcPr>
            <w:tcW w:w="1000" w:type="dxa"/>
            <w:vAlign w:val="bottom"/>
            <w:tcBorders>
              <w:right w:val="single" w:sz="8" w:color="auto"/>
            </w:tcBorders>
          </w:tcPr>
          <w:p>
            <w:pPr>
              <w:jc w:val="center"/>
              <w:ind w:right="242"/>
              <w:spacing w:after="0" w:line="161" w:lineRule="exact"/>
              <w:rPr>
                <w:sz w:val="20"/>
                <w:szCs w:val="20"/>
                <w:color w:val="auto"/>
              </w:rPr>
            </w:pPr>
            <w:r>
              <w:rPr>
                <w:rFonts w:ascii="Arial" w:cs="Arial" w:eastAsia="Arial" w:hAnsi="Arial"/>
                <w:sz w:val="16"/>
                <w:szCs w:val="16"/>
                <w:color w:val="auto"/>
                <w:w w:val="98"/>
              </w:rPr>
              <w:t>1.5%</w:t>
            </w:r>
          </w:p>
        </w:tc>
      </w:tr>
      <w:tr>
        <w:trPr>
          <w:trHeight w:val="180"/>
        </w:trPr>
        <w:tc>
          <w:tcPr>
            <w:tcW w:w="426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16"/>
                <w:szCs w:val="16"/>
                <w:color w:val="auto"/>
              </w:rPr>
              <w:t>Allowance for loan losses</w:t>
            </w:r>
          </w:p>
        </w:tc>
        <w:tc>
          <w:tcPr>
            <w:tcW w:w="1260" w:type="dxa"/>
            <w:vAlign w:val="bottom"/>
          </w:tcPr>
          <w:p>
            <w:pPr>
              <w:jc w:val="center"/>
              <w:spacing w:after="0" w:line="180" w:lineRule="exact"/>
              <w:rPr>
                <w:sz w:val="20"/>
                <w:szCs w:val="20"/>
                <w:color w:val="auto"/>
              </w:rPr>
            </w:pPr>
            <w:r>
              <w:rPr>
                <w:rFonts w:ascii="Arial" w:cs="Arial" w:eastAsia="Arial" w:hAnsi="Arial"/>
                <w:sz w:val="16"/>
                <w:szCs w:val="16"/>
                <w:color w:val="auto"/>
                <w:w w:val="98"/>
              </w:rPr>
              <w:t>8,250,023</w:t>
            </w:r>
          </w:p>
        </w:tc>
        <w:tc>
          <w:tcPr>
            <w:tcW w:w="1260" w:type="dxa"/>
            <w:vAlign w:val="bottom"/>
          </w:tcPr>
          <w:p>
            <w:pPr>
              <w:jc w:val="center"/>
              <w:spacing w:after="0" w:line="180" w:lineRule="exact"/>
              <w:rPr>
                <w:sz w:val="20"/>
                <w:szCs w:val="20"/>
                <w:color w:val="auto"/>
              </w:rPr>
            </w:pPr>
            <w:r>
              <w:rPr>
                <w:rFonts w:ascii="Arial" w:cs="Arial" w:eastAsia="Arial" w:hAnsi="Arial"/>
                <w:sz w:val="16"/>
                <w:szCs w:val="16"/>
                <w:color w:val="auto"/>
                <w:w w:val="98"/>
              </w:rPr>
              <w:t>7,658,595</w:t>
            </w:r>
          </w:p>
        </w:tc>
        <w:tc>
          <w:tcPr>
            <w:tcW w:w="128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8"/>
              </w:rPr>
              <w:t>7,674,040</w:t>
            </w:r>
          </w:p>
        </w:tc>
        <w:tc>
          <w:tcPr>
            <w:tcW w:w="1520" w:type="dxa"/>
            <w:vAlign w:val="bottom"/>
          </w:tcPr>
          <w:p>
            <w:pPr>
              <w:jc w:val="center"/>
              <w:ind w:right="222"/>
              <w:spacing w:after="0" w:line="180" w:lineRule="exact"/>
              <w:rPr>
                <w:sz w:val="20"/>
                <w:szCs w:val="20"/>
                <w:color w:val="auto"/>
              </w:rPr>
            </w:pPr>
            <w:r>
              <w:rPr>
                <w:rFonts w:ascii="Arial" w:cs="Arial" w:eastAsia="Arial" w:hAnsi="Arial"/>
                <w:sz w:val="16"/>
                <w:szCs w:val="16"/>
                <w:color w:val="auto"/>
                <w:w w:val="93"/>
              </w:rPr>
              <w:t>0.2%</w:t>
            </w:r>
          </w:p>
        </w:tc>
        <w:tc>
          <w:tcPr>
            <w:tcW w:w="1000" w:type="dxa"/>
            <w:vAlign w:val="bottom"/>
            <w:tcBorders>
              <w:right w:val="single" w:sz="8" w:color="auto"/>
            </w:tcBorders>
          </w:tcPr>
          <w:p>
            <w:pPr>
              <w:jc w:val="center"/>
              <w:ind w:right="242"/>
              <w:spacing w:after="0" w:line="180" w:lineRule="exact"/>
              <w:rPr>
                <w:sz w:val="20"/>
                <w:szCs w:val="20"/>
                <w:color w:val="auto"/>
              </w:rPr>
            </w:pPr>
            <w:r>
              <w:rPr>
                <w:rFonts w:ascii="Arial" w:cs="Arial" w:eastAsia="Arial" w:hAnsi="Arial"/>
                <w:sz w:val="16"/>
                <w:szCs w:val="16"/>
                <w:color w:val="auto"/>
                <w:w w:val="95"/>
              </w:rPr>
              <w:t>-7.0%</w:t>
            </w:r>
          </w:p>
        </w:tc>
      </w:tr>
      <w:tr>
        <w:trPr>
          <w:trHeight w:val="191"/>
        </w:trPr>
        <w:tc>
          <w:tcPr>
            <w:tcW w:w="4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Non-performing loans (NPLs)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8,360,155</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6,991,921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6,969,745</w:t>
            </w:r>
          </w:p>
        </w:tc>
        <w:tc>
          <w:tcPr>
            <w:tcW w:w="1520" w:type="dxa"/>
            <w:vAlign w:val="bottom"/>
            <w:tcBorders>
              <w:bottom w:val="single" w:sz="8" w:color="auto"/>
            </w:tcBorders>
          </w:tcPr>
          <w:p>
            <w:pPr>
              <w:jc w:val="center"/>
              <w:ind w:right="222"/>
              <w:spacing w:after="0"/>
              <w:rPr>
                <w:sz w:val="20"/>
                <w:szCs w:val="20"/>
                <w:color w:val="auto"/>
              </w:rPr>
            </w:pPr>
            <w:r>
              <w:rPr>
                <w:rFonts w:ascii="Arial" w:cs="Arial" w:eastAsia="Arial" w:hAnsi="Arial"/>
                <w:sz w:val="16"/>
                <w:szCs w:val="16"/>
                <w:color w:val="auto"/>
              </w:rPr>
              <w:t>-0.3%</w:t>
            </w:r>
          </w:p>
        </w:tc>
        <w:tc>
          <w:tcPr>
            <w:tcW w:w="1000" w:type="dxa"/>
            <w:vAlign w:val="bottom"/>
            <w:tcBorders>
              <w:bottom w:val="single" w:sz="8" w:color="auto"/>
              <w:right w:val="single" w:sz="8" w:color="auto"/>
            </w:tcBorders>
          </w:tcPr>
          <w:p>
            <w:pPr>
              <w:jc w:val="center"/>
              <w:ind w:right="222"/>
              <w:spacing w:after="0"/>
              <w:rPr>
                <w:sz w:val="20"/>
                <w:szCs w:val="20"/>
                <w:color w:val="auto"/>
              </w:rPr>
            </w:pPr>
            <w:r>
              <w:rPr>
                <w:rFonts w:ascii="Arial" w:cs="Arial" w:eastAsia="Arial" w:hAnsi="Arial"/>
                <w:sz w:val="16"/>
                <w:szCs w:val="16"/>
                <w:color w:val="auto"/>
                <w:w w:val="98"/>
              </w:rPr>
              <w:t>-16.6%</w:t>
            </w:r>
          </w:p>
        </w:tc>
      </w:tr>
      <w:tr>
        <w:trPr>
          <w:trHeight w:val="159"/>
        </w:trPr>
        <w:tc>
          <w:tcPr>
            <w:tcW w:w="4260" w:type="dxa"/>
            <w:vAlign w:val="bottom"/>
            <w:tcBorders>
              <w:left w:val="single" w:sz="8" w:color="auto"/>
              <w:right w:val="single" w:sz="8" w:color="auto"/>
            </w:tcBorders>
          </w:tcPr>
          <w:p>
            <w:pPr>
              <w:ind w:left="20"/>
              <w:spacing w:after="0" w:line="159" w:lineRule="exact"/>
              <w:rPr>
                <w:sz w:val="20"/>
                <w:szCs w:val="20"/>
                <w:color w:val="auto"/>
              </w:rPr>
            </w:pPr>
            <w:r>
              <w:rPr>
                <w:rFonts w:ascii="Arial" w:cs="Arial" w:eastAsia="Arial" w:hAnsi="Arial"/>
                <w:sz w:val="16"/>
                <w:szCs w:val="16"/>
                <w:b w:val="1"/>
                <w:bCs w:val="1"/>
                <w:color w:val="auto"/>
              </w:rPr>
              <w:t>Allowance for loan losses over Total loans</w:t>
            </w:r>
          </w:p>
        </w:tc>
        <w:tc>
          <w:tcPr>
            <w:tcW w:w="12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5.8%</w:t>
            </w:r>
          </w:p>
        </w:tc>
        <w:tc>
          <w:tcPr>
            <w:tcW w:w="12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5.4%</w:t>
            </w:r>
          </w:p>
        </w:tc>
        <w:tc>
          <w:tcPr>
            <w:tcW w:w="12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b w:val="1"/>
                <w:bCs w:val="1"/>
                <w:color w:val="auto"/>
                <w:w w:val="98"/>
              </w:rPr>
              <w:t>5.3%</w:t>
            </w:r>
          </w:p>
        </w:tc>
        <w:tc>
          <w:tcPr>
            <w:tcW w:w="1520" w:type="dxa"/>
            <w:vAlign w:val="bottom"/>
          </w:tcPr>
          <w:p>
            <w:pPr>
              <w:jc w:val="center"/>
              <w:ind w:right="222"/>
              <w:spacing w:after="0" w:line="159" w:lineRule="exact"/>
              <w:rPr>
                <w:sz w:val="20"/>
                <w:szCs w:val="20"/>
                <w:color w:val="auto"/>
              </w:rPr>
            </w:pPr>
            <w:r>
              <w:rPr>
                <w:rFonts w:ascii="Arial" w:cs="Arial" w:eastAsia="Arial" w:hAnsi="Arial"/>
                <w:sz w:val="16"/>
                <w:szCs w:val="16"/>
                <w:b w:val="1"/>
                <w:bCs w:val="1"/>
                <w:color w:val="auto"/>
                <w:w w:val="96"/>
              </w:rPr>
              <w:t>-13 bps</w:t>
            </w:r>
          </w:p>
        </w:tc>
        <w:tc>
          <w:tcPr>
            <w:tcW w:w="1000" w:type="dxa"/>
            <w:vAlign w:val="bottom"/>
            <w:tcBorders>
              <w:right w:val="single" w:sz="8" w:color="auto"/>
            </w:tcBorders>
          </w:tcPr>
          <w:p>
            <w:pPr>
              <w:jc w:val="center"/>
              <w:ind w:right="222"/>
              <w:spacing w:after="0" w:line="159" w:lineRule="exact"/>
              <w:rPr>
                <w:sz w:val="20"/>
                <w:szCs w:val="20"/>
                <w:color w:val="auto"/>
              </w:rPr>
            </w:pPr>
            <w:r>
              <w:rPr>
                <w:rFonts w:ascii="Arial" w:cs="Arial" w:eastAsia="Arial" w:hAnsi="Arial"/>
                <w:sz w:val="16"/>
                <w:szCs w:val="16"/>
                <w:b w:val="1"/>
                <w:bCs w:val="1"/>
                <w:color w:val="auto"/>
                <w:w w:val="96"/>
              </w:rPr>
              <w:t>-49 bps</w:t>
            </w:r>
          </w:p>
        </w:tc>
      </w:tr>
      <w:tr>
        <w:trPr>
          <w:trHeight w:val="193"/>
        </w:trPr>
        <w:tc>
          <w:tcPr>
            <w:tcW w:w="4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Coverage ratio of NPLs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98.7%</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109.5%</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110.1%</w:t>
            </w:r>
          </w:p>
        </w:tc>
        <w:tc>
          <w:tcPr>
            <w:tcW w:w="1520" w:type="dxa"/>
            <w:vAlign w:val="bottom"/>
            <w:tcBorders>
              <w:bottom w:val="single" w:sz="8" w:color="auto"/>
            </w:tcBorders>
          </w:tcPr>
          <w:p>
            <w:pPr>
              <w:jc w:val="center"/>
              <w:ind w:right="222"/>
              <w:spacing w:after="0"/>
              <w:rPr>
                <w:sz w:val="20"/>
                <w:szCs w:val="20"/>
                <w:color w:val="auto"/>
              </w:rPr>
            </w:pPr>
            <w:r>
              <w:rPr>
                <w:rFonts w:ascii="Arial" w:cs="Arial" w:eastAsia="Arial" w:hAnsi="Arial"/>
                <w:sz w:val="16"/>
                <w:szCs w:val="16"/>
                <w:b w:val="1"/>
                <w:bCs w:val="1"/>
                <w:color w:val="auto"/>
                <w:w w:val="98"/>
              </w:rPr>
              <w:t>58 bps</w:t>
            </w:r>
          </w:p>
        </w:tc>
        <w:tc>
          <w:tcPr>
            <w:tcW w:w="1000" w:type="dxa"/>
            <w:vAlign w:val="bottom"/>
            <w:tcBorders>
              <w:bottom w:val="single" w:sz="8" w:color="auto"/>
              <w:right w:val="single" w:sz="8" w:color="auto"/>
            </w:tcBorders>
          </w:tcPr>
          <w:p>
            <w:pPr>
              <w:jc w:val="center"/>
              <w:ind w:right="222"/>
              <w:spacing w:after="0"/>
              <w:rPr>
                <w:sz w:val="20"/>
                <w:szCs w:val="20"/>
                <w:color w:val="auto"/>
              </w:rPr>
            </w:pPr>
            <w:r>
              <w:rPr>
                <w:rFonts w:ascii="Arial" w:cs="Arial" w:eastAsia="Arial" w:hAnsi="Arial"/>
                <w:sz w:val="16"/>
                <w:szCs w:val="16"/>
                <w:b w:val="1"/>
                <w:bCs w:val="1"/>
                <w:color w:val="auto"/>
                <w:w w:val="96"/>
              </w:rPr>
              <w:t>1143 bps</w:t>
            </w:r>
          </w:p>
        </w:tc>
      </w:tr>
      <w:tr>
        <w:trPr>
          <w:trHeight w:val="341"/>
        </w:trPr>
        <w:tc>
          <w:tcPr>
            <w:tcW w:w="4260" w:type="dxa"/>
            <w:vAlign w:val="bottom"/>
          </w:tcPr>
          <w:p>
            <w:pPr>
              <w:ind w:left="1560"/>
              <w:spacing w:after="0"/>
              <w:rPr>
                <w:sz w:val="20"/>
                <w:szCs w:val="20"/>
                <w:color w:val="auto"/>
              </w:rPr>
            </w:pPr>
            <w:r>
              <w:rPr>
                <w:rFonts w:ascii="Arial" w:cs="Arial" w:eastAsia="Arial" w:hAnsi="Arial"/>
                <w:sz w:val="16"/>
                <w:szCs w:val="16"/>
                <w:b w:val="1"/>
                <w:bCs w:val="1"/>
                <w:color w:val="auto"/>
              </w:rPr>
              <w:t>Allowance for loan losses</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5"/>
        </w:trPr>
        <w:tc>
          <w:tcPr>
            <w:tcW w:w="4260" w:type="dxa"/>
            <w:vAlign w:val="bottom"/>
          </w:tcPr>
          <w:p>
            <w:pPr>
              <w:ind w:left="2060"/>
              <w:spacing w:after="0"/>
              <w:rPr>
                <w:sz w:val="20"/>
                <w:szCs w:val="20"/>
                <w:color w:val="auto"/>
              </w:rPr>
            </w:pPr>
            <w:r>
              <w:rPr>
                <w:rFonts w:ascii="Arial" w:cs="Arial" w:eastAsia="Arial" w:hAnsi="Arial"/>
                <w:sz w:val="16"/>
                <w:szCs w:val="16"/>
                <w:color w:val="auto"/>
              </w:rPr>
              <w:t>(in S/ millions)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21"/>
        </w:trPr>
        <w:tc>
          <w:tcPr>
            <w:tcW w:w="4260" w:type="dxa"/>
            <w:vAlign w:val="bottom"/>
          </w:tcPr>
          <w:p>
            <w:pPr>
              <w:spacing w:after="0"/>
              <w:rPr>
                <w:sz w:val="24"/>
                <w:szCs w:val="24"/>
                <w:color w:val="auto"/>
              </w:rPr>
            </w:pPr>
          </w:p>
        </w:tc>
        <w:tc>
          <w:tcPr>
            <w:tcW w:w="6320" w:type="dxa"/>
            <w:vAlign w:val="bottom"/>
            <w:gridSpan w:val="5"/>
          </w:tcPr>
          <w:p>
            <w:pPr>
              <w:ind w:left="940"/>
              <w:spacing w:after="0"/>
              <w:rPr>
                <w:sz w:val="20"/>
                <w:szCs w:val="20"/>
                <w:color w:val="auto"/>
              </w:rPr>
            </w:pPr>
            <w:r>
              <w:rPr>
                <w:rFonts w:ascii="Arial" w:cs="Arial" w:eastAsia="Arial" w:hAnsi="Arial"/>
                <w:sz w:val="16"/>
                <w:szCs w:val="16"/>
                <w:b w:val="1"/>
                <w:bCs w:val="1"/>
                <w:color w:val="auto"/>
              </w:rPr>
              <w:t xml:space="preserve">QoQ, </w:t>
            </w:r>
            <w:r>
              <w:rPr>
                <w:rFonts w:ascii="Arial" w:cs="Arial" w:eastAsia="Arial" w:hAnsi="Arial"/>
                <w:sz w:val="16"/>
                <w:szCs w:val="16"/>
                <w:color w:val="auto"/>
              </w:rPr>
              <w:t>the allowance for loan losses rose slightly by 0.2%, driven mainly</w:t>
            </w:r>
          </w:p>
        </w:tc>
      </w:tr>
      <w:tr>
        <w:trPr>
          <w:trHeight w:val="215"/>
        </w:trPr>
        <w:tc>
          <w:tcPr>
            <w:tcW w:w="4260" w:type="dxa"/>
            <w:vAlign w:val="bottom"/>
          </w:tcPr>
          <w:p>
            <w:pPr>
              <w:spacing w:after="0"/>
              <w:rPr>
                <w:sz w:val="18"/>
                <w:szCs w:val="18"/>
                <w:color w:val="auto"/>
              </w:rPr>
            </w:pPr>
          </w:p>
        </w:tc>
        <w:tc>
          <w:tcPr>
            <w:tcW w:w="3800" w:type="dxa"/>
            <w:vAlign w:val="bottom"/>
            <w:gridSpan w:val="3"/>
          </w:tcPr>
          <w:p>
            <w:pPr>
              <w:ind w:left="9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BCP Bolivia</w:t>
            </w:r>
            <w:r>
              <w:rPr>
                <w:rFonts w:ascii="Arial" w:cs="Arial" w:eastAsia="Arial" w:hAnsi="Arial"/>
                <w:sz w:val="16"/>
                <w:szCs w:val="16"/>
                <w:color w:val="auto"/>
              </w:rPr>
              <w:t xml:space="preserve"> and </w:t>
            </w:r>
            <w:r>
              <w:rPr>
                <w:rFonts w:ascii="Arial" w:cs="Arial" w:eastAsia="Arial" w:hAnsi="Arial"/>
                <w:sz w:val="16"/>
                <w:szCs w:val="16"/>
                <w:b w:val="1"/>
                <w:bCs w:val="1"/>
                <w:color w:val="auto"/>
              </w:rPr>
              <w:t>Mibanco.</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13"/>
        </w:trPr>
        <w:tc>
          <w:tcPr>
            <w:tcW w:w="4260" w:type="dxa"/>
            <w:vAlign w:val="bottom"/>
          </w:tcPr>
          <w:p>
            <w:pPr>
              <w:spacing w:after="0"/>
              <w:rPr>
                <w:sz w:val="24"/>
                <w:szCs w:val="24"/>
                <w:color w:val="auto"/>
              </w:rPr>
            </w:pPr>
          </w:p>
        </w:tc>
        <w:tc>
          <w:tcPr>
            <w:tcW w:w="5320" w:type="dxa"/>
            <w:vAlign w:val="bottom"/>
            <w:gridSpan w:val="4"/>
          </w:tcPr>
          <w:p>
            <w:pPr>
              <w:ind w:left="940"/>
              <w:spacing w:after="0"/>
              <w:rPr>
                <w:sz w:val="20"/>
                <w:szCs w:val="20"/>
                <w:color w:val="auto"/>
              </w:rPr>
            </w:pPr>
            <w:r>
              <w:rPr>
                <w:rFonts w:ascii="Arial" w:cs="Arial" w:eastAsia="Arial" w:hAnsi="Arial"/>
                <w:sz w:val="16"/>
                <w:szCs w:val="16"/>
                <w:b w:val="1"/>
                <w:bCs w:val="1"/>
                <w:color w:val="auto"/>
                <w:w w:val="96"/>
              </w:rPr>
              <w:t xml:space="preserve">YoY, </w:t>
            </w:r>
            <w:r>
              <w:rPr>
                <w:rFonts w:ascii="Arial" w:cs="Arial" w:eastAsia="Arial" w:hAnsi="Arial"/>
                <w:sz w:val="16"/>
                <w:szCs w:val="16"/>
                <w:color w:val="auto"/>
                <w:w w:val="96"/>
              </w:rPr>
              <w:t>the allowance for loan losses fell 7.0%, fueled primarily by</w:t>
            </w:r>
          </w:p>
        </w:tc>
        <w:tc>
          <w:tcPr>
            <w:tcW w:w="1000" w:type="dxa"/>
            <w:vAlign w:val="bottom"/>
          </w:tcPr>
          <w:p>
            <w:pPr>
              <w:ind w:left="100"/>
              <w:spacing w:after="0"/>
              <w:rPr>
                <w:sz w:val="20"/>
                <w:szCs w:val="20"/>
                <w:color w:val="auto"/>
              </w:rPr>
            </w:pPr>
            <w:r>
              <w:rPr>
                <w:rFonts w:ascii="Arial" w:cs="Arial" w:eastAsia="Arial" w:hAnsi="Arial"/>
                <w:sz w:val="16"/>
                <w:szCs w:val="16"/>
                <w:b w:val="1"/>
                <w:bCs w:val="1"/>
                <w:color w:val="auto"/>
              </w:rPr>
              <w:t>Retail</w:t>
            </w:r>
          </w:p>
        </w:tc>
      </w:tr>
      <w:tr>
        <w:trPr>
          <w:trHeight w:val="215"/>
        </w:trPr>
        <w:tc>
          <w:tcPr>
            <w:tcW w:w="4260" w:type="dxa"/>
            <w:vAlign w:val="bottom"/>
          </w:tcPr>
          <w:p>
            <w:pPr>
              <w:spacing w:after="0"/>
              <w:rPr>
                <w:sz w:val="18"/>
                <w:szCs w:val="18"/>
                <w:color w:val="auto"/>
              </w:rPr>
            </w:pPr>
          </w:p>
        </w:tc>
        <w:tc>
          <w:tcPr>
            <w:tcW w:w="6320" w:type="dxa"/>
            <w:vAlign w:val="bottom"/>
            <w:gridSpan w:val="5"/>
          </w:tcPr>
          <w:p>
            <w:pPr>
              <w:ind w:left="940"/>
              <w:spacing w:after="0"/>
              <w:rPr>
                <w:sz w:val="20"/>
                <w:szCs w:val="20"/>
                <w:color w:val="auto"/>
              </w:rPr>
            </w:pPr>
            <w:r>
              <w:rPr>
                <w:rFonts w:ascii="Arial" w:cs="Arial" w:eastAsia="Arial" w:hAnsi="Arial"/>
                <w:sz w:val="16"/>
                <w:szCs w:val="16"/>
                <w:b w:val="1"/>
                <w:bCs w:val="1"/>
                <w:color w:val="auto"/>
              </w:rPr>
              <w:t xml:space="preserve">Banking </w:t>
            </w:r>
            <w:r>
              <w:rPr>
                <w:rFonts w:ascii="Arial" w:cs="Arial" w:eastAsia="Arial" w:hAnsi="Arial"/>
                <w:sz w:val="16"/>
                <w:szCs w:val="16"/>
                <w:color w:val="auto"/>
              </w:rPr>
              <w:t>at</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and secondarily by</w:t>
            </w:r>
            <w:r>
              <w:rPr>
                <w:rFonts w:ascii="Arial" w:cs="Arial" w:eastAsia="Arial" w:hAnsi="Arial"/>
                <w:sz w:val="16"/>
                <w:szCs w:val="16"/>
                <w:b w:val="1"/>
                <w:bCs w:val="1"/>
                <w:color w:val="auto"/>
              </w:rPr>
              <w:t xml:space="preserve"> BCP Bolivia.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-577215</wp:posOffset>
            </wp:positionV>
            <wp:extent cx="2195195" cy="11969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95195" cy="119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1"/>
          <w:szCs w:val="11"/>
          <w:color w:val="auto"/>
        </w:rPr>
        <w:t>(1) Others include Mibanco Colombia, ASB and eliminations.</w:t>
      </w:r>
    </w:p>
    <w:p>
      <w:pPr>
        <w:spacing w:after="0" w:line="184"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NPL Coverage Ratio</w:t>
      </w:r>
    </w:p>
    <w:p>
      <w:pPr>
        <w:spacing w:after="0" w:line="12" w:lineRule="exact"/>
        <w:rPr>
          <w:sz w:val="20"/>
          <w:szCs w:val="20"/>
          <w:color w:val="auto"/>
        </w:rPr>
      </w:pPr>
    </w:p>
    <w:p>
      <w:pPr>
        <w:jc w:val="both"/>
        <w:ind w:left="5200" w:right="420"/>
        <w:spacing w:after="0" w:line="244" w:lineRule="auto"/>
        <w:rPr>
          <w:sz w:val="20"/>
          <w:szCs w:val="20"/>
          <w:color w:val="auto"/>
        </w:rPr>
      </w:pPr>
      <w:r>
        <w:rPr>
          <w:rFonts w:ascii="Arial" w:cs="Arial" w:eastAsia="Arial" w:hAnsi="Arial"/>
          <w:sz w:val="16"/>
          <w:szCs w:val="16"/>
          <w:color w:val="auto"/>
        </w:rPr>
        <w:t xml:space="preserve">The NPL Coverage Ratio at </w:t>
      </w:r>
      <w:r>
        <w:rPr>
          <w:rFonts w:ascii="Arial" w:cs="Arial" w:eastAsia="Arial" w:hAnsi="Arial"/>
          <w:sz w:val="16"/>
          <w:szCs w:val="16"/>
          <w:b w:val="1"/>
          <w:bCs w:val="1"/>
          <w:color w:val="auto"/>
        </w:rPr>
        <w:t>Credicorp</w:t>
      </w:r>
      <w:r>
        <w:rPr>
          <w:rFonts w:ascii="Arial" w:cs="Arial" w:eastAsia="Arial" w:hAnsi="Arial"/>
          <w:sz w:val="16"/>
          <w:szCs w:val="16"/>
          <w:color w:val="auto"/>
        </w:rPr>
        <w:t xml:space="preserve"> stood at 110.1% at the end of 3Q25.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-185420</wp:posOffset>
            </wp:positionV>
            <wp:extent cx="1898015" cy="13493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98015" cy="1349375"/>
                    </a:xfrm>
                    <a:prstGeom prst="rect">
                      <a:avLst/>
                    </a:prstGeom>
                    <a:noFill/>
                  </pic:spPr>
                </pic:pic>
              </a:graphicData>
            </a:graphic>
          </wp:anchor>
        </w:drawing>
      </w:r>
    </w:p>
    <w:p>
      <w:pPr>
        <w:spacing w:after="0" w:line="130"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QoQ</w:t>
      </w:r>
    </w:p>
    <w:p>
      <w:pPr>
        <w:spacing w:after="0" w:line="12" w:lineRule="exact"/>
        <w:rPr>
          <w:sz w:val="20"/>
          <w:szCs w:val="20"/>
          <w:color w:val="auto"/>
        </w:rPr>
      </w:pPr>
    </w:p>
    <w:p>
      <w:pPr>
        <w:jc w:val="both"/>
        <w:ind w:left="5200" w:right="400"/>
        <w:spacing w:after="0" w:line="254" w:lineRule="auto"/>
        <w:rPr>
          <w:sz w:val="20"/>
          <w:szCs w:val="20"/>
          <w:color w:val="auto"/>
        </w:rPr>
      </w:pPr>
      <w:r>
        <w:rPr>
          <w:rFonts w:ascii="Arial" w:cs="Arial" w:eastAsia="Arial" w:hAnsi="Arial"/>
          <w:sz w:val="16"/>
          <w:szCs w:val="16"/>
          <w:color w:val="auto"/>
        </w:rPr>
        <w:t xml:space="preserve">The NPL Coverage Ratio at </w:t>
      </w:r>
      <w:r>
        <w:rPr>
          <w:rFonts w:ascii="Arial" w:cs="Arial" w:eastAsia="Arial" w:hAnsi="Arial"/>
          <w:sz w:val="16"/>
          <w:szCs w:val="16"/>
          <w:b w:val="1"/>
          <w:bCs w:val="1"/>
          <w:color w:val="auto"/>
        </w:rPr>
        <w:t>Credicorp</w:t>
      </w:r>
      <w:r>
        <w:rPr>
          <w:rFonts w:ascii="Arial" w:cs="Arial" w:eastAsia="Arial" w:hAnsi="Arial"/>
          <w:sz w:val="16"/>
          <w:szCs w:val="16"/>
          <w:color w:val="auto"/>
        </w:rPr>
        <w:t xml:space="preserve"> rose 58 bps, driven by the evolution at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and </w:t>
      </w:r>
      <w:r>
        <w:rPr>
          <w:rFonts w:ascii="Arial" w:cs="Arial" w:eastAsia="Arial" w:hAnsi="Arial"/>
          <w:sz w:val="16"/>
          <w:szCs w:val="16"/>
          <w:b w:val="1"/>
          <w:bCs w:val="1"/>
          <w:color w:val="auto"/>
        </w:rPr>
        <w:t>Mibanco.</w:t>
      </w:r>
    </w:p>
    <w:p>
      <w:pPr>
        <w:spacing w:after="0" w:line="135" w:lineRule="exact"/>
        <w:rPr>
          <w:sz w:val="20"/>
          <w:szCs w:val="20"/>
          <w:color w:val="auto"/>
        </w:rPr>
      </w:pPr>
    </w:p>
    <w:p>
      <w:pPr>
        <w:jc w:val="both"/>
        <w:ind w:left="5200" w:right="420"/>
        <w:spacing w:after="0"/>
        <w:rPr>
          <w:sz w:val="20"/>
          <w:szCs w:val="20"/>
          <w:color w:val="auto"/>
        </w:rPr>
      </w:pPr>
      <w:r>
        <w:rPr>
          <w:rFonts w:ascii="Arial" w:cs="Arial" w:eastAsia="Arial" w:hAnsi="Arial"/>
          <w:sz w:val="16"/>
          <w:szCs w:val="16"/>
          <w:color w:val="auto"/>
        </w:rPr>
        <w:t xml:space="preserve">A t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the NPL Coverage Ratio increased 25 bps to stand at 109.6%. This evolution was primarily attributable to a decrease in NPLs, as described in the </w:t>
      </w:r>
      <w:r>
        <w:rPr>
          <w:rFonts w:ascii="Arial" w:cs="Arial" w:eastAsia="Arial" w:hAnsi="Arial"/>
          <w:sz w:val="16"/>
          <w:szCs w:val="16"/>
          <w:b w:val="1"/>
          <w:bCs w:val="1"/>
          <w:color w:val="auto"/>
        </w:rPr>
        <w:t>QoQ</w:t>
      </w:r>
      <w:r>
        <w:rPr>
          <w:rFonts w:ascii="Arial" w:cs="Arial" w:eastAsia="Arial" w:hAnsi="Arial"/>
          <w:sz w:val="16"/>
          <w:szCs w:val="16"/>
          <w:color w:val="auto"/>
        </w:rPr>
        <w:t xml:space="preserve"> analysis. At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the NPL Coverage Ratio rose 730 bps to stand at 121.0%. This evolution was also driven by the drop in NPLs, which is summarized in the </w:t>
      </w:r>
      <w:r>
        <w:rPr>
          <w:rFonts w:ascii="Arial" w:cs="Arial" w:eastAsia="Arial" w:hAnsi="Arial"/>
          <w:sz w:val="16"/>
          <w:szCs w:val="16"/>
          <w:b w:val="1"/>
          <w:bCs w:val="1"/>
          <w:color w:val="auto"/>
        </w:rPr>
        <w:t>QoQ</w:t>
      </w:r>
      <w:r>
        <w:rPr>
          <w:rFonts w:ascii="Arial" w:cs="Arial" w:eastAsia="Arial" w:hAnsi="Arial"/>
          <w:sz w:val="16"/>
          <w:szCs w:val="16"/>
          <w:color w:val="auto"/>
        </w:rPr>
        <w:t xml:space="preserve"> analysis.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Total NPL Coverage Ratio at </w:t>
      </w:r>
      <w:r>
        <w:rPr>
          <w:rFonts w:ascii="Arial" w:cs="Arial" w:eastAsia="Arial" w:hAnsi="Arial"/>
          <w:sz w:val="16"/>
          <w:szCs w:val="16"/>
          <w:b w:val="1"/>
          <w:bCs w:val="1"/>
          <w:color w:val="auto"/>
        </w:rPr>
        <w:t>Credicorp</w:t>
      </w:r>
      <w:r>
        <w:rPr>
          <w:rFonts w:ascii="Arial" w:cs="Arial" w:eastAsia="Arial" w:hAnsi="Arial"/>
          <w:sz w:val="16"/>
          <w:szCs w:val="16"/>
          <w:color w:val="auto"/>
        </w:rPr>
        <w:t xml:space="preserve"> increased 1,143 bps, fueled mainly by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and </w:t>
      </w:r>
      <w:r>
        <w:rPr>
          <w:rFonts w:ascii="Arial" w:cs="Arial" w:eastAsia="Arial" w:hAnsi="Arial"/>
          <w:sz w:val="16"/>
          <w:szCs w:val="16"/>
          <w:b w:val="1"/>
          <w:bCs w:val="1"/>
          <w:color w:val="auto"/>
        </w:rPr>
        <w:t>Mibanco</w:t>
      </w:r>
      <w:r>
        <w:rPr>
          <w:rFonts w:ascii="Arial" w:cs="Arial" w:eastAsia="Arial" w:hAnsi="Arial"/>
          <w:sz w:val="16"/>
          <w:szCs w:val="16"/>
          <w:color w:val="auto"/>
        </w:rPr>
        <w:t>.</w:t>
      </w:r>
    </w:p>
    <w:p>
      <w:pPr>
        <w:spacing w:after="0" w:line="160"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color w:val="auto"/>
        </w:rPr>
        <w:t xml:space="preserve">At BCP Stand-alone, </w:t>
      </w:r>
      <w:r>
        <w:rPr>
          <w:rFonts w:ascii="Arial" w:cs="Arial" w:eastAsia="Arial" w:hAnsi="Arial"/>
          <w:sz w:val="16"/>
          <w:szCs w:val="16"/>
          <w:color w:val="auto"/>
        </w:rPr>
        <w:t>the Total NPL Coverage Ratio was up 1,235 bps, driven primarily by a decrease in NPLs, as discussed in the</w:t>
      </w:r>
      <w:r>
        <w:rPr>
          <w:rFonts w:ascii="Arial" w:cs="Arial" w:eastAsia="Arial" w:hAnsi="Arial"/>
          <w:sz w:val="16"/>
          <w:szCs w:val="16"/>
          <w:b w:val="1"/>
          <w:bCs w:val="1"/>
          <w:color w:val="auto"/>
        </w:rPr>
        <w:t xml:space="preserve"> YoY </w:t>
      </w:r>
      <w:r>
        <w:rPr>
          <w:rFonts w:ascii="Arial" w:cs="Arial" w:eastAsia="Arial" w:hAnsi="Arial"/>
          <w:sz w:val="16"/>
          <w:szCs w:val="16"/>
          <w:color w:val="auto"/>
        </w:rPr>
        <w:t>analysis. At</w:t>
      </w:r>
      <w:r>
        <w:rPr>
          <w:rFonts w:ascii="Arial" w:cs="Arial" w:eastAsia="Arial" w:hAnsi="Arial"/>
          <w:sz w:val="16"/>
          <w:szCs w:val="16"/>
          <w:b w:val="1"/>
          <w:bCs w:val="1"/>
          <w:color w:val="auto"/>
        </w:rPr>
        <w:t xml:space="preserve"> Mibanco, </w:t>
      </w:r>
      <w:r>
        <w:rPr>
          <w:rFonts w:ascii="Arial" w:cs="Arial" w:eastAsia="Arial" w:hAnsi="Arial"/>
          <w:sz w:val="16"/>
          <w:szCs w:val="16"/>
          <w:color w:val="auto"/>
        </w:rPr>
        <w:t>the ratio was up 2,203 bps</w:t>
      </w:r>
      <w:r>
        <w:rPr>
          <w:rFonts w:ascii="Arial" w:cs="Arial" w:eastAsia="Arial" w:hAnsi="Arial"/>
          <w:sz w:val="16"/>
          <w:szCs w:val="16"/>
          <w:b w:val="1"/>
          <w:bCs w:val="1"/>
          <w:color w:val="auto"/>
        </w:rPr>
        <w:t xml:space="preserve"> YoY</w:t>
      </w:r>
      <w:r>
        <w:rPr>
          <w:rFonts w:ascii="Arial" w:cs="Arial" w:eastAsia="Arial" w:hAnsi="Arial"/>
          <w:sz w:val="16"/>
          <w:szCs w:val="16"/>
          <w:color w:val="auto"/>
        </w:rPr>
        <w:t>. This evolution was also attributable to a reduction in NPLs, as outlined in the</w:t>
      </w:r>
      <w:r>
        <w:rPr>
          <w:rFonts w:ascii="Arial" w:cs="Arial" w:eastAsia="Arial" w:hAnsi="Arial"/>
          <w:sz w:val="16"/>
          <w:szCs w:val="16"/>
          <w:b w:val="1"/>
          <w:bCs w:val="1"/>
          <w:color w:val="auto"/>
        </w:rPr>
        <w:t xml:space="preserve"> YoY </w:t>
      </w:r>
      <w:r>
        <w:rPr>
          <w:rFonts w:ascii="Arial" w:cs="Arial" w:eastAsia="Arial" w:hAnsi="Arial"/>
          <w:sz w:val="16"/>
          <w:szCs w:val="16"/>
          <w:color w:val="auto"/>
        </w:rPr>
        <w:t>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777240</wp:posOffset>
            </wp:positionV>
            <wp:extent cx="670750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76200</wp:posOffset>
            </wp:positionV>
            <wp:extent cx="5998845" cy="4724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98845" cy="472440"/>
                    </a:xfrm>
                    <a:prstGeom prst="rect">
                      <a:avLst/>
                    </a:prstGeom>
                    <a:noFill/>
                  </pic:spPr>
                </pic:pic>
              </a:graphicData>
            </a:graphic>
          </wp:anchor>
        </w:drawing>
      </w:r>
    </w:p>
    <w:p>
      <w:pPr>
        <w:sectPr>
          <w:pgSz w:w="11900" w:h="16840" w:orient="portrait"/>
          <w:cols w:equalWidth="0" w:num="1">
            <w:col w:w="10560"/>
          </w:cols>
          <w:pgMar w:left="660" w:top="931" w:right="680" w:bottom="1440" w:gutter="0" w:footer="0" w:header="0"/>
        </w:sectPr>
      </w:pPr>
    </w:p>
    <w:bookmarkStart w:id="33" w:name="page34"/>
    <w:bookmarkEnd w:id="33"/>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06 </w:t>
      </w:r>
      <w:r>
        <w:rPr>
          <w:rFonts w:ascii="Arial" w:cs="Arial" w:eastAsia="Arial" w:hAnsi="Arial"/>
          <w:sz w:val="28"/>
          <w:szCs w:val="28"/>
          <w:color w:val="E93BAC"/>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6707505" cy="10744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07505" cy="1074420"/>
                    </a:xfrm>
                    <a:prstGeom prst="rect">
                      <a:avLst/>
                    </a:prstGeom>
                    <a:noFill/>
                  </pic:spPr>
                </pic:pic>
              </a:graphicData>
            </a:graphic>
          </wp:anchor>
        </w:drawing>
      </w:r>
    </w:p>
    <w:p>
      <w:pPr>
        <w:spacing w:after="0" w:line="368" w:lineRule="exact"/>
        <w:rPr>
          <w:sz w:val="20"/>
          <w:szCs w:val="20"/>
          <w:color w:val="auto"/>
        </w:rPr>
      </w:pPr>
    </w:p>
    <w:p>
      <w:pPr>
        <w:ind w:left="120" w:right="100"/>
        <w:spacing w:after="0" w:line="262" w:lineRule="auto"/>
        <w:rPr>
          <w:sz w:val="20"/>
          <w:szCs w:val="20"/>
          <w:color w:val="auto"/>
        </w:rPr>
      </w:pPr>
      <w:r>
        <w:rPr>
          <w:rFonts w:ascii="Arial" w:cs="Arial" w:eastAsia="Arial" w:hAnsi="Arial"/>
          <w:sz w:val="16"/>
          <w:szCs w:val="16"/>
          <w:color w:val="FFFFFF"/>
        </w:rPr>
        <w:t>Other Income declined 1.4% QoQ but increased 7.0% YoY. The volatility in these results reflects fluctuations in Other Non-Core Income, which included atypical items in prior quarters. Focusing on recurring components within Other Core Income:</w:t>
      </w:r>
    </w:p>
    <w:p>
      <w:pPr>
        <w:spacing w:after="0" w:line="66" w:lineRule="exact"/>
        <w:rPr>
          <w:sz w:val="20"/>
          <w:szCs w:val="20"/>
          <w:color w:val="auto"/>
        </w:rPr>
      </w:pPr>
    </w:p>
    <w:p>
      <w:pPr>
        <w:ind w:left="120" w:right="120"/>
        <w:spacing w:after="0" w:line="262" w:lineRule="auto"/>
        <w:rPr>
          <w:sz w:val="20"/>
          <w:szCs w:val="20"/>
          <w:color w:val="auto"/>
        </w:rPr>
      </w:pPr>
      <w:r>
        <w:rPr>
          <w:rFonts w:ascii="Arial" w:cs="Arial" w:eastAsia="Arial" w:hAnsi="Arial"/>
          <w:sz w:val="16"/>
          <w:szCs w:val="16"/>
          <w:color w:val="FFFFFF"/>
        </w:rPr>
        <w:t>QoQ, Other Core Income grew 4.0%, primarily driven by an uptick in Universal Banking. Growth was supported by higher fees at Yape, fueled by increased revenue-generating transactions, and FX gains at BCP Bolivia, following the successful rollout of new foreign exchange products.</w:t>
      </w:r>
    </w:p>
    <w:p>
      <w:pPr>
        <w:spacing w:after="0" w:line="30" w:lineRule="exact"/>
        <w:rPr>
          <w:sz w:val="20"/>
          <w:szCs w:val="20"/>
          <w:color w:val="auto"/>
        </w:rPr>
      </w:pPr>
    </w:p>
    <w:p>
      <w:pPr>
        <w:ind w:left="120" w:right="120"/>
        <w:spacing w:after="0" w:line="262" w:lineRule="auto"/>
        <w:rPr>
          <w:sz w:val="20"/>
          <w:szCs w:val="20"/>
          <w:color w:val="auto"/>
        </w:rPr>
      </w:pPr>
      <w:r>
        <w:rPr>
          <w:rFonts w:ascii="Arial" w:cs="Arial" w:eastAsia="Arial" w:hAnsi="Arial"/>
          <w:sz w:val="16"/>
          <w:szCs w:val="16"/>
          <w:color w:val="FFFFFF"/>
        </w:rPr>
        <w:t>YoY, Other Core Income rose 11.9%, mainly due to higher total fees at BCP Stand-alone and FX gains within Universal Banking, underscoring consistent execution of our revenue diversification and decoupling strategy.</w:t>
      </w:r>
    </w:p>
    <w:p>
      <w:pPr>
        <w:spacing w:after="0" w:line="269" w:lineRule="exact"/>
        <w:rPr>
          <w:sz w:val="20"/>
          <w:szCs w:val="20"/>
          <w:color w:val="auto"/>
        </w:rPr>
      </w:pPr>
    </w:p>
    <w:p>
      <w:pPr>
        <w:ind w:left="440" w:hanging="434"/>
        <w:spacing w:after="0"/>
        <w:tabs>
          <w:tab w:leader="none" w:pos="44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Other Income</w:t>
      </w:r>
      <w:r>
        <w:rPr>
          <w:rFonts w:ascii="Arial" w:cs="Arial" w:eastAsia="Arial" w:hAnsi="Arial"/>
          <w:sz w:val="26"/>
          <w:szCs w:val="26"/>
          <w:b w:val="1"/>
          <w:bCs w:val="1"/>
          <w:color w:val="auto"/>
          <w:vertAlign w:val="superscript"/>
        </w:rPr>
        <w:t>1</w:t>
      </w:r>
    </w:p>
    <w:tbl>
      <w:tblPr>
        <w:tblLayout w:type="fixed"/>
        <w:tblInd w:w="10" w:type="dxa"/>
        <w:tblCellMar>
          <w:top w:w="0" w:type="dxa"/>
          <w:left w:w="0" w:type="dxa"/>
          <w:bottom w:w="0" w:type="dxa"/>
          <w:right w:w="0" w:type="dxa"/>
        </w:tblCellMar>
      </w:tblPr>
      <w:tr>
        <w:trPr>
          <w:trHeight w:val="150"/>
        </w:trPr>
        <w:tc>
          <w:tcPr>
            <w:tcW w:w="3420" w:type="dxa"/>
            <w:vAlign w:val="bottom"/>
            <w:tcBorders>
              <w:top w:val="single" w:sz="8" w:color="auto"/>
              <w:left w:val="single" w:sz="8" w:color="auto"/>
              <w:right w:val="single" w:sz="8" w:color="auto"/>
            </w:tcBorders>
            <w:shd w:val="clear" w:color="auto" w:fill="33CCCC"/>
          </w:tcPr>
          <w:p>
            <w:pPr>
              <w:ind w:left="20"/>
              <w:spacing w:after="0" w:line="150" w:lineRule="exact"/>
              <w:rPr>
                <w:sz w:val="20"/>
                <w:szCs w:val="20"/>
                <w:color w:val="auto"/>
              </w:rPr>
            </w:pPr>
            <w:r>
              <w:rPr>
                <w:rFonts w:ascii="Arial" w:cs="Arial" w:eastAsia="Arial" w:hAnsi="Arial"/>
                <w:sz w:val="11"/>
                <w:szCs w:val="11"/>
                <w:b w:val="1"/>
                <w:bCs w:val="1"/>
                <w:color w:val="FFFFFF"/>
              </w:rPr>
              <w:t xml:space="preserve">Other Income </w:t>
            </w:r>
            <w:r>
              <w:rPr>
                <w:rFonts w:ascii="Arial" w:cs="Arial" w:eastAsia="Arial" w:hAnsi="Arial"/>
                <w:sz w:val="17"/>
                <w:szCs w:val="17"/>
                <w:b w:val="1"/>
                <w:bCs w:val="1"/>
                <w:color w:val="FFFFFF"/>
                <w:vertAlign w:val="superscript"/>
              </w:rPr>
              <w:t>(1)</w:t>
            </w:r>
          </w:p>
        </w:tc>
        <w:tc>
          <w:tcPr>
            <w:tcW w:w="820" w:type="dxa"/>
            <w:vAlign w:val="bottom"/>
            <w:tcBorders>
              <w:top w:val="single" w:sz="8" w:color="auto"/>
            </w:tcBorders>
            <w:shd w:val="clear" w:color="auto" w:fill="33CCCC"/>
          </w:tcPr>
          <w:p>
            <w:pPr>
              <w:spacing w:after="0"/>
              <w:rPr>
                <w:sz w:val="13"/>
                <w:szCs w:val="13"/>
                <w:color w:val="auto"/>
              </w:rPr>
            </w:pPr>
          </w:p>
        </w:tc>
        <w:tc>
          <w:tcPr>
            <w:tcW w:w="860" w:type="dxa"/>
            <w:vAlign w:val="bottom"/>
            <w:tcBorders>
              <w:top w:val="single" w:sz="8" w:color="auto"/>
            </w:tcBorders>
            <w:shd w:val="clear" w:color="auto" w:fill="33CCCC"/>
          </w:tcPr>
          <w:p>
            <w:pPr>
              <w:ind w:left="240"/>
              <w:spacing w:after="0"/>
              <w:rPr>
                <w:sz w:val="20"/>
                <w:szCs w:val="20"/>
                <w:color w:val="auto"/>
              </w:rPr>
            </w:pPr>
            <w:r>
              <w:rPr>
                <w:rFonts w:ascii="Arial" w:cs="Arial" w:eastAsia="Arial" w:hAnsi="Arial"/>
                <w:sz w:val="12"/>
                <w:szCs w:val="12"/>
                <w:b w:val="1"/>
                <w:bCs w:val="1"/>
                <w:color w:val="FFFFFF"/>
              </w:rPr>
              <w:t>Quarter</w:t>
            </w:r>
          </w:p>
        </w:tc>
        <w:tc>
          <w:tcPr>
            <w:tcW w:w="900" w:type="dxa"/>
            <w:vAlign w:val="bottom"/>
            <w:tcBorders>
              <w:top w:val="single" w:sz="8" w:color="auto"/>
              <w:right w:val="single" w:sz="8" w:color="auto"/>
            </w:tcBorders>
            <w:shd w:val="clear" w:color="auto" w:fill="33CCCC"/>
          </w:tcPr>
          <w:p>
            <w:pPr>
              <w:spacing w:after="0"/>
              <w:rPr>
                <w:sz w:val="13"/>
                <w:szCs w:val="13"/>
                <w:color w:val="auto"/>
              </w:rPr>
            </w:pPr>
          </w:p>
        </w:tc>
        <w:tc>
          <w:tcPr>
            <w:tcW w:w="1700" w:type="dxa"/>
            <w:vAlign w:val="bottom"/>
            <w:tcBorders>
              <w:top w:val="single" w:sz="8" w:color="auto"/>
              <w:right w:val="single" w:sz="8" w:color="auto"/>
            </w:tcBorders>
            <w:gridSpan w:val="2"/>
            <w:shd w:val="clear" w:color="auto" w:fill="33CCCC"/>
          </w:tcPr>
          <w:p>
            <w:pPr>
              <w:ind w:left="540"/>
              <w:spacing w:after="0"/>
              <w:rPr>
                <w:sz w:val="20"/>
                <w:szCs w:val="20"/>
                <w:color w:val="auto"/>
              </w:rPr>
            </w:pPr>
            <w:r>
              <w:rPr>
                <w:rFonts w:ascii="Arial" w:cs="Arial" w:eastAsia="Arial" w:hAnsi="Arial"/>
                <w:sz w:val="12"/>
                <w:szCs w:val="12"/>
                <w:b w:val="1"/>
                <w:bCs w:val="1"/>
                <w:color w:val="FFFFFF"/>
              </w:rPr>
              <w:t>% Change</w:t>
            </w:r>
          </w:p>
        </w:tc>
        <w:tc>
          <w:tcPr>
            <w:tcW w:w="1680" w:type="dxa"/>
            <w:vAlign w:val="bottom"/>
            <w:tcBorders>
              <w:top w:val="single" w:sz="8" w:color="auto"/>
              <w:right w:val="single" w:sz="8" w:color="auto"/>
            </w:tcBorders>
            <w:gridSpan w:val="2"/>
            <w:shd w:val="clear" w:color="auto" w:fill="33CCCC"/>
          </w:tcPr>
          <w:p>
            <w:pPr>
              <w:ind w:left="680"/>
              <w:spacing w:after="0"/>
              <w:rPr>
                <w:sz w:val="20"/>
                <w:szCs w:val="20"/>
                <w:color w:val="auto"/>
              </w:rPr>
            </w:pPr>
            <w:r>
              <w:rPr>
                <w:rFonts w:ascii="Arial" w:cs="Arial" w:eastAsia="Arial" w:hAnsi="Arial"/>
                <w:sz w:val="12"/>
                <w:szCs w:val="12"/>
                <w:b w:val="1"/>
                <w:bCs w:val="1"/>
                <w:color w:val="FFFFFF"/>
              </w:rPr>
              <w:t>Up to</w:t>
            </w:r>
          </w:p>
        </w:tc>
        <w:tc>
          <w:tcPr>
            <w:tcW w:w="120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56"/>
        </w:trPr>
        <w:tc>
          <w:tcPr>
            <w:tcW w:w="342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(S/ 000)</w:t>
            </w:r>
          </w:p>
        </w:tc>
        <w:tc>
          <w:tcPr>
            <w:tcW w:w="8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3Q24</w:t>
            </w:r>
          </w:p>
        </w:tc>
        <w:tc>
          <w:tcPr>
            <w:tcW w:w="8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5"/>
              </w:rPr>
              <w:t>2Q25</w:t>
            </w:r>
          </w:p>
        </w:tc>
        <w:tc>
          <w:tcPr>
            <w:tcW w:w="9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5"/>
              </w:rPr>
              <w:t>3Q25</w:t>
            </w:r>
          </w:p>
        </w:tc>
        <w:tc>
          <w:tcPr>
            <w:tcW w:w="82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12"/>
                <w:szCs w:val="12"/>
                <w:b w:val="1"/>
                <w:bCs w:val="1"/>
                <w:color w:val="FFFFFF"/>
              </w:rPr>
              <w:t>QoQ</w:t>
            </w:r>
          </w:p>
        </w:tc>
        <w:tc>
          <w:tcPr>
            <w:tcW w:w="880" w:type="dxa"/>
            <w:vAlign w:val="bottom"/>
            <w:tcBorders>
              <w:bottom w:val="single" w:sz="8" w:color="auto"/>
              <w:right w:val="single" w:sz="8" w:color="auto"/>
            </w:tcBorders>
            <w:shd w:val="clear" w:color="auto" w:fill="33CCCC"/>
          </w:tcPr>
          <w:p>
            <w:pPr>
              <w:ind w:left="320"/>
              <w:spacing w:after="0"/>
              <w:rPr>
                <w:sz w:val="20"/>
                <w:szCs w:val="20"/>
                <w:color w:val="auto"/>
              </w:rPr>
            </w:pPr>
            <w:r>
              <w:rPr>
                <w:rFonts w:ascii="Arial" w:cs="Arial" w:eastAsia="Arial" w:hAnsi="Arial"/>
                <w:sz w:val="12"/>
                <w:szCs w:val="12"/>
                <w:b w:val="1"/>
                <w:bCs w:val="1"/>
                <w:color w:val="FFFFFF"/>
              </w:rPr>
              <w:t>YoY</w:t>
            </w:r>
          </w:p>
        </w:tc>
        <w:tc>
          <w:tcPr>
            <w:tcW w:w="820" w:type="dxa"/>
            <w:vAlign w:val="bottom"/>
            <w:tcBorders>
              <w:bottom w:val="single" w:sz="8" w:color="auto"/>
            </w:tcBorders>
            <w:shd w:val="clear" w:color="auto" w:fill="33CCCC"/>
          </w:tcPr>
          <w:p>
            <w:pPr>
              <w:ind w:left="220"/>
              <w:spacing w:after="0"/>
              <w:rPr>
                <w:sz w:val="20"/>
                <w:szCs w:val="20"/>
                <w:color w:val="auto"/>
              </w:rPr>
            </w:pPr>
            <w:r>
              <w:rPr>
                <w:rFonts w:ascii="Arial" w:cs="Arial" w:eastAsia="Arial" w:hAnsi="Arial"/>
                <w:sz w:val="12"/>
                <w:szCs w:val="12"/>
                <w:b w:val="1"/>
                <w:bCs w:val="1"/>
                <w:color w:val="FFFFFF"/>
              </w:rPr>
              <w:t>Sep 24</w:t>
            </w:r>
          </w:p>
        </w:tc>
        <w:tc>
          <w:tcPr>
            <w:tcW w:w="860" w:type="dxa"/>
            <w:vAlign w:val="bottom"/>
            <w:tcBorders>
              <w:bottom w:val="single" w:sz="8" w:color="auto"/>
              <w:right w:val="single" w:sz="8" w:color="auto"/>
            </w:tcBorders>
            <w:shd w:val="clear" w:color="auto" w:fill="33CCCC"/>
          </w:tcPr>
          <w:p>
            <w:pPr>
              <w:ind w:left="240"/>
              <w:spacing w:after="0"/>
              <w:rPr>
                <w:sz w:val="20"/>
                <w:szCs w:val="20"/>
                <w:color w:val="auto"/>
              </w:rPr>
            </w:pPr>
            <w:r>
              <w:rPr>
                <w:rFonts w:ascii="Arial" w:cs="Arial" w:eastAsia="Arial" w:hAnsi="Arial"/>
                <w:sz w:val="12"/>
                <w:szCs w:val="12"/>
                <w:b w:val="1"/>
                <w:bCs w:val="1"/>
                <w:color w:val="FFFFFF"/>
              </w:rPr>
              <w:t>Sep 25</w:t>
            </w:r>
          </w:p>
        </w:tc>
        <w:tc>
          <w:tcPr>
            <w:tcW w:w="12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8"/>
              </w:rPr>
              <w:t>Sep 25 / Sep 24</w:t>
            </w:r>
          </w:p>
        </w:tc>
      </w:tr>
      <w:tr>
        <w:trPr>
          <w:trHeight w:val="137"/>
        </w:trPr>
        <w:tc>
          <w:tcPr>
            <w:tcW w:w="3420" w:type="dxa"/>
            <w:vAlign w:val="bottom"/>
            <w:tcBorders>
              <w:left w:val="single" w:sz="8" w:color="auto"/>
              <w:right w:val="single" w:sz="8" w:color="auto"/>
            </w:tcBorders>
          </w:tcPr>
          <w:p>
            <w:pPr>
              <w:ind w:left="20"/>
              <w:spacing w:after="0" w:line="137" w:lineRule="exact"/>
              <w:rPr>
                <w:sz w:val="20"/>
                <w:szCs w:val="20"/>
                <w:color w:val="auto"/>
              </w:rPr>
            </w:pPr>
            <w:r>
              <w:rPr>
                <w:rFonts w:ascii="Arial" w:cs="Arial" w:eastAsia="Arial" w:hAnsi="Arial"/>
                <w:sz w:val="13"/>
                <w:szCs w:val="13"/>
                <w:color w:val="auto"/>
              </w:rPr>
              <w:t>Other Core Income</w:t>
            </w:r>
          </w:p>
        </w:tc>
        <w:tc>
          <w:tcPr>
            <w:tcW w:w="820" w:type="dxa"/>
            <w:vAlign w:val="bottom"/>
          </w:tcPr>
          <w:p>
            <w:pPr>
              <w:jc w:val="center"/>
              <w:spacing w:after="0" w:line="137" w:lineRule="exact"/>
              <w:rPr>
                <w:sz w:val="20"/>
                <w:szCs w:val="20"/>
                <w:color w:val="auto"/>
              </w:rPr>
            </w:pPr>
            <w:r>
              <w:rPr>
                <w:rFonts w:ascii="Arial" w:cs="Arial" w:eastAsia="Arial" w:hAnsi="Arial"/>
                <w:sz w:val="13"/>
                <w:szCs w:val="13"/>
                <w:color w:val="auto"/>
              </w:rPr>
              <w:t>1,302,675</w:t>
            </w:r>
          </w:p>
        </w:tc>
        <w:tc>
          <w:tcPr>
            <w:tcW w:w="860" w:type="dxa"/>
            <w:vAlign w:val="bottom"/>
          </w:tcPr>
          <w:p>
            <w:pPr>
              <w:jc w:val="center"/>
              <w:spacing w:after="0" w:line="137" w:lineRule="exact"/>
              <w:rPr>
                <w:sz w:val="20"/>
                <w:szCs w:val="20"/>
                <w:color w:val="auto"/>
              </w:rPr>
            </w:pPr>
            <w:r>
              <w:rPr>
                <w:rFonts w:ascii="Arial" w:cs="Arial" w:eastAsia="Arial" w:hAnsi="Arial"/>
                <w:sz w:val="13"/>
                <w:szCs w:val="13"/>
                <w:color w:val="auto"/>
              </w:rPr>
              <w:t>1,401,569</w:t>
            </w:r>
          </w:p>
        </w:tc>
        <w:tc>
          <w:tcPr>
            <w:tcW w:w="90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rPr>
              <w:t>1,457,604</w:t>
            </w:r>
          </w:p>
        </w:tc>
        <w:tc>
          <w:tcPr>
            <w:tcW w:w="820" w:type="dxa"/>
            <w:vAlign w:val="bottom"/>
          </w:tcPr>
          <w:p>
            <w:pPr>
              <w:jc w:val="center"/>
              <w:spacing w:after="0" w:line="137" w:lineRule="exact"/>
              <w:rPr>
                <w:sz w:val="20"/>
                <w:szCs w:val="20"/>
                <w:color w:val="auto"/>
              </w:rPr>
            </w:pPr>
            <w:r>
              <w:rPr>
                <w:rFonts w:ascii="Arial" w:cs="Arial" w:eastAsia="Arial" w:hAnsi="Arial"/>
                <w:sz w:val="13"/>
                <w:szCs w:val="13"/>
                <w:color w:val="auto"/>
              </w:rPr>
              <w:t>4.0%</w:t>
            </w:r>
          </w:p>
        </w:tc>
        <w:tc>
          <w:tcPr>
            <w:tcW w:w="8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rPr>
              <w:t>11.9%</w:t>
            </w:r>
          </w:p>
        </w:tc>
        <w:tc>
          <w:tcPr>
            <w:tcW w:w="820" w:type="dxa"/>
            <w:vAlign w:val="bottom"/>
          </w:tcPr>
          <w:p>
            <w:pPr>
              <w:jc w:val="center"/>
              <w:spacing w:after="0" w:line="137" w:lineRule="exact"/>
              <w:rPr>
                <w:sz w:val="20"/>
                <w:szCs w:val="20"/>
                <w:color w:val="auto"/>
              </w:rPr>
            </w:pPr>
            <w:r>
              <w:rPr>
                <w:rFonts w:ascii="Arial" w:cs="Arial" w:eastAsia="Arial" w:hAnsi="Arial"/>
                <w:sz w:val="13"/>
                <w:szCs w:val="13"/>
                <w:color w:val="auto"/>
              </w:rPr>
              <w:t>3,761,186</w:t>
            </w:r>
          </w:p>
        </w:tc>
        <w:tc>
          <w:tcPr>
            <w:tcW w:w="8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rPr>
              <w:t>4,197,011</w:t>
            </w:r>
          </w:p>
        </w:tc>
        <w:tc>
          <w:tcPr>
            <w:tcW w:w="120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rPr>
              <w:t>11.6%</w:t>
            </w:r>
          </w:p>
        </w:tc>
      </w:tr>
      <w:tr>
        <w:trPr>
          <w:trHeight w:val="168"/>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Other Non-Core Income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242,670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275,804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196,587</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-28.7%</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-19.0%</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768,047</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824,769</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7.4%</w:t>
            </w:r>
          </w:p>
        </w:tc>
      </w:tr>
      <w:tr>
        <w:trPr>
          <w:trHeight w:val="148"/>
        </w:trPr>
        <w:tc>
          <w:tcPr>
            <w:tcW w:w="342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Total Other Income</w:t>
            </w:r>
          </w:p>
        </w:tc>
        <w:tc>
          <w:tcPr>
            <w:tcW w:w="8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1,545,345</w:t>
            </w:r>
          </w:p>
        </w:tc>
        <w:tc>
          <w:tcPr>
            <w:tcW w:w="8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1,677,373</w:t>
            </w:r>
          </w:p>
        </w:tc>
        <w:tc>
          <w:tcPr>
            <w:tcW w:w="90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1,654,191</w:t>
            </w:r>
          </w:p>
        </w:tc>
        <w:tc>
          <w:tcPr>
            <w:tcW w:w="8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-1.4%</w:t>
            </w:r>
          </w:p>
        </w:tc>
        <w:tc>
          <w:tcPr>
            <w:tcW w:w="8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7.0%</w:t>
            </w:r>
          </w:p>
        </w:tc>
        <w:tc>
          <w:tcPr>
            <w:tcW w:w="8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4,529,233</w:t>
            </w:r>
          </w:p>
        </w:tc>
        <w:tc>
          <w:tcPr>
            <w:tcW w:w="86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5,021,780</w:t>
            </w:r>
          </w:p>
        </w:tc>
        <w:tc>
          <w:tcPr>
            <w:tcW w:w="120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10.9%</w:t>
            </w:r>
          </w:p>
        </w:tc>
      </w:tr>
    </w:tbl>
    <w:p>
      <w:pPr>
        <w:ind w:right="340" w:firstLine="6"/>
        <w:spacing w:after="0" w:line="279" w:lineRule="auto"/>
        <w:tabs>
          <w:tab w:leader="none" w:pos="162" w:val="left"/>
        </w:tabs>
        <w:numPr>
          <w:ilvl w:val="0"/>
          <w:numId w:val="24"/>
        </w:numPr>
        <w:rPr>
          <w:rFonts w:ascii="Arial" w:cs="Arial" w:eastAsia="Arial" w:hAnsi="Arial"/>
          <w:sz w:val="11"/>
          <w:szCs w:val="11"/>
          <w:color w:val="auto"/>
        </w:rPr>
      </w:pPr>
      <w:r>
        <w:rPr>
          <w:rFonts w:ascii="Arial" w:cs="Arial" w:eastAsia="Arial" w:hAnsi="Arial"/>
          <w:sz w:val="11"/>
          <w:szCs w:val="11"/>
          <w:color w:val="auto"/>
        </w:rPr>
        <w:t>Beginning in 1Q25, accounting reclassifications have been incorporated affecting Fee Income, Net Gain on Foreign Exchange Transactions, and Net Gain on Derivatives Held for Trading. Prior periods have been restated for comparability and may differ from previously reported figures.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Other Income dropped 1.4% QoQ but rose 7.0% YoY and 10.9% YTD.</w:t>
      </w:r>
    </w:p>
    <w:p>
      <w:pPr>
        <w:spacing w:after="0" w:line="68"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6.1.</w:t>
      </w:r>
      <w:r>
        <w:rPr>
          <w:sz w:val="20"/>
          <w:szCs w:val="20"/>
          <w:color w:val="auto"/>
        </w:rPr>
        <w:tab/>
      </w:r>
      <w:r>
        <w:rPr>
          <w:rFonts w:ascii="Arial" w:cs="Arial" w:eastAsia="Arial" w:hAnsi="Arial"/>
          <w:sz w:val="15"/>
          <w:szCs w:val="15"/>
          <w:b w:val="1"/>
          <w:bCs w:val="1"/>
          <w:color w:val="auto"/>
        </w:rPr>
        <w:t>Other Core Income</w:t>
      </w:r>
      <w:r>
        <w:rPr>
          <w:rFonts w:ascii="Arial" w:cs="Arial" w:eastAsia="Arial" w:hAnsi="Arial"/>
          <w:sz w:val="25"/>
          <w:szCs w:val="25"/>
          <w:b w:val="1"/>
          <w:bCs w:val="1"/>
          <w:color w:val="auto"/>
          <w:vertAlign w:val="superscript"/>
        </w:rPr>
        <w:t>1</w:t>
      </w:r>
    </w:p>
    <w:tbl>
      <w:tblPr>
        <w:tblLayout w:type="fixed"/>
        <w:tblInd w:w="10" w:type="dxa"/>
        <w:tblCellMar>
          <w:top w:w="0" w:type="dxa"/>
          <w:left w:w="0" w:type="dxa"/>
          <w:bottom w:w="0" w:type="dxa"/>
          <w:right w:w="0" w:type="dxa"/>
        </w:tblCellMar>
      </w:tblPr>
      <w:tr>
        <w:trPr>
          <w:trHeight w:val="148"/>
        </w:trPr>
        <w:tc>
          <w:tcPr>
            <w:tcW w:w="3420" w:type="dxa"/>
            <w:vAlign w:val="bottom"/>
            <w:tcBorders>
              <w:top w:val="single" w:sz="8" w:color="auto"/>
              <w:left w:val="single" w:sz="8" w:color="auto"/>
              <w:right w:val="single" w:sz="8" w:color="auto"/>
            </w:tcBorders>
            <w:shd w:val="clear" w:color="auto" w:fill="33CCCC"/>
          </w:tcPr>
          <w:p>
            <w:pPr>
              <w:ind w:left="20"/>
              <w:spacing w:after="0" w:line="148" w:lineRule="exact"/>
              <w:rPr>
                <w:sz w:val="20"/>
                <w:szCs w:val="20"/>
                <w:color w:val="auto"/>
              </w:rPr>
            </w:pPr>
            <w:r>
              <w:rPr>
                <w:rFonts w:ascii="Arial" w:cs="Arial" w:eastAsia="Arial" w:hAnsi="Arial"/>
                <w:sz w:val="11"/>
                <w:szCs w:val="11"/>
                <w:b w:val="1"/>
                <w:bCs w:val="1"/>
                <w:color w:val="FFFFFF"/>
              </w:rPr>
              <w:t xml:space="preserve">Other Core Income </w:t>
            </w:r>
            <w:r>
              <w:rPr>
                <w:rFonts w:ascii="Arial" w:cs="Arial" w:eastAsia="Arial" w:hAnsi="Arial"/>
                <w:sz w:val="17"/>
                <w:szCs w:val="17"/>
                <w:b w:val="1"/>
                <w:bCs w:val="1"/>
                <w:color w:val="FFFFFF"/>
                <w:vertAlign w:val="superscript"/>
              </w:rPr>
              <w:t>(1)</w:t>
            </w:r>
          </w:p>
        </w:tc>
        <w:tc>
          <w:tcPr>
            <w:tcW w:w="820" w:type="dxa"/>
            <w:vAlign w:val="bottom"/>
            <w:tcBorders>
              <w:top w:val="single" w:sz="8" w:color="auto"/>
            </w:tcBorders>
            <w:shd w:val="clear" w:color="auto" w:fill="33CCCC"/>
          </w:tcPr>
          <w:p>
            <w:pPr>
              <w:spacing w:after="0"/>
              <w:rPr>
                <w:sz w:val="12"/>
                <w:szCs w:val="12"/>
                <w:color w:val="auto"/>
              </w:rPr>
            </w:pPr>
          </w:p>
        </w:tc>
        <w:tc>
          <w:tcPr>
            <w:tcW w:w="860" w:type="dxa"/>
            <w:vAlign w:val="bottom"/>
            <w:tcBorders>
              <w:top w:val="single" w:sz="8" w:color="auto"/>
            </w:tcBorders>
            <w:shd w:val="clear" w:color="auto" w:fill="33CCCC"/>
          </w:tcPr>
          <w:p>
            <w:pPr>
              <w:ind w:left="240"/>
              <w:spacing w:after="0"/>
              <w:rPr>
                <w:sz w:val="20"/>
                <w:szCs w:val="20"/>
                <w:color w:val="auto"/>
              </w:rPr>
            </w:pPr>
            <w:r>
              <w:rPr>
                <w:rFonts w:ascii="Arial" w:cs="Arial" w:eastAsia="Arial" w:hAnsi="Arial"/>
                <w:sz w:val="12"/>
                <w:szCs w:val="12"/>
                <w:b w:val="1"/>
                <w:bCs w:val="1"/>
                <w:color w:val="FFFFFF"/>
              </w:rPr>
              <w:t>Quarter</w:t>
            </w:r>
          </w:p>
        </w:tc>
        <w:tc>
          <w:tcPr>
            <w:tcW w:w="900" w:type="dxa"/>
            <w:vAlign w:val="bottom"/>
            <w:tcBorders>
              <w:top w:val="single" w:sz="8" w:color="auto"/>
              <w:right w:val="single" w:sz="8" w:color="auto"/>
            </w:tcBorders>
            <w:shd w:val="clear" w:color="auto" w:fill="33CCCC"/>
          </w:tcPr>
          <w:p>
            <w:pPr>
              <w:spacing w:after="0"/>
              <w:rPr>
                <w:sz w:val="12"/>
                <w:szCs w:val="12"/>
                <w:color w:val="auto"/>
              </w:rPr>
            </w:pPr>
          </w:p>
        </w:tc>
        <w:tc>
          <w:tcPr>
            <w:tcW w:w="1700" w:type="dxa"/>
            <w:vAlign w:val="bottom"/>
            <w:tcBorders>
              <w:top w:val="single" w:sz="8" w:color="auto"/>
              <w:right w:val="single" w:sz="8" w:color="auto"/>
            </w:tcBorders>
            <w:gridSpan w:val="2"/>
            <w:shd w:val="clear" w:color="auto" w:fill="33CCCC"/>
          </w:tcPr>
          <w:p>
            <w:pPr>
              <w:ind w:left="540"/>
              <w:spacing w:after="0"/>
              <w:rPr>
                <w:sz w:val="20"/>
                <w:szCs w:val="20"/>
                <w:color w:val="auto"/>
              </w:rPr>
            </w:pPr>
            <w:r>
              <w:rPr>
                <w:rFonts w:ascii="Arial" w:cs="Arial" w:eastAsia="Arial" w:hAnsi="Arial"/>
                <w:sz w:val="12"/>
                <w:szCs w:val="12"/>
                <w:b w:val="1"/>
                <w:bCs w:val="1"/>
                <w:color w:val="FFFFFF"/>
              </w:rPr>
              <w:t>% Change</w:t>
            </w:r>
          </w:p>
        </w:tc>
        <w:tc>
          <w:tcPr>
            <w:tcW w:w="1680" w:type="dxa"/>
            <w:vAlign w:val="bottom"/>
            <w:tcBorders>
              <w:top w:val="single" w:sz="8" w:color="auto"/>
              <w:right w:val="single" w:sz="8" w:color="auto"/>
            </w:tcBorders>
            <w:gridSpan w:val="2"/>
            <w:shd w:val="clear" w:color="auto" w:fill="33CCCC"/>
          </w:tcPr>
          <w:p>
            <w:pPr>
              <w:ind w:left="680"/>
              <w:spacing w:after="0"/>
              <w:rPr>
                <w:sz w:val="20"/>
                <w:szCs w:val="20"/>
                <w:color w:val="auto"/>
              </w:rPr>
            </w:pPr>
            <w:r>
              <w:rPr>
                <w:rFonts w:ascii="Arial" w:cs="Arial" w:eastAsia="Arial" w:hAnsi="Arial"/>
                <w:sz w:val="12"/>
                <w:szCs w:val="12"/>
                <w:b w:val="1"/>
                <w:bCs w:val="1"/>
                <w:color w:val="FFFFFF"/>
              </w:rPr>
              <w:t>Up to</w:t>
            </w:r>
          </w:p>
        </w:tc>
        <w:tc>
          <w:tcPr>
            <w:tcW w:w="120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56"/>
        </w:trPr>
        <w:tc>
          <w:tcPr>
            <w:tcW w:w="342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(S/ 000)</w:t>
            </w:r>
          </w:p>
        </w:tc>
        <w:tc>
          <w:tcPr>
            <w:tcW w:w="8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3Q24</w:t>
            </w:r>
          </w:p>
        </w:tc>
        <w:tc>
          <w:tcPr>
            <w:tcW w:w="8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5"/>
              </w:rPr>
              <w:t>2Q25</w:t>
            </w:r>
          </w:p>
        </w:tc>
        <w:tc>
          <w:tcPr>
            <w:tcW w:w="9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5"/>
              </w:rPr>
              <w:t>3Q25</w:t>
            </w:r>
          </w:p>
        </w:tc>
        <w:tc>
          <w:tcPr>
            <w:tcW w:w="80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12"/>
                <w:szCs w:val="12"/>
                <w:b w:val="1"/>
                <w:bCs w:val="1"/>
                <w:color w:val="FFFFFF"/>
              </w:rPr>
              <w:t>QoQ</w:t>
            </w:r>
          </w:p>
        </w:tc>
        <w:tc>
          <w:tcPr>
            <w:tcW w:w="900" w:type="dxa"/>
            <w:vAlign w:val="bottom"/>
            <w:tcBorders>
              <w:bottom w:val="single" w:sz="8" w:color="auto"/>
              <w:right w:val="single" w:sz="8" w:color="auto"/>
            </w:tcBorders>
            <w:shd w:val="clear" w:color="auto" w:fill="33CCCC"/>
          </w:tcPr>
          <w:p>
            <w:pPr>
              <w:ind w:left="340"/>
              <w:spacing w:after="0"/>
              <w:rPr>
                <w:sz w:val="20"/>
                <w:szCs w:val="20"/>
                <w:color w:val="auto"/>
              </w:rPr>
            </w:pPr>
            <w:r>
              <w:rPr>
                <w:rFonts w:ascii="Arial" w:cs="Arial" w:eastAsia="Arial" w:hAnsi="Arial"/>
                <w:sz w:val="12"/>
                <w:szCs w:val="12"/>
                <w:b w:val="1"/>
                <w:bCs w:val="1"/>
                <w:color w:val="FFFFFF"/>
              </w:rPr>
              <w:t>YoY</w:t>
            </w:r>
          </w:p>
        </w:tc>
        <w:tc>
          <w:tcPr>
            <w:tcW w:w="820" w:type="dxa"/>
            <w:vAlign w:val="bottom"/>
            <w:tcBorders>
              <w:bottom w:val="single" w:sz="8" w:color="auto"/>
            </w:tcBorders>
            <w:shd w:val="clear" w:color="auto" w:fill="33CCCC"/>
          </w:tcPr>
          <w:p>
            <w:pPr>
              <w:ind w:left="220"/>
              <w:spacing w:after="0"/>
              <w:rPr>
                <w:sz w:val="20"/>
                <w:szCs w:val="20"/>
                <w:color w:val="auto"/>
              </w:rPr>
            </w:pPr>
            <w:r>
              <w:rPr>
                <w:rFonts w:ascii="Arial" w:cs="Arial" w:eastAsia="Arial" w:hAnsi="Arial"/>
                <w:sz w:val="12"/>
                <w:szCs w:val="12"/>
                <w:b w:val="1"/>
                <w:bCs w:val="1"/>
                <w:color w:val="FFFFFF"/>
              </w:rPr>
              <w:t>Sep 24</w:t>
            </w:r>
          </w:p>
        </w:tc>
        <w:tc>
          <w:tcPr>
            <w:tcW w:w="8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8"/>
              </w:rPr>
              <w:t>Sep 25</w:t>
            </w:r>
          </w:p>
        </w:tc>
        <w:tc>
          <w:tcPr>
            <w:tcW w:w="12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8"/>
              </w:rPr>
              <w:t>Sep 25 / Sep 24</w:t>
            </w:r>
          </w:p>
        </w:tc>
      </w:tr>
      <w:tr>
        <w:trPr>
          <w:trHeight w:val="137"/>
        </w:trPr>
        <w:tc>
          <w:tcPr>
            <w:tcW w:w="3420" w:type="dxa"/>
            <w:vAlign w:val="bottom"/>
            <w:tcBorders>
              <w:left w:val="single" w:sz="8" w:color="auto"/>
              <w:right w:val="single" w:sz="8" w:color="auto"/>
            </w:tcBorders>
          </w:tcPr>
          <w:p>
            <w:pPr>
              <w:ind w:left="20"/>
              <w:spacing w:after="0" w:line="137" w:lineRule="exact"/>
              <w:rPr>
                <w:sz w:val="20"/>
                <w:szCs w:val="20"/>
                <w:color w:val="auto"/>
              </w:rPr>
            </w:pPr>
            <w:r>
              <w:rPr>
                <w:rFonts w:ascii="Arial" w:cs="Arial" w:eastAsia="Arial" w:hAnsi="Arial"/>
                <w:sz w:val="13"/>
                <w:szCs w:val="13"/>
                <w:color w:val="auto"/>
              </w:rPr>
              <w:t>Fee Income</w:t>
            </w:r>
          </w:p>
        </w:tc>
        <w:tc>
          <w:tcPr>
            <w:tcW w:w="820" w:type="dxa"/>
            <w:vAlign w:val="bottom"/>
          </w:tcPr>
          <w:p>
            <w:pPr>
              <w:jc w:val="center"/>
              <w:spacing w:after="0" w:line="137" w:lineRule="exact"/>
              <w:rPr>
                <w:sz w:val="20"/>
                <w:szCs w:val="20"/>
                <w:color w:val="auto"/>
              </w:rPr>
            </w:pPr>
            <w:r>
              <w:rPr>
                <w:rFonts w:ascii="Arial" w:cs="Arial" w:eastAsia="Arial" w:hAnsi="Arial"/>
                <w:sz w:val="13"/>
                <w:szCs w:val="13"/>
                <w:color w:val="auto"/>
              </w:rPr>
              <w:t>982,818</w:t>
            </w:r>
          </w:p>
        </w:tc>
        <w:tc>
          <w:tcPr>
            <w:tcW w:w="860" w:type="dxa"/>
            <w:vAlign w:val="bottom"/>
          </w:tcPr>
          <w:p>
            <w:pPr>
              <w:jc w:val="center"/>
              <w:spacing w:after="0" w:line="137" w:lineRule="exact"/>
              <w:rPr>
                <w:sz w:val="20"/>
                <w:szCs w:val="20"/>
                <w:color w:val="auto"/>
              </w:rPr>
            </w:pPr>
            <w:r>
              <w:rPr>
                <w:rFonts w:ascii="Arial" w:cs="Arial" w:eastAsia="Arial" w:hAnsi="Arial"/>
                <w:sz w:val="13"/>
                <w:szCs w:val="13"/>
                <w:color w:val="auto"/>
              </w:rPr>
              <w:t>1,024,553</w:t>
            </w:r>
          </w:p>
        </w:tc>
        <w:tc>
          <w:tcPr>
            <w:tcW w:w="90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rPr>
              <w:t>1,063,032</w:t>
            </w:r>
          </w:p>
        </w:tc>
        <w:tc>
          <w:tcPr>
            <w:tcW w:w="800" w:type="dxa"/>
            <w:vAlign w:val="bottom"/>
          </w:tcPr>
          <w:p>
            <w:pPr>
              <w:ind w:left="260"/>
              <w:spacing w:after="0" w:line="137" w:lineRule="exact"/>
              <w:rPr>
                <w:sz w:val="20"/>
                <w:szCs w:val="20"/>
                <w:color w:val="auto"/>
              </w:rPr>
            </w:pPr>
            <w:r>
              <w:rPr>
                <w:rFonts w:ascii="Arial" w:cs="Arial" w:eastAsia="Arial" w:hAnsi="Arial"/>
                <w:sz w:val="13"/>
                <w:szCs w:val="13"/>
                <w:color w:val="auto"/>
              </w:rPr>
              <w:t>3.8%</w:t>
            </w:r>
          </w:p>
        </w:tc>
        <w:tc>
          <w:tcPr>
            <w:tcW w:w="90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rPr>
              <w:t>8.2%</w:t>
            </w:r>
          </w:p>
        </w:tc>
        <w:tc>
          <w:tcPr>
            <w:tcW w:w="820" w:type="dxa"/>
            <w:vAlign w:val="bottom"/>
          </w:tcPr>
          <w:p>
            <w:pPr>
              <w:jc w:val="center"/>
              <w:spacing w:after="0" w:line="137" w:lineRule="exact"/>
              <w:rPr>
                <w:sz w:val="20"/>
                <w:szCs w:val="20"/>
                <w:color w:val="auto"/>
              </w:rPr>
            </w:pPr>
            <w:r>
              <w:rPr>
                <w:rFonts w:ascii="Arial" w:cs="Arial" w:eastAsia="Arial" w:hAnsi="Arial"/>
                <w:sz w:val="13"/>
                <w:szCs w:val="13"/>
                <w:color w:val="auto"/>
              </w:rPr>
              <w:t>2,786,611</w:t>
            </w:r>
          </w:p>
        </w:tc>
        <w:tc>
          <w:tcPr>
            <w:tcW w:w="8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rPr>
              <w:t>3,081,609</w:t>
            </w:r>
          </w:p>
        </w:tc>
        <w:tc>
          <w:tcPr>
            <w:tcW w:w="120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rPr>
              <w:t>10.6%</w:t>
            </w:r>
          </w:p>
        </w:tc>
      </w:tr>
      <w:tr>
        <w:trPr>
          <w:trHeight w:val="168"/>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Net Gain on Foreign Exchange Transactions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319,856</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377,016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394,572</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4.7%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23.4%</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974,575</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1,115,402</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14.5%</w:t>
            </w:r>
          </w:p>
        </w:tc>
      </w:tr>
      <w:tr>
        <w:trPr>
          <w:trHeight w:val="148"/>
        </w:trPr>
        <w:tc>
          <w:tcPr>
            <w:tcW w:w="342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Total Other Core Income</w:t>
            </w:r>
          </w:p>
        </w:tc>
        <w:tc>
          <w:tcPr>
            <w:tcW w:w="8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1,302,674</w:t>
            </w:r>
          </w:p>
        </w:tc>
        <w:tc>
          <w:tcPr>
            <w:tcW w:w="8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1,401,569</w:t>
            </w:r>
          </w:p>
        </w:tc>
        <w:tc>
          <w:tcPr>
            <w:tcW w:w="90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1,457,604</w:t>
            </w:r>
          </w:p>
        </w:tc>
        <w:tc>
          <w:tcPr>
            <w:tcW w:w="800" w:type="dxa"/>
            <w:vAlign w:val="bottom"/>
            <w:tcBorders>
              <w:bottom w:val="single" w:sz="8" w:color="auto"/>
            </w:tcBorders>
          </w:tcPr>
          <w:p>
            <w:pPr>
              <w:ind w:left="260"/>
              <w:spacing w:after="0" w:line="148" w:lineRule="exact"/>
              <w:rPr>
                <w:sz w:val="20"/>
                <w:szCs w:val="20"/>
                <w:color w:val="auto"/>
              </w:rPr>
            </w:pPr>
            <w:r>
              <w:rPr>
                <w:rFonts w:ascii="Arial" w:cs="Arial" w:eastAsia="Arial" w:hAnsi="Arial"/>
                <w:sz w:val="13"/>
                <w:szCs w:val="13"/>
                <w:b w:val="1"/>
                <w:bCs w:val="1"/>
                <w:color w:val="auto"/>
              </w:rPr>
              <w:t>4.0%</w:t>
            </w:r>
          </w:p>
        </w:tc>
        <w:tc>
          <w:tcPr>
            <w:tcW w:w="90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11.9%</w:t>
            </w:r>
          </w:p>
        </w:tc>
        <w:tc>
          <w:tcPr>
            <w:tcW w:w="8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3,761,186</w:t>
            </w:r>
          </w:p>
        </w:tc>
        <w:tc>
          <w:tcPr>
            <w:tcW w:w="86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4,197,011</w:t>
            </w:r>
          </w:p>
        </w:tc>
        <w:tc>
          <w:tcPr>
            <w:tcW w:w="120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11.6%</w:t>
            </w:r>
          </w:p>
        </w:tc>
      </w:tr>
    </w:tbl>
    <w:p>
      <w:pPr>
        <w:ind w:right="340" w:firstLine="6"/>
        <w:spacing w:after="0" w:line="279" w:lineRule="auto"/>
        <w:tabs>
          <w:tab w:leader="none" w:pos="162" w:val="left"/>
        </w:tabs>
        <w:numPr>
          <w:ilvl w:val="0"/>
          <w:numId w:val="25"/>
        </w:numPr>
        <w:rPr>
          <w:rFonts w:ascii="Arial" w:cs="Arial" w:eastAsia="Arial" w:hAnsi="Arial"/>
          <w:sz w:val="11"/>
          <w:szCs w:val="11"/>
          <w:color w:val="auto"/>
        </w:rPr>
      </w:pPr>
      <w:r>
        <w:rPr>
          <w:rFonts w:ascii="Arial" w:cs="Arial" w:eastAsia="Arial" w:hAnsi="Arial"/>
          <w:sz w:val="11"/>
          <w:szCs w:val="11"/>
          <w:color w:val="auto"/>
        </w:rPr>
        <w:t>Beginning in 1Q25, accounting reclassifications have been incorporated affecting Fee Income, Net Gain on Foreign Exchange Transactions, and Net Gain on Derivatives Held for Trading. Prior periods have been restated for comparability and may differ from previously reported figures.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Income diversification, coupled with heightened digital capacities, continued to drive growth in Other Core Income.</w:t>
      </w:r>
    </w:p>
    <w:p>
      <w:pPr>
        <w:spacing w:after="0" w:line="162" w:lineRule="exact"/>
        <w:rPr>
          <w:sz w:val="20"/>
          <w:szCs w:val="20"/>
          <w:color w:val="auto"/>
        </w:rPr>
      </w:pPr>
    </w:p>
    <w:p>
      <w:pPr>
        <w:jc w:val="both"/>
        <w:ind w:left="720" w:hanging="282"/>
        <w:spacing w:after="0" w:line="244"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QoQ</w:t>
      </w:r>
      <w:r>
        <w:rPr>
          <w:rFonts w:ascii="Arial" w:cs="Arial" w:eastAsia="Arial" w:hAnsi="Arial"/>
          <w:sz w:val="16"/>
          <w:szCs w:val="16"/>
          <w:color w:val="auto"/>
        </w:rPr>
        <w:t>,Other Core Income hit an all-time high, buoyed mainly by growth in Fee Income (+3.8%), which will be discussed in the following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Net Gain on FX Transactions rose 4.7% after registering record-high gains once again at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and a recovery at </w:t>
      </w:r>
      <w:r>
        <w:rPr>
          <w:rFonts w:ascii="Arial" w:cs="Arial" w:eastAsia="Arial" w:hAnsi="Arial"/>
          <w:sz w:val="16"/>
          <w:szCs w:val="16"/>
          <w:b w:val="1"/>
          <w:bCs w:val="1"/>
          <w:color w:val="auto"/>
        </w:rPr>
        <w:t>BCP</w:t>
      </w:r>
      <w:r>
        <w:rPr>
          <w:rFonts w:ascii="Arial" w:cs="Arial" w:eastAsia="Arial" w:hAnsi="Arial"/>
          <w:sz w:val="16"/>
          <w:szCs w:val="16"/>
          <w:color w:val="auto"/>
        </w:rPr>
        <w:t xml:space="preserve"> </w:t>
      </w:r>
      <w:r>
        <w:rPr>
          <w:rFonts w:ascii="Arial" w:cs="Arial" w:eastAsia="Arial" w:hAnsi="Arial"/>
          <w:sz w:val="16"/>
          <w:szCs w:val="16"/>
          <w:b w:val="1"/>
          <w:bCs w:val="1"/>
          <w:color w:val="auto"/>
        </w:rPr>
        <w:t>Bolivia</w:t>
      </w:r>
      <w:r>
        <w:rPr>
          <w:rFonts w:ascii="Arial" w:cs="Arial" w:eastAsia="Arial" w:hAnsi="Arial"/>
          <w:sz w:val="16"/>
          <w:szCs w:val="16"/>
          <w:color w:val="auto"/>
        </w:rPr>
        <w:t>. The positive performance of</w:t>
      </w:r>
      <w:r>
        <w:rPr>
          <w:rFonts w:ascii="Arial" w:cs="Arial" w:eastAsia="Arial" w:hAnsi="Arial"/>
          <w:sz w:val="16"/>
          <w:szCs w:val="16"/>
          <w:b w:val="1"/>
          <w:bCs w:val="1"/>
          <w:color w:val="auto"/>
        </w:rPr>
        <w:t xml:space="preserve"> BCP Bolivia </w:t>
      </w:r>
      <w:r>
        <w:rPr>
          <w:rFonts w:ascii="Arial" w:cs="Arial" w:eastAsia="Arial" w:hAnsi="Arial"/>
          <w:sz w:val="16"/>
          <w:szCs w:val="16"/>
          <w:color w:val="auto"/>
        </w:rPr>
        <w:t>was driven by the increased dynamism of the Treasury Desk, which achieved higher</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volumes thanks to sales of new products in the foreign exchange business.</w:t>
      </w:r>
    </w:p>
    <w:p>
      <w:pPr>
        <w:spacing w:after="0" w:line="140" w:lineRule="exact"/>
        <w:rPr>
          <w:rFonts w:ascii="Arial" w:cs="Arial" w:eastAsia="Arial" w:hAnsi="Arial"/>
          <w:sz w:val="16"/>
          <w:szCs w:val="16"/>
          <w:color w:val="auto"/>
        </w:rPr>
      </w:pPr>
    </w:p>
    <w:p>
      <w:pPr>
        <w:jc w:val="both"/>
        <w:ind w:left="720" w:hanging="282"/>
        <w:spacing w:after="0" w:line="250"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YoY, </w:t>
      </w:r>
      <w:r>
        <w:rPr>
          <w:rFonts w:ascii="Arial" w:cs="Arial" w:eastAsia="Arial" w:hAnsi="Arial"/>
          <w:sz w:val="16"/>
          <w:szCs w:val="16"/>
          <w:color w:val="auto"/>
        </w:rPr>
        <w:t>growth was driven by an increase in</w:t>
      </w:r>
      <w:r>
        <w:rPr>
          <w:rFonts w:ascii="Arial" w:cs="Arial" w:eastAsia="Arial" w:hAnsi="Arial"/>
          <w:sz w:val="16"/>
          <w:szCs w:val="16"/>
          <w:b w:val="1"/>
          <w:bCs w:val="1"/>
          <w:color w:val="auto"/>
        </w:rPr>
        <w:t xml:space="preserve"> Fee Income </w:t>
      </w:r>
      <w:r>
        <w:rPr>
          <w:rFonts w:ascii="Arial" w:cs="Arial" w:eastAsia="Arial" w:hAnsi="Arial"/>
          <w:sz w:val="16"/>
          <w:szCs w:val="16"/>
          <w:color w:val="auto"/>
        </w:rPr>
        <w:t>(+8.2%), with the underlying drivers to be detailed in the next section. Additionally,</w:t>
      </w:r>
      <w:r>
        <w:rPr>
          <w:rFonts w:ascii="Arial" w:cs="Arial" w:eastAsia="Arial" w:hAnsi="Arial"/>
          <w:sz w:val="16"/>
          <w:szCs w:val="16"/>
          <w:b w:val="1"/>
          <w:bCs w:val="1"/>
          <w:color w:val="auto"/>
        </w:rPr>
        <w:t xml:space="preserve"> Net Gain on FX Transactions </w:t>
      </w:r>
      <w:r>
        <w:rPr>
          <w:rFonts w:ascii="Arial" w:cs="Arial" w:eastAsia="Arial" w:hAnsi="Arial"/>
          <w:sz w:val="16"/>
          <w:szCs w:val="16"/>
          <w:color w:val="auto"/>
        </w:rPr>
        <w:t>rose by 23.4%, primarily led by</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and, to a lesser extent, by</w:t>
      </w:r>
      <w:r>
        <w:rPr>
          <w:rFonts w:ascii="Arial" w:cs="Arial" w:eastAsia="Arial" w:hAnsi="Arial"/>
          <w:sz w:val="16"/>
          <w:szCs w:val="16"/>
          <w:b w:val="1"/>
          <w:bCs w:val="1"/>
          <w:color w:val="auto"/>
        </w:rPr>
        <w:t xml:space="preserve"> BCP Bolivia</w:t>
      </w:r>
      <w:r>
        <w:rPr>
          <w:rFonts w:ascii="Arial" w:cs="Arial" w:eastAsia="Arial" w:hAnsi="Arial"/>
          <w:sz w:val="16"/>
          <w:szCs w:val="16"/>
          <w:color w:val="auto"/>
        </w:rPr>
        <w:t>, both supported by</w:t>
      </w:r>
      <w:r>
        <w:rPr>
          <w:rFonts w:ascii="Arial" w:cs="Arial" w:eastAsia="Arial" w:hAnsi="Arial"/>
          <w:sz w:val="16"/>
          <w:szCs w:val="16"/>
          <w:b w:val="1"/>
          <w:bCs w:val="1"/>
          <w:color w:val="auto"/>
        </w:rPr>
        <w:t xml:space="preserve"> </w:t>
      </w:r>
      <w:r>
        <w:rPr>
          <w:rFonts w:ascii="Arial" w:cs="Arial" w:eastAsia="Arial" w:hAnsi="Arial"/>
          <w:sz w:val="16"/>
          <w:szCs w:val="16"/>
          <w:color w:val="auto"/>
        </w:rPr>
        <w:t>higher transaction volumes.</w:t>
      </w:r>
    </w:p>
    <w:p>
      <w:pPr>
        <w:spacing w:after="0" w:line="133" w:lineRule="exact"/>
        <w:rPr>
          <w:rFonts w:ascii="Arial" w:cs="Arial" w:eastAsia="Arial" w:hAnsi="Arial"/>
          <w:sz w:val="16"/>
          <w:szCs w:val="16"/>
          <w:color w:val="auto"/>
        </w:rPr>
      </w:pPr>
    </w:p>
    <w:p>
      <w:pPr>
        <w:jc w:val="both"/>
        <w:ind w:left="720" w:hanging="282"/>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YTD, </w:t>
      </w:r>
      <w:r>
        <w:rPr>
          <w:rFonts w:ascii="Arial" w:cs="Arial" w:eastAsia="Arial" w:hAnsi="Arial"/>
          <w:sz w:val="16"/>
          <w:szCs w:val="16"/>
          <w:color w:val="auto"/>
        </w:rPr>
        <w:t>growth was driven mainly by an upswing in</w:t>
      </w:r>
      <w:r>
        <w:rPr>
          <w:rFonts w:ascii="Arial" w:cs="Arial" w:eastAsia="Arial" w:hAnsi="Arial"/>
          <w:sz w:val="16"/>
          <w:szCs w:val="16"/>
          <w:b w:val="1"/>
          <w:bCs w:val="1"/>
          <w:color w:val="auto"/>
        </w:rPr>
        <w:t xml:space="preserve"> Fee Income </w:t>
      </w:r>
      <w:r>
        <w:rPr>
          <w:rFonts w:ascii="Arial" w:cs="Arial" w:eastAsia="Arial" w:hAnsi="Arial"/>
          <w:sz w:val="16"/>
          <w:szCs w:val="16"/>
          <w:color w:val="auto"/>
        </w:rPr>
        <w:t>(+10.6%); details on the dynamics will be discussed in the next section. The</w:t>
      </w:r>
      <w:r>
        <w:rPr>
          <w:rFonts w:ascii="Arial" w:cs="Arial" w:eastAsia="Arial" w:hAnsi="Arial"/>
          <w:sz w:val="16"/>
          <w:szCs w:val="16"/>
          <w:b w:val="1"/>
          <w:bCs w:val="1"/>
          <w:color w:val="auto"/>
        </w:rPr>
        <w:t xml:space="preserve"> Net Gain on FX transactions </w:t>
      </w:r>
      <w:r>
        <w:rPr>
          <w:rFonts w:ascii="Arial" w:cs="Arial" w:eastAsia="Arial" w:hAnsi="Arial"/>
          <w:sz w:val="16"/>
          <w:szCs w:val="16"/>
          <w:color w:val="auto"/>
        </w:rPr>
        <w:t>rose 14.5%, buoyed by on-going growth in transaction volumes. This performance reflects two complementary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strategies: (i) strengthening digital channels to capture transactional opportunities, which position us to capture transactional opportunities through mobile banking at </w:t>
      </w:r>
      <w:r>
        <w:rPr>
          <w:rFonts w:ascii="Arial" w:cs="Arial" w:eastAsia="Arial" w:hAnsi="Arial"/>
          <w:sz w:val="16"/>
          <w:szCs w:val="16"/>
          <w:b w:val="1"/>
          <w:bCs w:val="1"/>
          <w:color w:val="auto"/>
        </w:rPr>
        <w:t>BCP Stand-alone</w:t>
      </w:r>
      <w:r>
        <w:rPr>
          <w:rFonts w:ascii="Arial" w:cs="Arial" w:eastAsia="Arial" w:hAnsi="Arial"/>
          <w:sz w:val="16"/>
          <w:szCs w:val="16"/>
          <w:color w:val="auto"/>
        </w:rPr>
        <w:t>, and (ii) disciplined pricing and spread management to boost volumes, where commercial management initiatives were more active in and focused on the Retail Banking segment. Together, these initiatives position us to deliver sustainable FX revenue growth and reinforce our competitive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770890</wp:posOffset>
            </wp:positionV>
            <wp:extent cx="670750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100330</wp:posOffset>
            </wp:positionV>
            <wp:extent cx="5968365" cy="449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8365" cy="449580"/>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sectPr>
      </w:pPr>
    </w:p>
    <w:bookmarkStart w:id="34" w:name="page35"/>
    <w:bookmarkEnd w:id="34"/>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06. Other Income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 Income by Subsidiary</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24"/>
        </w:trPr>
        <w:tc>
          <w:tcPr>
            <w:tcW w:w="3080" w:type="dxa"/>
            <w:vAlign w:val="bottom"/>
            <w:tcBorders>
              <w:top w:val="single" w:sz="8" w:color="auto"/>
              <w:left w:val="single" w:sz="8" w:color="auto"/>
              <w:right w:val="single" w:sz="8" w:color="auto"/>
            </w:tcBorders>
            <w:shd w:val="clear" w:color="auto" w:fill="33CCCC"/>
          </w:tcPr>
          <w:p>
            <w:pPr>
              <w:ind w:left="20"/>
              <w:spacing w:after="0" w:line="124" w:lineRule="exact"/>
              <w:rPr>
                <w:sz w:val="20"/>
                <w:szCs w:val="20"/>
                <w:color w:val="auto"/>
              </w:rPr>
            </w:pPr>
            <w:r>
              <w:rPr>
                <w:rFonts w:ascii="Arial" w:cs="Arial" w:eastAsia="Arial" w:hAnsi="Arial"/>
                <w:sz w:val="11"/>
                <w:szCs w:val="11"/>
                <w:b w:val="1"/>
                <w:bCs w:val="1"/>
                <w:color w:val="FFFFFF"/>
              </w:rPr>
              <w:t>Fee Income by Subsidiary</w:t>
            </w:r>
          </w:p>
        </w:tc>
        <w:tc>
          <w:tcPr>
            <w:tcW w:w="840" w:type="dxa"/>
            <w:vAlign w:val="bottom"/>
            <w:tcBorders>
              <w:top w:val="single" w:sz="8" w:color="auto"/>
            </w:tcBorders>
            <w:shd w:val="clear" w:color="auto" w:fill="33CCCC"/>
          </w:tcPr>
          <w:p>
            <w:pPr>
              <w:spacing w:after="0"/>
              <w:rPr>
                <w:sz w:val="10"/>
                <w:szCs w:val="10"/>
                <w:color w:val="auto"/>
              </w:rPr>
            </w:pPr>
          </w:p>
        </w:tc>
        <w:tc>
          <w:tcPr>
            <w:tcW w:w="880" w:type="dxa"/>
            <w:vAlign w:val="bottom"/>
            <w:tcBorders>
              <w:top w:val="single" w:sz="8" w:color="auto"/>
            </w:tcBorders>
            <w:shd w:val="clear" w:color="auto" w:fill="33CCCC"/>
          </w:tcPr>
          <w:p>
            <w:pPr>
              <w:ind w:left="280"/>
              <w:spacing w:after="0" w:line="124" w:lineRule="exact"/>
              <w:rPr>
                <w:sz w:val="20"/>
                <w:szCs w:val="20"/>
                <w:color w:val="auto"/>
              </w:rPr>
            </w:pPr>
            <w:r>
              <w:rPr>
                <w:rFonts w:ascii="Arial" w:cs="Arial" w:eastAsia="Arial" w:hAnsi="Arial"/>
                <w:sz w:val="11"/>
                <w:szCs w:val="11"/>
                <w:b w:val="1"/>
                <w:bCs w:val="1"/>
                <w:color w:val="FFFFFF"/>
              </w:rPr>
              <w:t>Quarter</w:t>
            </w:r>
          </w:p>
        </w:tc>
        <w:tc>
          <w:tcPr>
            <w:tcW w:w="920" w:type="dxa"/>
            <w:vAlign w:val="bottom"/>
            <w:tcBorders>
              <w:top w:val="single" w:sz="8" w:color="auto"/>
              <w:right w:val="single" w:sz="8" w:color="auto"/>
            </w:tcBorders>
            <w:shd w:val="clear" w:color="auto" w:fill="33CCCC"/>
          </w:tcPr>
          <w:p>
            <w:pPr>
              <w:spacing w:after="0"/>
              <w:rPr>
                <w:sz w:val="10"/>
                <w:szCs w:val="10"/>
                <w:color w:val="auto"/>
              </w:rPr>
            </w:pPr>
          </w:p>
        </w:tc>
        <w:tc>
          <w:tcPr>
            <w:tcW w:w="1720" w:type="dxa"/>
            <w:vAlign w:val="bottom"/>
            <w:tcBorders>
              <w:top w:val="single" w:sz="8" w:color="auto"/>
              <w:right w:val="single" w:sz="8" w:color="auto"/>
            </w:tcBorders>
            <w:gridSpan w:val="2"/>
            <w:shd w:val="clear" w:color="auto" w:fill="33CCCC"/>
          </w:tcPr>
          <w:p>
            <w:pPr>
              <w:ind w:left="580"/>
              <w:spacing w:after="0" w:line="124" w:lineRule="exact"/>
              <w:rPr>
                <w:sz w:val="20"/>
                <w:szCs w:val="20"/>
                <w:color w:val="auto"/>
              </w:rPr>
            </w:pPr>
            <w:r>
              <w:rPr>
                <w:rFonts w:ascii="Arial" w:cs="Arial" w:eastAsia="Arial" w:hAnsi="Arial"/>
                <w:sz w:val="11"/>
                <w:szCs w:val="11"/>
                <w:b w:val="1"/>
                <w:bCs w:val="1"/>
                <w:color w:val="FFFFFF"/>
              </w:rPr>
              <w:t>% Change</w:t>
            </w:r>
          </w:p>
        </w:tc>
        <w:tc>
          <w:tcPr>
            <w:tcW w:w="740" w:type="dxa"/>
            <w:vAlign w:val="bottom"/>
            <w:tcBorders>
              <w:top w:val="single" w:sz="8" w:color="auto"/>
            </w:tcBorders>
            <w:shd w:val="clear" w:color="auto" w:fill="33CCCC"/>
          </w:tcPr>
          <w:p>
            <w:pPr>
              <w:spacing w:after="0"/>
              <w:rPr>
                <w:sz w:val="10"/>
                <w:szCs w:val="10"/>
                <w:color w:val="auto"/>
              </w:rPr>
            </w:pPr>
          </w:p>
        </w:tc>
        <w:tc>
          <w:tcPr>
            <w:tcW w:w="1040" w:type="dxa"/>
            <w:vAlign w:val="bottom"/>
            <w:tcBorders>
              <w:top w:val="single" w:sz="8" w:color="auto"/>
              <w:right w:val="single" w:sz="8" w:color="auto"/>
            </w:tcBorders>
            <w:shd w:val="clear" w:color="auto" w:fill="33CCCC"/>
          </w:tcPr>
          <w:p>
            <w:pPr>
              <w:spacing w:after="0" w:line="124" w:lineRule="exact"/>
              <w:rPr>
                <w:sz w:val="20"/>
                <w:szCs w:val="20"/>
                <w:color w:val="auto"/>
              </w:rPr>
            </w:pPr>
            <w:r>
              <w:rPr>
                <w:rFonts w:ascii="Arial" w:cs="Arial" w:eastAsia="Arial" w:hAnsi="Arial"/>
                <w:sz w:val="11"/>
                <w:szCs w:val="11"/>
                <w:b w:val="1"/>
                <w:bCs w:val="1"/>
                <w:color w:val="FFFFFF"/>
              </w:rPr>
              <w:t>Up to</w:t>
            </w:r>
          </w:p>
        </w:tc>
        <w:tc>
          <w:tcPr>
            <w:tcW w:w="1360" w:type="dxa"/>
            <w:vAlign w:val="bottom"/>
            <w:tcBorders>
              <w:top w:val="single" w:sz="8" w:color="auto"/>
              <w:right w:val="single" w:sz="8" w:color="auto"/>
            </w:tcBorders>
            <w:shd w:val="clear" w:color="auto" w:fill="33CCCC"/>
          </w:tcPr>
          <w:p>
            <w:pPr>
              <w:jc w:val="center"/>
              <w:spacing w:after="0" w:line="124" w:lineRule="exact"/>
              <w:rPr>
                <w:sz w:val="20"/>
                <w:szCs w:val="20"/>
                <w:color w:val="auto"/>
              </w:rPr>
            </w:pPr>
            <w:r>
              <w:rPr>
                <w:rFonts w:ascii="Arial" w:cs="Arial" w:eastAsia="Arial" w:hAnsi="Arial"/>
                <w:sz w:val="11"/>
                <w:szCs w:val="11"/>
                <w:b w:val="1"/>
                <w:bCs w:val="1"/>
                <w:color w:val="FFFFFF"/>
                <w:w w:val="97"/>
              </w:rPr>
              <w:t>% change</w:t>
            </w:r>
          </w:p>
        </w:tc>
      </w:tr>
      <w:tr>
        <w:trPr>
          <w:trHeight w:val="132"/>
        </w:trPr>
        <w:tc>
          <w:tcPr>
            <w:tcW w:w="308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(S/ 000)</w:t>
            </w:r>
          </w:p>
        </w:tc>
        <w:tc>
          <w:tcPr>
            <w:tcW w:w="8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3Q24</w:t>
            </w:r>
          </w:p>
        </w:tc>
        <w:tc>
          <w:tcPr>
            <w:tcW w:w="8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2Q25</w:t>
            </w:r>
          </w:p>
        </w:tc>
        <w:tc>
          <w:tcPr>
            <w:tcW w:w="9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3Q25</w:t>
            </w:r>
          </w:p>
        </w:tc>
        <w:tc>
          <w:tcPr>
            <w:tcW w:w="82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11"/>
                <w:szCs w:val="11"/>
                <w:b w:val="1"/>
                <w:bCs w:val="1"/>
                <w:color w:val="FFFFFF"/>
              </w:rPr>
              <w:t>QoQ</w:t>
            </w:r>
          </w:p>
        </w:tc>
        <w:tc>
          <w:tcPr>
            <w:tcW w:w="900" w:type="dxa"/>
            <w:vAlign w:val="bottom"/>
            <w:tcBorders>
              <w:bottom w:val="single" w:sz="8" w:color="auto"/>
              <w:right w:val="single" w:sz="8" w:color="auto"/>
            </w:tcBorders>
            <w:shd w:val="clear" w:color="auto" w:fill="33CCCC"/>
          </w:tcPr>
          <w:p>
            <w:pPr>
              <w:ind w:left="340"/>
              <w:spacing w:after="0"/>
              <w:rPr>
                <w:sz w:val="20"/>
                <w:szCs w:val="20"/>
                <w:color w:val="auto"/>
              </w:rPr>
            </w:pPr>
            <w:r>
              <w:rPr>
                <w:rFonts w:ascii="Arial" w:cs="Arial" w:eastAsia="Arial" w:hAnsi="Arial"/>
                <w:sz w:val="11"/>
                <w:szCs w:val="11"/>
                <w:b w:val="1"/>
                <w:bCs w:val="1"/>
                <w:color w:val="FFFFFF"/>
              </w:rPr>
              <w:t>YoY</w:t>
            </w:r>
          </w:p>
        </w:tc>
        <w:tc>
          <w:tcPr>
            <w:tcW w:w="740" w:type="dxa"/>
            <w:vAlign w:val="bottom"/>
            <w:tcBorders>
              <w:bottom w:val="single" w:sz="8" w:color="auto"/>
            </w:tcBorders>
            <w:shd w:val="clear" w:color="auto" w:fill="33CCCC"/>
          </w:tcPr>
          <w:p>
            <w:pPr>
              <w:ind w:left="260"/>
              <w:spacing w:after="0"/>
              <w:rPr>
                <w:sz w:val="20"/>
                <w:szCs w:val="20"/>
                <w:color w:val="auto"/>
              </w:rPr>
            </w:pPr>
            <w:r>
              <w:rPr>
                <w:rFonts w:ascii="Arial" w:cs="Arial" w:eastAsia="Arial" w:hAnsi="Arial"/>
                <w:sz w:val="11"/>
                <w:szCs w:val="11"/>
                <w:b w:val="1"/>
                <w:bCs w:val="1"/>
                <w:color w:val="FFFFFF"/>
              </w:rPr>
              <w:t>Sep 24</w:t>
            </w:r>
          </w:p>
        </w:tc>
        <w:tc>
          <w:tcPr>
            <w:tcW w:w="1040" w:type="dxa"/>
            <w:vAlign w:val="bottom"/>
            <w:tcBorders>
              <w:bottom w:val="single" w:sz="8" w:color="auto"/>
              <w:right w:val="single" w:sz="8" w:color="auto"/>
            </w:tcBorders>
            <w:shd w:val="clear" w:color="auto" w:fill="33CCCC"/>
          </w:tcPr>
          <w:p>
            <w:pPr>
              <w:ind w:left="400"/>
              <w:spacing w:after="0"/>
              <w:rPr>
                <w:sz w:val="20"/>
                <w:szCs w:val="20"/>
                <w:color w:val="auto"/>
              </w:rPr>
            </w:pPr>
            <w:r>
              <w:rPr>
                <w:rFonts w:ascii="Arial" w:cs="Arial" w:eastAsia="Arial" w:hAnsi="Arial"/>
                <w:sz w:val="11"/>
                <w:szCs w:val="11"/>
                <w:b w:val="1"/>
                <w:bCs w:val="1"/>
                <w:color w:val="FFFFFF"/>
              </w:rPr>
              <w:t>Sep 25</w:t>
            </w:r>
          </w:p>
        </w:tc>
        <w:tc>
          <w:tcPr>
            <w:tcW w:w="13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Sep 25 / Sep 24</w:t>
            </w:r>
          </w:p>
        </w:tc>
      </w:tr>
      <w:tr>
        <w:trPr>
          <w:trHeight w:val="136"/>
        </w:trPr>
        <w:tc>
          <w:tcPr>
            <w:tcW w:w="308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0"/>
                <w:szCs w:val="10"/>
                <w:color w:val="auto"/>
              </w:rPr>
              <w:t xml:space="preserve">BCP Stand-Alone </w:t>
            </w:r>
            <w:r>
              <w:rPr>
                <w:rFonts w:ascii="Arial" w:cs="Arial" w:eastAsia="Arial" w:hAnsi="Arial"/>
                <w:sz w:val="15"/>
                <w:szCs w:val="15"/>
                <w:color w:val="auto"/>
                <w:vertAlign w:val="superscript"/>
              </w:rPr>
              <w:t>(1)</w:t>
            </w:r>
          </w:p>
        </w:tc>
        <w:tc>
          <w:tcPr>
            <w:tcW w:w="840" w:type="dxa"/>
            <w:vAlign w:val="bottom"/>
          </w:tcPr>
          <w:p>
            <w:pPr>
              <w:jc w:val="center"/>
              <w:spacing w:after="0" w:line="136" w:lineRule="exact"/>
              <w:rPr>
                <w:sz w:val="20"/>
                <w:szCs w:val="20"/>
                <w:color w:val="auto"/>
              </w:rPr>
            </w:pPr>
            <w:r>
              <w:rPr>
                <w:rFonts w:ascii="Arial" w:cs="Arial" w:eastAsia="Arial" w:hAnsi="Arial"/>
                <w:sz w:val="13"/>
                <w:szCs w:val="13"/>
                <w:color w:val="auto"/>
              </w:rPr>
              <w:t>804,058</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853,720</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7"/>
              </w:rPr>
              <w:t>873,187</w:t>
            </w:r>
          </w:p>
        </w:tc>
        <w:tc>
          <w:tcPr>
            <w:tcW w:w="820" w:type="dxa"/>
            <w:vAlign w:val="bottom"/>
          </w:tcPr>
          <w:p>
            <w:pPr>
              <w:jc w:val="center"/>
              <w:spacing w:after="0" w:line="136" w:lineRule="exact"/>
              <w:rPr>
                <w:sz w:val="20"/>
                <w:szCs w:val="20"/>
                <w:color w:val="auto"/>
              </w:rPr>
            </w:pPr>
            <w:r>
              <w:rPr>
                <w:rFonts w:ascii="Arial" w:cs="Arial" w:eastAsia="Arial" w:hAnsi="Arial"/>
                <w:sz w:val="13"/>
                <w:szCs w:val="13"/>
                <w:color w:val="auto"/>
              </w:rPr>
              <w:t>2.3%</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4"/>
              </w:rPr>
              <w:t>8.6%</w:t>
            </w:r>
          </w:p>
        </w:tc>
        <w:tc>
          <w:tcPr>
            <w:tcW w:w="740" w:type="dxa"/>
            <w:vAlign w:val="bottom"/>
          </w:tcPr>
          <w:p>
            <w:pPr>
              <w:jc w:val="center"/>
              <w:ind w:left="55"/>
              <w:spacing w:after="0" w:line="136" w:lineRule="exact"/>
              <w:rPr>
                <w:sz w:val="20"/>
                <w:szCs w:val="20"/>
                <w:color w:val="auto"/>
              </w:rPr>
            </w:pPr>
            <w:r>
              <w:rPr>
                <w:rFonts w:ascii="Arial" w:cs="Arial" w:eastAsia="Arial" w:hAnsi="Arial"/>
                <w:sz w:val="13"/>
                <w:szCs w:val="13"/>
                <w:color w:val="auto"/>
              </w:rPr>
              <w:t>2,251,040</w:t>
            </w:r>
          </w:p>
        </w:tc>
        <w:tc>
          <w:tcPr>
            <w:tcW w:w="1040" w:type="dxa"/>
            <w:vAlign w:val="bottom"/>
            <w:tcBorders>
              <w:right w:val="single" w:sz="8" w:color="auto"/>
            </w:tcBorders>
          </w:tcPr>
          <w:p>
            <w:pPr>
              <w:jc w:val="center"/>
              <w:ind w:left="36"/>
              <w:spacing w:after="0" w:line="136" w:lineRule="exact"/>
              <w:rPr>
                <w:sz w:val="20"/>
                <w:szCs w:val="20"/>
                <w:color w:val="auto"/>
              </w:rPr>
            </w:pPr>
            <w:r>
              <w:rPr>
                <w:rFonts w:ascii="Arial" w:cs="Arial" w:eastAsia="Arial" w:hAnsi="Arial"/>
                <w:sz w:val="13"/>
                <w:szCs w:val="13"/>
                <w:color w:val="auto"/>
              </w:rPr>
              <w:t>2,558,334</w:t>
            </w:r>
          </w:p>
        </w:tc>
        <w:tc>
          <w:tcPr>
            <w:tcW w:w="13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13.7%</w:t>
            </w:r>
          </w:p>
        </w:tc>
      </w:tr>
      <w:tr>
        <w:trPr>
          <w:trHeight w:val="156"/>
        </w:trPr>
        <w:tc>
          <w:tcPr>
            <w:tcW w:w="30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2"/>
                <w:szCs w:val="12"/>
                <w:color w:val="auto"/>
              </w:rPr>
              <w:t xml:space="preserve">BCP Bolivia </w:t>
            </w:r>
            <w:r>
              <w:rPr>
                <w:rFonts w:ascii="Arial" w:cs="Arial" w:eastAsia="Arial" w:hAnsi="Arial"/>
                <w:sz w:val="18"/>
                <w:szCs w:val="18"/>
                <w:color w:val="auto"/>
                <w:vertAlign w:val="superscript"/>
              </w:rPr>
              <w:t>(2)</w:t>
            </w:r>
          </w:p>
        </w:tc>
        <w:tc>
          <w:tcPr>
            <w:tcW w:w="840" w:type="dxa"/>
            <w:vAlign w:val="bottom"/>
          </w:tcPr>
          <w:p>
            <w:pPr>
              <w:jc w:val="center"/>
              <w:spacing w:after="0"/>
              <w:rPr>
                <w:sz w:val="20"/>
                <w:szCs w:val="20"/>
                <w:color w:val="auto"/>
              </w:rPr>
            </w:pPr>
            <w:r>
              <w:rPr>
                <w:rFonts w:ascii="Arial" w:cs="Arial" w:eastAsia="Arial" w:hAnsi="Arial"/>
                <w:sz w:val="13"/>
                <w:szCs w:val="13"/>
                <w:color w:val="auto"/>
              </w:rPr>
              <w:t>18,380</w:t>
            </w:r>
          </w:p>
        </w:tc>
        <w:tc>
          <w:tcPr>
            <w:tcW w:w="880" w:type="dxa"/>
            <w:vAlign w:val="bottom"/>
          </w:tcPr>
          <w:p>
            <w:pPr>
              <w:jc w:val="center"/>
              <w:spacing w:after="0"/>
              <w:rPr>
                <w:sz w:val="20"/>
                <w:szCs w:val="20"/>
                <w:color w:val="auto"/>
              </w:rPr>
            </w:pPr>
            <w:r>
              <w:rPr>
                <w:rFonts w:ascii="Arial" w:cs="Arial" w:eastAsia="Arial" w:hAnsi="Arial"/>
                <w:sz w:val="13"/>
                <w:szCs w:val="13"/>
                <w:color w:val="auto"/>
              </w:rPr>
              <w:t>14,552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10,244</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-29.6%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-44.3%</w:t>
            </w:r>
          </w:p>
        </w:tc>
        <w:tc>
          <w:tcPr>
            <w:tcW w:w="740" w:type="dxa"/>
            <w:vAlign w:val="bottom"/>
          </w:tcPr>
          <w:p>
            <w:pPr>
              <w:jc w:val="center"/>
              <w:ind w:left="75"/>
              <w:spacing w:after="0"/>
              <w:rPr>
                <w:sz w:val="20"/>
                <w:szCs w:val="20"/>
                <w:color w:val="auto"/>
              </w:rPr>
            </w:pPr>
            <w:r>
              <w:rPr>
                <w:rFonts w:ascii="Arial" w:cs="Arial" w:eastAsia="Arial" w:hAnsi="Arial"/>
                <w:sz w:val="13"/>
                <w:szCs w:val="13"/>
                <w:color w:val="auto"/>
              </w:rPr>
              <w:t>54,363</w:t>
            </w:r>
          </w:p>
        </w:tc>
        <w:tc>
          <w:tcPr>
            <w:tcW w:w="1040" w:type="dxa"/>
            <w:vAlign w:val="bottom"/>
            <w:tcBorders>
              <w:right w:val="single" w:sz="8" w:color="auto"/>
            </w:tcBorders>
          </w:tcPr>
          <w:p>
            <w:pPr>
              <w:jc w:val="center"/>
              <w:ind w:left="56"/>
              <w:spacing w:after="0"/>
              <w:rPr>
                <w:sz w:val="20"/>
                <w:szCs w:val="20"/>
                <w:color w:val="auto"/>
              </w:rPr>
            </w:pPr>
            <w:r>
              <w:rPr>
                <w:rFonts w:ascii="Arial" w:cs="Arial" w:eastAsia="Arial" w:hAnsi="Arial"/>
                <w:sz w:val="13"/>
                <w:szCs w:val="13"/>
                <w:color w:val="auto"/>
              </w:rPr>
              <w:t>37,640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-30.8%</w:t>
            </w:r>
          </w:p>
        </w:tc>
      </w:tr>
      <w:tr>
        <w:trPr>
          <w:trHeight w:val="156"/>
        </w:trPr>
        <w:tc>
          <w:tcPr>
            <w:tcW w:w="3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Mibanco</w:t>
            </w:r>
          </w:p>
        </w:tc>
        <w:tc>
          <w:tcPr>
            <w:tcW w:w="840" w:type="dxa"/>
            <w:vAlign w:val="bottom"/>
          </w:tcPr>
          <w:p>
            <w:pPr>
              <w:jc w:val="center"/>
              <w:spacing w:after="0"/>
              <w:rPr>
                <w:sz w:val="20"/>
                <w:szCs w:val="20"/>
                <w:color w:val="auto"/>
              </w:rPr>
            </w:pPr>
            <w:r>
              <w:rPr>
                <w:rFonts w:ascii="Arial" w:cs="Arial" w:eastAsia="Arial" w:hAnsi="Arial"/>
                <w:sz w:val="13"/>
                <w:szCs w:val="13"/>
                <w:color w:val="auto"/>
              </w:rPr>
              <w:t>18,412</w:t>
            </w:r>
          </w:p>
        </w:tc>
        <w:tc>
          <w:tcPr>
            <w:tcW w:w="880" w:type="dxa"/>
            <w:vAlign w:val="bottom"/>
          </w:tcPr>
          <w:p>
            <w:pPr>
              <w:jc w:val="center"/>
              <w:spacing w:after="0"/>
              <w:rPr>
                <w:sz w:val="20"/>
                <w:szCs w:val="20"/>
                <w:color w:val="auto"/>
              </w:rPr>
            </w:pPr>
            <w:r>
              <w:rPr>
                <w:rFonts w:ascii="Arial" w:cs="Arial" w:eastAsia="Arial" w:hAnsi="Arial"/>
                <w:sz w:val="13"/>
                <w:szCs w:val="13"/>
                <w:color w:val="auto"/>
              </w:rPr>
              <w:t>27,633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28,873</w:t>
            </w:r>
          </w:p>
        </w:tc>
        <w:tc>
          <w:tcPr>
            <w:tcW w:w="820" w:type="dxa"/>
            <w:vAlign w:val="bottom"/>
          </w:tcPr>
          <w:p>
            <w:pPr>
              <w:jc w:val="center"/>
              <w:spacing w:after="0"/>
              <w:rPr>
                <w:sz w:val="20"/>
                <w:szCs w:val="20"/>
                <w:color w:val="auto"/>
              </w:rPr>
            </w:pPr>
            <w:r>
              <w:rPr>
                <w:rFonts w:ascii="Arial" w:cs="Arial" w:eastAsia="Arial" w:hAnsi="Arial"/>
                <w:sz w:val="13"/>
                <w:szCs w:val="13"/>
                <w:color w:val="auto"/>
              </w:rPr>
              <w:t>4.5%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56.8%</w:t>
            </w:r>
          </w:p>
        </w:tc>
        <w:tc>
          <w:tcPr>
            <w:tcW w:w="740" w:type="dxa"/>
            <w:vAlign w:val="bottom"/>
          </w:tcPr>
          <w:p>
            <w:pPr>
              <w:jc w:val="center"/>
              <w:ind w:left="75"/>
              <w:spacing w:after="0"/>
              <w:rPr>
                <w:sz w:val="20"/>
                <w:szCs w:val="20"/>
                <w:color w:val="auto"/>
              </w:rPr>
            </w:pPr>
            <w:r>
              <w:rPr>
                <w:rFonts w:ascii="Arial" w:cs="Arial" w:eastAsia="Arial" w:hAnsi="Arial"/>
                <w:sz w:val="13"/>
                <w:szCs w:val="13"/>
                <w:color w:val="auto"/>
              </w:rPr>
              <w:t>64,358</w:t>
            </w:r>
          </w:p>
        </w:tc>
        <w:tc>
          <w:tcPr>
            <w:tcW w:w="1040" w:type="dxa"/>
            <w:vAlign w:val="bottom"/>
            <w:tcBorders>
              <w:right w:val="single" w:sz="8" w:color="auto"/>
            </w:tcBorders>
          </w:tcPr>
          <w:p>
            <w:pPr>
              <w:jc w:val="center"/>
              <w:ind w:left="56"/>
              <w:spacing w:after="0"/>
              <w:rPr>
                <w:sz w:val="20"/>
                <w:szCs w:val="20"/>
                <w:color w:val="auto"/>
              </w:rPr>
            </w:pPr>
            <w:r>
              <w:rPr>
                <w:rFonts w:ascii="Arial" w:cs="Arial" w:eastAsia="Arial" w:hAnsi="Arial"/>
                <w:sz w:val="13"/>
                <w:szCs w:val="13"/>
                <w:color w:val="auto"/>
              </w:rPr>
              <w:t>84,845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31.8%</w:t>
            </w:r>
          </w:p>
        </w:tc>
      </w:tr>
      <w:tr>
        <w:trPr>
          <w:trHeight w:val="156"/>
        </w:trPr>
        <w:tc>
          <w:tcPr>
            <w:tcW w:w="3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Mibanco Colombia</w:t>
            </w:r>
          </w:p>
        </w:tc>
        <w:tc>
          <w:tcPr>
            <w:tcW w:w="840" w:type="dxa"/>
            <w:vAlign w:val="bottom"/>
          </w:tcPr>
          <w:p>
            <w:pPr>
              <w:jc w:val="center"/>
              <w:spacing w:after="0"/>
              <w:rPr>
                <w:sz w:val="20"/>
                <w:szCs w:val="20"/>
                <w:color w:val="auto"/>
              </w:rPr>
            </w:pPr>
            <w:r>
              <w:rPr>
                <w:rFonts w:ascii="Arial" w:cs="Arial" w:eastAsia="Arial" w:hAnsi="Arial"/>
                <w:sz w:val="13"/>
                <w:szCs w:val="13"/>
                <w:color w:val="auto"/>
              </w:rPr>
              <w:t>12,333</w:t>
            </w:r>
          </w:p>
        </w:tc>
        <w:tc>
          <w:tcPr>
            <w:tcW w:w="880" w:type="dxa"/>
            <w:vAlign w:val="bottom"/>
          </w:tcPr>
          <w:p>
            <w:pPr>
              <w:jc w:val="center"/>
              <w:spacing w:after="0"/>
              <w:rPr>
                <w:sz w:val="20"/>
                <w:szCs w:val="20"/>
                <w:color w:val="auto"/>
              </w:rPr>
            </w:pPr>
            <w:r>
              <w:rPr>
                <w:rFonts w:ascii="Arial" w:cs="Arial" w:eastAsia="Arial" w:hAnsi="Arial"/>
                <w:sz w:val="13"/>
                <w:szCs w:val="13"/>
                <w:color w:val="auto"/>
              </w:rPr>
              <w:t>12,395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14,314</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15.5%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16.1%</w:t>
            </w:r>
          </w:p>
        </w:tc>
        <w:tc>
          <w:tcPr>
            <w:tcW w:w="740" w:type="dxa"/>
            <w:vAlign w:val="bottom"/>
          </w:tcPr>
          <w:p>
            <w:pPr>
              <w:jc w:val="center"/>
              <w:ind w:left="75"/>
              <w:spacing w:after="0"/>
              <w:rPr>
                <w:sz w:val="20"/>
                <w:szCs w:val="20"/>
                <w:color w:val="auto"/>
              </w:rPr>
            </w:pPr>
            <w:r>
              <w:rPr>
                <w:rFonts w:ascii="Arial" w:cs="Arial" w:eastAsia="Arial" w:hAnsi="Arial"/>
                <w:sz w:val="13"/>
                <w:szCs w:val="13"/>
                <w:color w:val="auto"/>
              </w:rPr>
              <w:t>34,625</w:t>
            </w:r>
          </w:p>
        </w:tc>
        <w:tc>
          <w:tcPr>
            <w:tcW w:w="1040" w:type="dxa"/>
            <w:vAlign w:val="bottom"/>
            <w:tcBorders>
              <w:right w:val="single" w:sz="8" w:color="auto"/>
            </w:tcBorders>
          </w:tcPr>
          <w:p>
            <w:pPr>
              <w:jc w:val="center"/>
              <w:ind w:left="56"/>
              <w:spacing w:after="0"/>
              <w:rPr>
                <w:sz w:val="20"/>
                <w:szCs w:val="20"/>
                <w:color w:val="auto"/>
              </w:rPr>
            </w:pPr>
            <w:r>
              <w:rPr>
                <w:rFonts w:ascii="Arial" w:cs="Arial" w:eastAsia="Arial" w:hAnsi="Arial"/>
                <w:sz w:val="13"/>
                <w:szCs w:val="13"/>
                <w:color w:val="auto"/>
              </w:rPr>
              <w:t>35,835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w:t>
            </w:r>
          </w:p>
        </w:tc>
      </w:tr>
      <w:tr>
        <w:trPr>
          <w:trHeight w:val="156"/>
        </w:trPr>
        <w:tc>
          <w:tcPr>
            <w:tcW w:w="3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Pacífico</w:t>
            </w:r>
          </w:p>
        </w:tc>
        <w:tc>
          <w:tcPr>
            <w:tcW w:w="840" w:type="dxa"/>
            <w:vAlign w:val="bottom"/>
          </w:tcPr>
          <w:p>
            <w:pPr>
              <w:jc w:val="center"/>
              <w:spacing w:after="0"/>
              <w:rPr>
                <w:sz w:val="20"/>
                <w:szCs w:val="20"/>
                <w:color w:val="auto"/>
              </w:rPr>
            </w:pPr>
            <w:r>
              <w:rPr>
                <w:rFonts w:ascii="Arial" w:cs="Arial" w:eastAsia="Arial" w:hAnsi="Arial"/>
                <w:sz w:val="13"/>
                <w:szCs w:val="13"/>
                <w:color w:val="auto"/>
              </w:rPr>
              <w:t>(3,218)</w:t>
            </w:r>
          </w:p>
        </w:tc>
        <w:tc>
          <w:tcPr>
            <w:tcW w:w="880" w:type="dxa"/>
            <w:vAlign w:val="bottom"/>
          </w:tcPr>
          <w:p>
            <w:pPr>
              <w:jc w:val="center"/>
              <w:spacing w:after="0"/>
              <w:rPr>
                <w:sz w:val="20"/>
                <w:szCs w:val="20"/>
                <w:color w:val="auto"/>
              </w:rPr>
            </w:pPr>
            <w:r>
              <w:rPr>
                <w:rFonts w:ascii="Arial" w:cs="Arial" w:eastAsia="Arial" w:hAnsi="Arial"/>
                <w:sz w:val="13"/>
                <w:szCs w:val="13"/>
                <w:color w:val="auto"/>
              </w:rPr>
              <w:t>(6,287)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(5,123)</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-18.5%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59.2%</w:t>
            </w:r>
          </w:p>
        </w:tc>
        <w:tc>
          <w:tcPr>
            <w:tcW w:w="740" w:type="dxa"/>
            <w:vAlign w:val="bottom"/>
          </w:tcPr>
          <w:p>
            <w:pPr>
              <w:jc w:val="center"/>
              <w:ind w:left="55"/>
              <w:spacing w:after="0"/>
              <w:rPr>
                <w:sz w:val="20"/>
                <w:szCs w:val="20"/>
                <w:color w:val="auto"/>
              </w:rPr>
            </w:pPr>
            <w:r>
              <w:rPr>
                <w:rFonts w:ascii="Arial" w:cs="Arial" w:eastAsia="Arial" w:hAnsi="Arial"/>
                <w:sz w:val="13"/>
                <w:szCs w:val="13"/>
                <w:color w:val="auto"/>
              </w:rPr>
              <w:t>(8,905)</w:t>
            </w:r>
          </w:p>
        </w:tc>
        <w:tc>
          <w:tcPr>
            <w:tcW w:w="1040" w:type="dxa"/>
            <w:vAlign w:val="bottom"/>
            <w:tcBorders>
              <w:right w:val="single" w:sz="8" w:color="auto"/>
            </w:tcBorders>
          </w:tcPr>
          <w:p>
            <w:pPr>
              <w:jc w:val="center"/>
              <w:ind w:left="56"/>
              <w:spacing w:after="0"/>
              <w:rPr>
                <w:sz w:val="20"/>
                <w:szCs w:val="20"/>
                <w:color w:val="auto"/>
              </w:rPr>
            </w:pPr>
            <w:r>
              <w:rPr>
                <w:rFonts w:ascii="Arial" w:cs="Arial" w:eastAsia="Arial" w:hAnsi="Arial"/>
                <w:sz w:val="13"/>
                <w:szCs w:val="13"/>
                <w:color w:val="auto"/>
                <w:w w:val="99"/>
              </w:rPr>
              <w:t>(15,167)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70.3%</w:t>
            </w:r>
          </w:p>
        </w:tc>
      </w:tr>
      <w:tr>
        <w:trPr>
          <w:trHeight w:val="156"/>
        </w:trPr>
        <w:tc>
          <w:tcPr>
            <w:tcW w:w="3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Prima</w:t>
            </w:r>
          </w:p>
        </w:tc>
        <w:tc>
          <w:tcPr>
            <w:tcW w:w="840" w:type="dxa"/>
            <w:vAlign w:val="bottom"/>
          </w:tcPr>
          <w:p>
            <w:pPr>
              <w:jc w:val="center"/>
              <w:spacing w:after="0"/>
              <w:rPr>
                <w:sz w:val="20"/>
                <w:szCs w:val="20"/>
                <w:color w:val="auto"/>
              </w:rPr>
            </w:pPr>
            <w:r>
              <w:rPr>
                <w:rFonts w:ascii="Arial" w:cs="Arial" w:eastAsia="Arial" w:hAnsi="Arial"/>
                <w:sz w:val="13"/>
                <w:szCs w:val="13"/>
                <w:color w:val="auto"/>
              </w:rPr>
              <w:t>90,748</w:t>
            </w:r>
          </w:p>
        </w:tc>
        <w:tc>
          <w:tcPr>
            <w:tcW w:w="880" w:type="dxa"/>
            <w:vAlign w:val="bottom"/>
          </w:tcPr>
          <w:p>
            <w:pPr>
              <w:jc w:val="center"/>
              <w:spacing w:after="0"/>
              <w:rPr>
                <w:sz w:val="20"/>
                <w:szCs w:val="20"/>
                <w:color w:val="auto"/>
              </w:rPr>
            </w:pPr>
            <w:r>
              <w:rPr>
                <w:rFonts w:ascii="Arial" w:cs="Arial" w:eastAsia="Arial" w:hAnsi="Arial"/>
                <w:sz w:val="13"/>
                <w:szCs w:val="13"/>
                <w:color w:val="auto"/>
              </w:rPr>
              <w:t>97,233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95,006</w:t>
            </w:r>
          </w:p>
        </w:tc>
        <w:tc>
          <w:tcPr>
            <w:tcW w:w="820" w:type="dxa"/>
            <w:vAlign w:val="bottom"/>
          </w:tcPr>
          <w:p>
            <w:pPr>
              <w:jc w:val="center"/>
              <w:spacing w:after="0"/>
              <w:rPr>
                <w:sz w:val="20"/>
                <w:szCs w:val="20"/>
                <w:color w:val="auto"/>
              </w:rPr>
            </w:pPr>
            <w:r>
              <w:rPr>
                <w:rFonts w:ascii="Arial" w:cs="Arial" w:eastAsia="Arial" w:hAnsi="Arial"/>
                <w:sz w:val="13"/>
                <w:szCs w:val="13"/>
                <w:color w:val="auto"/>
              </w:rPr>
              <w:t>-2.3%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4.7%</w:t>
            </w:r>
          </w:p>
        </w:tc>
        <w:tc>
          <w:tcPr>
            <w:tcW w:w="740" w:type="dxa"/>
            <w:vAlign w:val="bottom"/>
          </w:tcPr>
          <w:p>
            <w:pPr>
              <w:jc w:val="center"/>
              <w:ind w:left="75"/>
              <w:spacing w:after="0"/>
              <w:rPr>
                <w:sz w:val="20"/>
                <w:szCs w:val="20"/>
                <w:color w:val="auto"/>
              </w:rPr>
            </w:pPr>
            <w:r>
              <w:rPr>
                <w:rFonts w:ascii="Arial" w:cs="Arial" w:eastAsia="Arial" w:hAnsi="Arial"/>
                <w:sz w:val="13"/>
                <w:szCs w:val="13"/>
                <w:color w:val="auto"/>
              </w:rPr>
              <w:t>284,379</w:t>
            </w:r>
          </w:p>
        </w:tc>
        <w:tc>
          <w:tcPr>
            <w:tcW w:w="1040" w:type="dxa"/>
            <w:vAlign w:val="bottom"/>
            <w:tcBorders>
              <w:right w:val="single" w:sz="8" w:color="auto"/>
            </w:tcBorders>
          </w:tcPr>
          <w:p>
            <w:pPr>
              <w:jc w:val="center"/>
              <w:ind w:left="56"/>
              <w:spacing w:after="0"/>
              <w:rPr>
                <w:sz w:val="20"/>
                <w:szCs w:val="20"/>
                <w:color w:val="auto"/>
              </w:rPr>
            </w:pPr>
            <w:r>
              <w:rPr>
                <w:rFonts w:ascii="Arial" w:cs="Arial" w:eastAsia="Arial" w:hAnsi="Arial"/>
                <w:sz w:val="13"/>
                <w:szCs w:val="13"/>
                <w:color w:val="auto"/>
              </w:rPr>
              <w:t>286,311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0.7%</w:t>
            </w:r>
          </w:p>
        </w:tc>
      </w:tr>
      <w:tr>
        <w:trPr>
          <w:trHeight w:val="156"/>
        </w:trPr>
        <w:tc>
          <w:tcPr>
            <w:tcW w:w="3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ASB</w:t>
            </w:r>
          </w:p>
        </w:tc>
        <w:tc>
          <w:tcPr>
            <w:tcW w:w="840" w:type="dxa"/>
            <w:vAlign w:val="bottom"/>
          </w:tcPr>
          <w:p>
            <w:pPr>
              <w:jc w:val="center"/>
              <w:spacing w:after="0"/>
              <w:rPr>
                <w:sz w:val="20"/>
                <w:szCs w:val="20"/>
                <w:color w:val="auto"/>
              </w:rPr>
            </w:pPr>
            <w:r>
              <w:rPr>
                <w:rFonts w:ascii="Arial" w:cs="Arial" w:eastAsia="Arial" w:hAnsi="Arial"/>
                <w:sz w:val="13"/>
                <w:szCs w:val="13"/>
                <w:color w:val="auto"/>
              </w:rPr>
              <w:t>15,760</w:t>
            </w:r>
          </w:p>
        </w:tc>
        <w:tc>
          <w:tcPr>
            <w:tcW w:w="880" w:type="dxa"/>
            <w:vAlign w:val="bottom"/>
          </w:tcPr>
          <w:p>
            <w:pPr>
              <w:jc w:val="center"/>
              <w:spacing w:after="0"/>
              <w:rPr>
                <w:sz w:val="20"/>
                <w:szCs w:val="20"/>
                <w:color w:val="auto"/>
              </w:rPr>
            </w:pPr>
            <w:r>
              <w:rPr>
                <w:rFonts w:ascii="Arial" w:cs="Arial" w:eastAsia="Arial" w:hAnsi="Arial"/>
                <w:sz w:val="13"/>
                <w:szCs w:val="13"/>
                <w:color w:val="auto"/>
              </w:rPr>
              <w:t>12,841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12,615</w:t>
            </w:r>
          </w:p>
        </w:tc>
        <w:tc>
          <w:tcPr>
            <w:tcW w:w="820" w:type="dxa"/>
            <w:vAlign w:val="bottom"/>
          </w:tcPr>
          <w:p>
            <w:pPr>
              <w:jc w:val="center"/>
              <w:spacing w:after="0"/>
              <w:rPr>
                <w:sz w:val="20"/>
                <w:szCs w:val="20"/>
                <w:color w:val="auto"/>
              </w:rPr>
            </w:pPr>
            <w:r>
              <w:rPr>
                <w:rFonts w:ascii="Arial" w:cs="Arial" w:eastAsia="Arial" w:hAnsi="Arial"/>
                <w:sz w:val="13"/>
                <w:szCs w:val="13"/>
                <w:color w:val="auto"/>
              </w:rPr>
              <w:t>-1.8%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-20.0%</w:t>
            </w:r>
          </w:p>
        </w:tc>
        <w:tc>
          <w:tcPr>
            <w:tcW w:w="740" w:type="dxa"/>
            <w:vAlign w:val="bottom"/>
          </w:tcPr>
          <w:p>
            <w:pPr>
              <w:jc w:val="center"/>
              <w:ind w:left="75"/>
              <w:spacing w:after="0"/>
              <w:rPr>
                <w:sz w:val="20"/>
                <w:szCs w:val="20"/>
                <w:color w:val="auto"/>
              </w:rPr>
            </w:pPr>
            <w:r>
              <w:rPr>
                <w:rFonts w:ascii="Arial" w:cs="Arial" w:eastAsia="Arial" w:hAnsi="Arial"/>
                <w:sz w:val="13"/>
                <w:szCs w:val="13"/>
                <w:color w:val="auto"/>
              </w:rPr>
              <w:t>48,307</w:t>
            </w:r>
          </w:p>
        </w:tc>
        <w:tc>
          <w:tcPr>
            <w:tcW w:w="1040" w:type="dxa"/>
            <w:vAlign w:val="bottom"/>
            <w:tcBorders>
              <w:right w:val="single" w:sz="8" w:color="auto"/>
            </w:tcBorders>
          </w:tcPr>
          <w:p>
            <w:pPr>
              <w:jc w:val="center"/>
              <w:ind w:left="56"/>
              <w:spacing w:after="0"/>
              <w:rPr>
                <w:sz w:val="20"/>
                <w:szCs w:val="20"/>
                <w:color w:val="auto"/>
              </w:rPr>
            </w:pPr>
            <w:r>
              <w:rPr>
                <w:rFonts w:ascii="Arial" w:cs="Arial" w:eastAsia="Arial" w:hAnsi="Arial"/>
                <w:sz w:val="13"/>
                <w:szCs w:val="13"/>
                <w:color w:val="auto"/>
              </w:rPr>
              <w:t>39,282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-18.7%</w:t>
            </w:r>
          </w:p>
        </w:tc>
      </w:tr>
      <w:tr>
        <w:trPr>
          <w:trHeight w:val="156"/>
        </w:trPr>
        <w:tc>
          <w:tcPr>
            <w:tcW w:w="3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Credicorp Capital</w:t>
            </w:r>
          </w:p>
        </w:tc>
        <w:tc>
          <w:tcPr>
            <w:tcW w:w="840" w:type="dxa"/>
            <w:vAlign w:val="bottom"/>
          </w:tcPr>
          <w:p>
            <w:pPr>
              <w:jc w:val="center"/>
              <w:spacing w:after="0"/>
              <w:rPr>
                <w:sz w:val="20"/>
                <w:szCs w:val="20"/>
                <w:color w:val="auto"/>
              </w:rPr>
            </w:pPr>
            <w:r>
              <w:rPr>
                <w:rFonts w:ascii="Arial" w:cs="Arial" w:eastAsia="Arial" w:hAnsi="Arial"/>
                <w:sz w:val="13"/>
                <w:szCs w:val="13"/>
                <w:color w:val="auto"/>
              </w:rPr>
              <w:t>141,657</w:t>
            </w:r>
          </w:p>
        </w:tc>
        <w:tc>
          <w:tcPr>
            <w:tcW w:w="880" w:type="dxa"/>
            <w:vAlign w:val="bottom"/>
          </w:tcPr>
          <w:p>
            <w:pPr>
              <w:jc w:val="center"/>
              <w:spacing w:after="0"/>
              <w:rPr>
                <w:sz w:val="20"/>
                <w:szCs w:val="20"/>
                <w:color w:val="auto"/>
              </w:rPr>
            </w:pPr>
            <w:r>
              <w:rPr>
                <w:rFonts w:ascii="Arial" w:cs="Arial" w:eastAsia="Arial" w:hAnsi="Arial"/>
                <w:sz w:val="13"/>
                <w:szCs w:val="13"/>
                <w:color w:val="auto"/>
              </w:rPr>
              <w:t>134,297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148,115</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10.3%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4.6%</w:t>
            </w:r>
          </w:p>
        </w:tc>
        <w:tc>
          <w:tcPr>
            <w:tcW w:w="740" w:type="dxa"/>
            <w:vAlign w:val="bottom"/>
          </w:tcPr>
          <w:p>
            <w:pPr>
              <w:jc w:val="center"/>
              <w:ind w:left="75"/>
              <w:spacing w:after="0"/>
              <w:rPr>
                <w:sz w:val="20"/>
                <w:szCs w:val="20"/>
                <w:color w:val="auto"/>
              </w:rPr>
            </w:pPr>
            <w:r>
              <w:rPr>
                <w:rFonts w:ascii="Arial" w:cs="Arial" w:eastAsia="Arial" w:hAnsi="Arial"/>
                <w:sz w:val="13"/>
                <w:szCs w:val="13"/>
                <w:color w:val="auto"/>
              </w:rPr>
              <w:t>423,287</w:t>
            </w:r>
          </w:p>
        </w:tc>
        <w:tc>
          <w:tcPr>
            <w:tcW w:w="1040" w:type="dxa"/>
            <w:vAlign w:val="bottom"/>
            <w:tcBorders>
              <w:right w:val="single" w:sz="8" w:color="auto"/>
            </w:tcBorders>
          </w:tcPr>
          <w:p>
            <w:pPr>
              <w:jc w:val="center"/>
              <w:ind w:left="56"/>
              <w:spacing w:after="0"/>
              <w:rPr>
                <w:sz w:val="20"/>
                <w:szCs w:val="20"/>
                <w:color w:val="auto"/>
              </w:rPr>
            </w:pPr>
            <w:r>
              <w:rPr>
                <w:rFonts w:ascii="Arial" w:cs="Arial" w:eastAsia="Arial" w:hAnsi="Arial"/>
                <w:sz w:val="13"/>
                <w:szCs w:val="13"/>
                <w:color w:val="auto"/>
              </w:rPr>
              <w:t>418,676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-1.1%</w:t>
            </w:r>
          </w:p>
        </w:tc>
      </w:tr>
      <w:tr>
        <w:trPr>
          <w:trHeight w:val="168"/>
        </w:trPr>
        <w:tc>
          <w:tcPr>
            <w:tcW w:w="3080" w:type="dxa"/>
            <w:vAlign w:val="bottom"/>
            <w:tcBorders>
              <w:left w:val="single" w:sz="8" w:color="auto"/>
              <w:bottom w:val="single" w:sz="8" w:color="auto"/>
              <w:right w:val="single" w:sz="8" w:color="auto"/>
            </w:tcBorders>
          </w:tcPr>
          <w:p>
            <w:pPr>
              <w:ind w:left="20"/>
              <w:spacing w:after="0" w:line="168" w:lineRule="exact"/>
              <w:rPr>
                <w:sz w:val="20"/>
                <w:szCs w:val="20"/>
                <w:color w:val="auto"/>
              </w:rPr>
            </w:pPr>
            <w:r>
              <w:rPr>
                <w:rFonts w:ascii="Arial" w:cs="Arial" w:eastAsia="Arial" w:hAnsi="Arial"/>
                <w:sz w:val="12"/>
                <w:szCs w:val="12"/>
                <w:color w:val="auto"/>
              </w:rPr>
              <w:t xml:space="preserve">Eliminations and Other </w:t>
            </w:r>
            <w:r>
              <w:rPr>
                <w:rFonts w:ascii="Arial" w:cs="Arial" w:eastAsia="Arial" w:hAnsi="Arial"/>
                <w:sz w:val="19"/>
                <w:szCs w:val="19"/>
                <w:color w:val="auto"/>
                <w:vertAlign w:val="superscript"/>
              </w:rPr>
              <w:t>(3)</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(115,312)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(121,831)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(114,199)</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-6.3%</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-1.0%</w:t>
            </w:r>
          </w:p>
        </w:tc>
        <w:tc>
          <w:tcPr>
            <w:tcW w:w="740" w:type="dxa"/>
            <w:vAlign w:val="bottom"/>
            <w:tcBorders>
              <w:bottom w:val="single" w:sz="8" w:color="auto"/>
            </w:tcBorders>
          </w:tcPr>
          <w:p>
            <w:pPr>
              <w:jc w:val="center"/>
              <w:ind w:left="75"/>
              <w:spacing w:after="0"/>
              <w:rPr>
                <w:sz w:val="20"/>
                <w:szCs w:val="20"/>
                <w:color w:val="auto"/>
              </w:rPr>
            </w:pPr>
            <w:r>
              <w:rPr>
                <w:rFonts w:ascii="Arial" w:cs="Arial" w:eastAsia="Arial" w:hAnsi="Arial"/>
                <w:sz w:val="13"/>
                <w:szCs w:val="13"/>
                <w:color w:val="auto"/>
              </w:rPr>
              <w:t>(364,843)</w:t>
            </w:r>
          </w:p>
        </w:tc>
        <w:tc>
          <w:tcPr>
            <w:tcW w:w="1040" w:type="dxa"/>
            <w:vAlign w:val="bottom"/>
            <w:tcBorders>
              <w:bottom w:val="single" w:sz="8" w:color="auto"/>
              <w:right w:val="single" w:sz="8" w:color="auto"/>
            </w:tcBorders>
          </w:tcPr>
          <w:p>
            <w:pPr>
              <w:jc w:val="center"/>
              <w:ind w:left="56"/>
              <w:spacing w:after="0"/>
              <w:rPr>
                <w:sz w:val="20"/>
                <w:szCs w:val="20"/>
                <w:color w:val="auto"/>
              </w:rPr>
            </w:pPr>
            <w:r>
              <w:rPr>
                <w:rFonts w:ascii="Arial" w:cs="Arial" w:eastAsia="Arial" w:hAnsi="Arial"/>
                <w:sz w:val="13"/>
                <w:szCs w:val="13"/>
                <w:color w:val="auto"/>
              </w:rPr>
              <w:t>(364,147)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-0.2%</w:t>
            </w:r>
          </w:p>
        </w:tc>
      </w:tr>
      <w:tr>
        <w:trPr>
          <w:trHeight w:val="148"/>
        </w:trPr>
        <w:tc>
          <w:tcPr>
            <w:tcW w:w="308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Total Net Fee Income</w:t>
            </w:r>
          </w:p>
        </w:tc>
        <w:tc>
          <w:tcPr>
            <w:tcW w:w="8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982,818</w:t>
            </w:r>
          </w:p>
        </w:tc>
        <w:tc>
          <w:tcPr>
            <w:tcW w:w="8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1,024,553</w:t>
            </w:r>
          </w:p>
        </w:tc>
        <w:tc>
          <w:tcPr>
            <w:tcW w:w="92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1,063,032</w:t>
            </w:r>
          </w:p>
        </w:tc>
        <w:tc>
          <w:tcPr>
            <w:tcW w:w="8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3.8%</w:t>
            </w:r>
          </w:p>
        </w:tc>
        <w:tc>
          <w:tcPr>
            <w:tcW w:w="90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4"/>
              </w:rPr>
              <w:t>8.2%</w:t>
            </w:r>
          </w:p>
        </w:tc>
        <w:tc>
          <w:tcPr>
            <w:tcW w:w="740" w:type="dxa"/>
            <w:vAlign w:val="bottom"/>
            <w:tcBorders>
              <w:bottom w:val="single" w:sz="8" w:color="auto"/>
            </w:tcBorders>
          </w:tcPr>
          <w:p>
            <w:pPr>
              <w:jc w:val="center"/>
              <w:ind w:left="55"/>
              <w:spacing w:after="0" w:line="148" w:lineRule="exact"/>
              <w:rPr>
                <w:sz w:val="20"/>
                <w:szCs w:val="20"/>
                <w:color w:val="auto"/>
              </w:rPr>
            </w:pPr>
            <w:r>
              <w:rPr>
                <w:rFonts w:ascii="Arial" w:cs="Arial" w:eastAsia="Arial" w:hAnsi="Arial"/>
                <w:sz w:val="13"/>
                <w:szCs w:val="13"/>
                <w:b w:val="1"/>
                <w:bCs w:val="1"/>
                <w:color w:val="auto"/>
              </w:rPr>
              <w:t>2,786,611</w:t>
            </w:r>
          </w:p>
        </w:tc>
        <w:tc>
          <w:tcPr>
            <w:tcW w:w="1040" w:type="dxa"/>
            <w:vAlign w:val="bottom"/>
            <w:tcBorders>
              <w:bottom w:val="single" w:sz="8" w:color="auto"/>
              <w:right w:val="single" w:sz="8" w:color="auto"/>
            </w:tcBorders>
          </w:tcPr>
          <w:p>
            <w:pPr>
              <w:jc w:val="center"/>
              <w:ind w:left="36"/>
              <w:spacing w:after="0" w:line="148" w:lineRule="exact"/>
              <w:rPr>
                <w:sz w:val="20"/>
                <w:szCs w:val="20"/>
                <w:color w:val="auto"/>
              </w:rPr>
            </w:pPr>
            <w:r>
              <w:rPr>
                <w:rFonts w:ascii="Arial" w:cs="Arial" w:eastAsia="Arial" w:hAnsi="Arial"/>
                <w:sz w:val="13"/>
                <w:szCs w:val="13"/>
                <w:b w:val="1"/>
                <w:bCs w:val="1"/>
                <w:color w:val="auto"/>
              </w:rPr>
              <w:t>3,081,609</w:t>
            </w:r>
          </w:p>
        </w:tc>
        <w:tc>
          <w:tcPr>
            <w:tcW w:w="136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10.6%</w:t>
            </w:r>
          </w:p>
        </w:tc>
      </w:tr>
    </w:tbl>
    <w:p>
      <w:pPr>
        <w:ind w:right="360" w:firstLine="6"/>
        <w:spacing w:after="0" w:line="259" w:lineRule="auto"/>
        <w:tabs>
          <w:tab w:leader="none" w:pos="162" w:val="left"/>
        </w:tabs>
        <w:numPr>
          <w:ilvl w:val="0"/>
          <w:numId w:val="27"/>
        </w:numPr>
        <w:rPr>
          <w:rFonts w:ascii="Arial" w:cs="Arial" w:eastAsia="Arial" w:hAnsi="Arial"/>
          <w:sz w:val="11"/>
          <w:szCs w:val="11"/>
          <w:color w:val="auto"/>
        </w:rPr>
      </w:pPr>
      <w:r>
        <w:rPr>
          <w:rFonts w:ascii="Arial" w:cs="Arial" w:eastAsia="Arial" w:hAnsi="Arial"/>
          <w:sz w:val="11"/>
          <w:szCs w:val="11"/>
          <w:color w:val="auto"/>
        </w:rPr>
        <w:t>Beginning in 1Q25, accounting reclassifications related to credit card loyalty program expenses and Yape’s transactional fee expenses have been incorporated. These reclassifications affected Administrative and General Expenses as well as Fee Income. Prior periods have been restated for comparability and may differ from previously reported figures.</w:t>
      </w:r>
    </w:p>
    <w:p>
      <w:pPr>
        <w:ind w:right="540" w:firstLine="6"/>
        <w:spacing w:after="0" w:line="250" w:lineRule="auto"/>
        <w:tabs>
          <w:tab w:leader="none" w:pos="162" w:val="left"/>
        </w:tabs>
        <w:numPr>
          <w:ilvl w:val="0"/>
          <w:numId w:val="27"/>
        </w:numPr>
        <w:rPr>
          <w:rFonts w:ascii="Arial" w:cs="Arial" w:eastAsia="Arial" w:hAnsi="Arial"/>
          <w:sz w:val="11"/>
          <w:szCs w:val="11"/>
          <w:color w:val="auto"/>
        </w:rPr>
      </w:pPr>
      <w:r>
        <w:rPr>
          <w:rFonts w:ascii="Arial" w:cs="Arial" w:eastAsia="Arial" w:hAnsi="Arial"/>
          <w:sz w:val="11"/>
          <w:szCs w:val="11"/>
          <w:color w:val="auto"/>
        </w:rPr>
        <w:t>Beginning in 1Q25, reclassifications related to FX operations at BCP Bolivia have been incorporated. These reclassifications affected Fee Income and Net Gain on Derivatives Held for Trading, which are now consolidated into Net Gain on Foreign Exchange Transactions. Prior periods have been restated for comparability and may differ from previously reported figures.</w:t>
      </w:r>
    </w:p>
    <w:p>
      <w:pPr>
        <w:ind w:left="160" w:hanging="154"/>
        <w:spacing w:after="0"/>
        <w:tabs>
          <w:tab w:leader="none" w:pos="1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Correspond mainly to the eliminations of bancassurance between Pacifico, BCP, and Mibanco.</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color w:val="auto"/>
        </w:rPr>
        <w:t xml:space="preserve">QoQ, YoY and YTD, </w:t>
      </w:r>
      <w:r>
        <w:rPr>
          <w:rFonts w:ascii="Arial" w:cs="Arial" w:eastAsia="Arial" w:hAnsi="Arial"/>
          <w:sz w:val="16"/>
          <w:szCs w:val="16"/>
          <w:color w:val="auto"/>
        </w:rPr>
        <w:t>growth of 3.8%, 8.2% and 10.6% were reported, respectively. Across periods, growth was driven mainly by an increase in total fees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(the dynamics will be discussed in the next chapter). In the </w:t>
      </w:r>
      <w:r>
        <w:rPr>
          <w:rFonts w:ascii="Arial" w:cs="Arial" w:eastAsia="Arial" w:hAnsi="Arial"/>
          <w:sz w:val="16"/>
          <w:szCs w:val="16"/>
          <w:b w:val="1"/>
          <w:bCs w:val="1"/>
          <w:color w:val="auto"/>
        </w:rPr>
        <w:t>QoQ</w:t>
      </w:r>
      <w:r>
        <w:rPr>
          <w:rFonts w:ascii="Arial" w:cs="Arial" w:eastAsia="Arial" w:hAnsi="Arial"/>
          <w:sz w:val="16"/>
          <w:szCs w:val="16"/>
          <w:color w:val="auto"/>
        </w:rPr>
        <w:t xml:space="preserve"> analysis, growth was also spurred by </w:t>
      </w:r>
      <w:r>
        <w:rPr>
          <w:rFonts w:ascii="Arial" w:cs="Arial" w:eastAsia="Arial" w:hAnsi="Arial"/>
          <w:sz w:val="16"/>
          <w:szCs w:val="16"/>
          <w:b w:val="1"/>
          <w:bCs w:val="1"/>
          <w:color w:val="auto"/>
        </w:rPr>
        <w:t>Credicorp Capital</w:t>
      </w:r>
      <w:r>
        <w:rPr>
          <w:rFonts w:ascii="Arial" w:cs="Arial" w:eastAsia="Arial" w:hAnsi="Arial"/>
          <w:sz w:val="16"/>
          <w:szCs w:val="16"/>
          <w:color w:val="auto"/>
        </w:rPr>
        <w:t xml:space="preserve">, which reported an increase in AUM volumes in Colombia, which rose through product sales to institutional clients, and in Chile, where growth was registered in the investment fund management and securities custody businesses. In the </w:t>
      </w:r>
      <w:r>
        <w:rPr>
          <w:rFonts w:ascii="Arial" w:cs="Arial" w:eastAsia="Arial" w:hAnsi="Arial"/>
          <w:sz w:val="16"/>
          <w:szCs w:val="16"/>
          <w:b w:val="1"/>
          <w:bCs w:val="1"/>
          <w:color w:val="auto"/>
        </w:rPr>
        <w:t>YoY</w:t>
      </w:r>
      <w:r>
        <w:rPr>
          <w:rFonts w:ascii="Arial" w:cs="Arial" w:eastAsia="Arial" w:hAnsi="Arial"/>
          <w:sz w:val="16"/>
          <w:szCs w:val="16"/>
          <w:color w:val="auto"/>
        </w:rPr>
        <w:t xml:space="preserve"> and </w:t>
      </w:r>
      <w:r>
        <w:rPr>
          <w:rFonts w:ascii="Arial" w:cs="Arial" w:eastAsia="Arial" w:hAnsi="Arial"/>
          <w:sz w:val="16"/>
          <w:szCs w:val="16"/>
          <w:b w:val="1"/>
          <w:bCs w:val="1"/>
          <w:color w:val="auto"/>
        </w:rPr>
        <w:t>YTD</w:t>
      </w:r>
      <w:r>
        <w:rPr>
          <w:rFonts w:ascii="Arial" w:cs="Arial" w:eastAsia="Arial" w:hAnsi="Arial"/>
          <w:sz w:val="16"/>
          <w:szCs w:val="16"/>
          <w:color w:val="auto"/>
        </w:rPr>
        <w:t xml:space="preserve"> analysis,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drove the improvement in performance through an uptick in fees for obligatory insurance policies, which rose alongside growth in disbursements. This evolution was partially attenuated by </w:t>
      </w:r>
      <w:r>
        <w:rPr>
          <w:rFonts w:ascii="Arial" w:cs="Arial" w:eastAsia="Arial" w:hAnsi="Arial"/>
          <w:sz w:val="16"/>
          <w:szCs w:val="16"/>
          <w:b w:val="1"/>
          <w:bCs w:val="1"/>
          <w:color w:val="auto"/>
        </w:rPr>
        <w:t>BCP</w:t>
      </w:r>
      <w:r>
        <w:rPr>
          <w:rFonts w:ascii="Arial" w:cs="Arial" w:eastAsia="Arial" w:hAnsi="Arial"/>
          <w:sz w:val="16"/>
          <w:szCs w:val="16"/>
          <w:color w:val="auto"/>
        </w:rPr>
        <w:t xml:space="preserve"> </w:t>
      </w:r>
      <w:r>
        <w:rPr>
          <w:rFonts w:ascii="Arial" w:cs="Arial" w:eastAsia="Arial" w:hAnsi="Arial"/>
          <w:sz w:val="16"/>
          <w:szCs w:val="16"/>
          <w:b w:val="1"/>
          <w:bCs w:val="1"/>
          <w:color w:val="auto"/>
        </w:rPr>
        <w:t>Bolivia</w:t>
      </w:r>
      <w:r>
        <w:rPr>
          <w:rFonts w:ascii="Arial" w:cs="Arial" w:eastAsia="Arial" w:hAnsi="Arial"/>
          <w:sz w:val="16"/>
          <w:szCs w:val="16"/>
          <w:color w:val="auto"/>
        </w:rPr>
        <w:t>, which reported a drop in the transactions volume of cards in USD.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 Income at BCP Stand-alone</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Composition of Fee Income at BCP Stand-alone (*)</w:t>
      </w:r>
    </w:p>
    <w:p>
      <w:pPr>
        <w:spacing w:after="0" w:line="117"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20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BCP Stand-alone Fees (*)</w:t>
            </w:r>
          </w:p>
        </w:tc>
        <w:tc>
          <w:tcPr>
            <w:tcW w:w="940" w:type="dxa"/>
            <w:vAlign w:val="bottom"/>
            <w:tcBorders>
              <w:top w:val="single" w:sz="8" w:color="auto"/>
            </w:tcBorders>
            <w:shd w:val="clear" w:color="auto" w:fill="33CCCC"/>
          </w:tcPr>
          <w:p>
            <w:pPr>
              <w:spacing w:after="0"/>
              <w:rPr>
                <w:sz w:val="12"/>
                <w:szCs w:val="12"/>
                <w:color w:val="auto"/>
              </w:rPr>
            </w:pPr>
          </w:p>
        </w:tc>
        <w:tc>
          <w:tcPr>
            <w:tcW w:w="1040" w:type="dxa"/>
            <w:vAlign w:val="bottom"/>
            <w:tcBorders>
              <w:top w:val="single" w:sz="8" w:color="auto"/>
            </w:tcBorders>
            <w:shd w:val="clear" w:color="auto" w:fill="33CCCC"/>
          </w:tcPr>
          <w:p>
            <w:pPr>
              <w:ind w:left="340"/>
              <w:spacing w:after="0"/>
              <w:rPr>
                <w:sz w:val="20"/>
                <w:szCs w:val="20"/>
                <w:color w:val="auto"/>
              </w:rPr>
            </w:pPr>
            <w:r>
              <w:rPr>
                <w:rFonts w:ascii="Arial" w:cs="Arial" w:eastAsia="Arial" w:hAnsi="Arial"/>
                <w:sz w:val="11"/>
                <w:szCs w:val="11"/>
                <w:b w:val="1"/>
                <w:bCs w:val="1"/>
                <w:color w:val="FFFFFF"/>
              </w:rPr>
              <w:t>Quarter</w:t>
            </w:r>
          </w:p>
        </w:tc>
        <w:tc>
          <w:tcPr>
            <w:tcW w:w="980" w:type="dxa"/>
            <w:vAlign w:val="bottom"/>
            <w:tcBorders>
              <w:top w:val="single" w:sz="8" w:color="auto"/>
              <w:right w:val="single" w:sz="8" w:color="auto"/>
            </w:tcBorders>
            <w:shd w:val="clear" w:color="auto" w:fill="33CCCC"/>
          </w:tcPr>
          <w:p>
            <w:pPr>
              <w:spacing w:after="0"/>
              <w:rPr>
                <w:sz w:val="12"/>
                <w:szCs w:val="12"/>
                <w:color w:val="auto"/>
              </w:rPr>
            </w:pPr>
          </w:p>
        </w:tc>
        <w:tc>
          <w:tcPr>
            <w:tcW w:w="1460" w:type="dxa"/>
            <w:vAlign w:val="bottom"/>
            <w:tcBorders>
              <w:top w:val="single" w:sz="8" w:color="auto"/>
              <w:right w:val="single" w:sz="8" w:color="auto"/>
            </w:tcBorders>
            <w:gridSpan w:val="2"/>
            <w:shd w:val="clear" w:color="auto" w:fill="33CCCC"/>
          </w:tcPr>
          <w:p>
            <w:pPr>
              <w:ind w:left="460"/>
              <w:spacing w:after="0"/>
              <w:rPr>
                <w:sz w:val="20"/>
                <w:szCs w:val="20"/>
                <w:color w:val="auto"/>
              </w:rPr>
            </w:pPr>
            <w:r>
              <w:rPr>
                <w:rFonts w:ascii="Arial" w:cs="Arial" w:eastAsia="Arial" w:hAnsi="Arial"/>
                <w:sz w:val="11"/>
                <w:szCs w:val="11"/>
                <w:b w:val="1"/>
                <w:bCs w:val="1"/>
                <w:color w:val="FFFFFF"/>
              </w:rPr>
              <w:t>% Change</w:t>
            </w:r>
          </w:p>
        </w:tc>
        <w:tc>
          <w:tcPr>
            <w:tcW w:w="720" w:type="dxa"/>
            <w:vAlign w:val="bottom"/>
            <w:tcBorders>
              <w:top w:val="single" w:sz="8" w:color="auto"/>
            </w:tcBorders>
            <w:shd w:val="clear" w:color="auto" w:fill="33CCCC"/>
          </w:tcPr>
          <w:p>
            <w:pPr>
              <w:spacing w:after="0"/>
              <w:rPr>
                <w:sz w:val="12"/>
                <w:szCs w:val="12"/>
                <w:color w:val="auto"/>
              </w:rPr>
            </w:pPr>
          </w:p>
        </w:tc>
        <w:tc>
          <w:tcPr>
            <w:tcW w:w="1180" w:type="dxa"/>
            <w:vAlign w:val="bottom"/>
            <w:tcBorders>
              <w:top w:val="single" w:sz="8" w:color="auto"/>
              <w:right w:val="single" w:sz="8" w:color="auto"/>
            </w:tcBorders>
            <w:shd w:val="clear" w:color="auto" w:fill="33CCCC"/>
          </w:tcPr>
          <w:p>
            <w:pPr>
              <w:ind w:left="80"/>
              <w:spacing w:after="0"/>
              <w:rPr>
                <w:sz w:val="20"/>
                <w:szCs w:val="20"/>
                <w:color w:val="auto"/>
              </w:rPr>
            </w:pPr>
            <w:r>
              <w:rPr>
                <w:rFonts w:ascii="Arial" w:cs="Arial" w:eastAsia="Arial" w:hAnsi="Arial"/>
                <w:sz w:val="11"/>
                <w:szCs w:val="11"/>
                <w:b w:val="1"/>
                <w:bCs w:val="1"/>
                <w:color w:val="FFFFFF"/>
              </w:rPr>
              <w:t>Up to</w:t>
            </w:r>
          </w:p>
        </w:tc>
        <w:tc>
          <w:tcPr>
            <w:tcW w:w="10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 change</w:t>
            </w:r>
          </w:p>
        </w:tc>
      </w:tr>
      <w:tr>
        <w:trPr>
          <w:trHeight w:val="132"/>
        </w:trPr>
        <w:tc>
          <w:tcPr>
            <w:tcW w:w="320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(S/ 000,000)</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3Q24</w:t>
            </w:r>
          </w:p>
        </w:tc>
        <w:tc>
          <w:tcPr>
            <w:tcW w:w="10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2Q25</w:t>
            </w:r>
          </w:p>
        </w:tc>
        <w:tc>
          <w:tcPr>
            <w:tcW w:w="9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3Q25</w:t>
            </w:r>
          </w:p>
        </w:tc>
        <w:tc>
          <w:tcPr>
            <w:tcW w:w="720" w:type="dxa"/>
            <w:vAlign w:val="bottom"/>
            <w:tcBorders>
              <w:bottom w:val="single" w:sz="8" w:color="auto"/>
            </w:tcBorders>
            <w:shd w:val="clear" w:color="auto" w:fill="33CCCC"/>
          </w:tcPr>
          <w:p>
            <w:pPr>
              <w:ind w:left="240"/>
              <w:spacing w:after="0"/>
              <w:rPr>
                <w:sz w:val="20"/>
                <w:szCs w:val="20"/>
                <w:color w:val="auto"/>
              </w:rPr>
            </w:pPr>
            <w:r>
              <w:rPr>
                <w:rFonts w:ascii="Arial" w:cs="Arial" w:eastAsia="Arial" w:hAnsi="Arial"/>
                <w:sz w:val="11"/>
                <w:szCs w:val="11"/>
                <w:b w:val="1"/>
                <w:bCs w:val="1"/>
                <w:color w:val="FFFFFF"/>
              </w:rPr>
              <w:t>QoQ</w:t>
            </w:r>
          </w:p>
        </w:tc>
        <w:tc>
          <w:tcPr>
            <w:tcW w:w="740" w:type="dxa"/>
            <w:vAlign w:val="bottom"/>
            <w:tcBorders>
              <w:bottom w:val="single" w:sz="8" w:color="auto"/>
              <w:right w:val="single" w:sz="8" w:color="auto"/>
            </w:tcBorders>
            <w:shd w:val="clear" w:color="auto" w:fill="33CCCC"/>
          </w:tcPr>
          <w:p>
            <w:pPr>
              <w:ind w:left="260"/>
              <w:spacing w:after="0"/>
              <w:rPr>
                <w:sz w:val="20"/>
                <w:szCs w:val="20"/>
                <w:color w:val="auto"/>
              </w:rPr>
            </w:pPr>
            <w:r>
              <w:rPr>
                <w:rFonts w:ascii="Arial" w:cs="Arial" w:eastAsia="Arial" w:hAnsi="Arial"/>
                <w:sz w:val="11"/>
                <w:szCs w:val="11"/>
                <w:b w:val="1"/>
                <w:bCs w:val="1"/>
                <w:color w:val="FFFFFF"/>
              </w:rPr>
              <w:t>YoY</w:t>
            </w:r>
          </w:p>
        </w:tc>
        <w:tc>
          <w:tcPr>
            <w:tcW w:w="720" w:type="dxa"/>
            <w:vAlign w:val="bottom"/>
            <w:tcBorders>
              <w:bottom w:val="single" w:sz="8" w:color="auto"/>
            </w:tcBorders>
            <w:shd w:val="clear" w:color="auto" w:fill="33CCCC"/>
          </w:tcPr>
          <w:p>
            <w:pPr>
              <w:ind w:left="300"/>
              <w:spacing w:after="0"/>
              <w:rPr>
                <w:sz w:val="20"/>
                <w:szCs w:val="20"/>
                <w:color w:val="auto"/>
              </w:rPr>
            </w:pPr>
            <w:r>
              <w:rPr>
                <w:rFonts w:ascii="Arial" w:cs="Arial" w:eastAsia="Arial" w:hAnsi="Arial"/>
                <w:sz w:val="11"/>
                <w:szCs w:val="11"/>
                <w:b w:val="1"/>
                <w:bCs w:val="1"/>
                <w:color w:val="FFFFFF"/>
              </w:rPr>
              <w:t>Sep 24</w:t>
            </w:r>
          </w:p>
        </w:tc>
        <w:tc>
          <w:tcPr>
            <w:tcW w:w="1180" w:type="dxa"/>
            <w:vAlign w:val="bottom"/>
            <w:tcBorders>
              <w:bottom w:val="single" w:sz="8" w:color="auto"/>
              <w:right w:val="single" w:sz="8" w:color="auto"/>
            </w:tcBorders>
            <w:shd w:val="clear" w:color="auto" w:fill="33CCCC"/>
          </w:tcPr>
          <w:p>
            <w:pPr>
              <w:ind w:left="520"/>
              <w:spacing w:after="0"/>
              <w:rPr>
                <w:sz w:val="20"/>
                <w:szCs w:val="20"/>
                <w:color w:val="auto"/>
              </w:rPr>
            </w:pPr>
            <w:r>
              <w:rPr>
                <w:rFonts w:ascii="Arial" w:cs="Arial" w:eastAsia="Arial" w:hAnsi="Arial"/>
                <w:sz w:val="11"/>
                <w:szCs w:val="11"/>
                <w:b w:val="1"/>
                <w:bCs w:val="1"/>
                <w:color w:val="FFFFFF"/>
              </w:rPr>
              <w:t>Sep 25</w:t>
            </w:r>
          </w:p>
        </w:tc>
        <w:tc>
          <w:tcPr>
            <w:tcW w:w="10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Sep 25 / Sep 24</w:t>
            </w:r>
          </w:p>
        </w:tc>
      </w:tr>
      <w:tr>
        <w:trPr>
          <w:trHeight w:val="137"/>
        </w:trPr>
        <w:tc>
          <w:tcPr>
            <w:tcW w:w="3200" w:type="dxa"/>
            <w:vAlign w:val="bottom"/>
            <w:tcBorders>
              <w:left w:val="single" w:sz="8" w:color="auto"/>
              <w:right w:val="single" w:sz="8" w:color="auto"/>
            </w:tcBorders>
          </w:tcPr>
          <w:p>
            <w:pPr>
              <w:ind w:left="20"/>
              <w:spacing w:after="0" w:line="137" w:lineRule="exact"/>
              <w:rPr>
                <w:sz w:val="20"/>
                <w:szCs w:val="20"/>
                <w:color w:val="auto"/>
              </w:rPr>
            </w:pPr>
            <w:r>
              <w:rPr>
                <w:rFonts w:ascii="Arial" w:cs="Arial" w:eastAsia="Arial" w:hAnsi="Arial"/>
                <w:sz w:val="9"/>
                <w:szCs w:val="9"/>
                <w:color w:val="auto"/>
              </w:rPr>
              <w:t xml:space="preserve">Payments and transactional services </w:t>
            </w:r>
            <w:r>
              <w:rPr>
                <w:rFonts w:ascii="Arial" w:cs="Arial" w:eastAsia="Arial" w:hAnsi="Arial"/>
                <w:sz w:val="15"/>
                <w:szCs w:val="15"/>
                <w:color w:val="auto"/>
                <w:vertAlign w:val="superscript"/>
              </w:rPr>
              <w:t>(1)</w:t>
            </w:r>
          </w:p>
        </w:tc>
        <w:tc>
          <w:tcPr>
            <w:tcW w:w="940" w:type="dxa"/>
            <w:vAlign w:val="bottom"/>
          </w:tcPr>
          <w:p>
            <w:pPr>
              <w:jc w:val="center"/>
              <w:spacing w:after="0" w:line="137" w:lineRule="exact"/>
              <w:rPr>
                <w:sz w:val="20"/>
                <w:szCs w:val="20"/>
                <w:color w:val="auto"/>
              </w:rPr>
            </w:pPr>
            <w:r>
              <w:rPr>
                <w:rFonts w:ascii="Arial" w:cs="Arial" w:eastAsia="Arial" w:hAnsi="Arial"/>
                <w:sz w:val="13"/>
                <w:szCs w:val="13"/>
                <w:color w:val="auto"/>
              </w:rPr>
              <w:t>300</w:t>
            </w:r>
          </w:p>
        </w:tc>
        <w:tc>
          <w:tcPr>
            <w:tcW w:w="1040" w:type="dxa"/>
            <w:vAlign w:val="bottom"/>
          </w:tcPr>
          <w:p>
            <w:pPr>
              <w:jc w:val="center"/>
              <w:spacing w:after="0" w:line="137" w:lineRule="exact"/>
              <w:rPr>
                <w:sz w:val="20"/>
                <w:szCs w:val="20"/>
                <w:color w:val="auto"/>
              </w:rPr>
            </w:pPr>
            <w:r>
              <w:rPr>
                <w:rFonts w:ascii="Arial" w:cs="Arial" w:eastAsia="Arial" w:hAnsi="Arial"/>
                <w:sz w:val="13"/>
                <w:szCs w:val="13"/>
                <w:color w:val="auto"/>
              </w:rPr>
              <w:t>287</w:t>
            </w:r>
          </w:p>
        </w:tc>
        <w:tc>
          <w:tcPr>
            <w:tcW w:w="9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rPr>
              <w:t>270</w:t>
            </w:r>
          </w:p>
        </w:tc>
        <w:tc>
          <w:tcPr>
            <w:tcW w:w="720" w:type="dxa"/>
            <w:vAlign w:val="bottom"/>
          </w:tcPr>
          <w:p>
            <w:pPr>
              <w:jc w:val="center"/>
              <w:spacing w:after="0" w:line="137" w:lineRule="exact"/>
              <w:rPr>
                <w:sz w:val="20"/>
                <w:szCs w:val="20"/>
                <w:color w:val="auto"/>
              </w:rPr>
            </w:pPr>
            <w:r>
              <w:rPr>
                <w:rFonts w:ascii="Arial" w:cs="Arial" w:eastAsia="Arial" w:hAnsi="Arial"/>
                <w:sz w:val="13"/>
                <w:szCs w:val="13"/>
                <w:color w:val="auto"/>
                <w:w w:val="99"/>
              </w:rPr>
              <w:t>-5.7%</w:t>
            </w:r>
          </w:p>
        </w:tc>
        <w:tc>
          <w:tcPr>
            <w:tcW w:w="7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w w:val="99"/>
              </w:rPr>
              <w:t>-9.9%</w:t>
            </w:r>
          </w:p>
        </w:tc>
        <w:tc>
          <w:tcPr>
            <w:tcW w:w="720" w:type="dxa"/>
            <w:vAlign w:val="bottom"/>
          </w:tcPr>
          <w:p>
            <w:pPr>
              <w:jc w:val="center"/>
              <w:ind w:left="155"/>
              <w:spacing w:after="0" w:line="137" w:lineRule="exact"/>
              <w:rPr>
                <w:sz w:val="20"/>
                <w:szCs w:val="20"/>
                <w:color w:val="auto"/>
              </w:rPr>
            </w:pPr>
            <w:r>
              <w:rPr>
                <w:rFonts w:ascii="Arial" w:cs="Arial" w:eastAsia="Arial" w:hAnsi="Arial"/>
                <w:sz w:val="13"/>
                <w:szCs w:val="13"/>
                <w:color w:val="auto"/>
              </w:rPr>
              <w:t>835</w:t>
            </w:r>
          </w:p>
        </w:tc>
        <w:tc>
          <w:tcPr>
            <w:tcW w:w="1180" w:type="dxa"/>
            <w:vAlign w:val="bottom"/>
            <w:tcBorders>
              <w:right w:val="single" w:sz="8" w:color="auto"/>
            </w:tcBorders>
          </w:tcPr>
          <w:p>
            <w:pPr>
              <w:jc w:val="center"/>
              <w:ind w:left="136"/>
              <w:spacing w:after="0" w:line="137" w:lineRule="exact"/>
              <w:rPr>
                <w:sz w:val="20"/>
                <w:szCs w:val="20"/>
                <w:color w:val="auto"/>
              </w:rPr>
            </w:pPr>
            <w:r>
              <w:rPr>
                <w:rFonts w:ascii="Arial" w:cs="Arial" w:eastAsia="Arial" w:hAnsi="Arial"/>
                <w:sz w:val="13"/>
                <w:szCs w:val="13"/>
                <w:color w:val="auto"/>
              </w:rPr>
              <w:t>840</w:t>
            </w:r>
          </w:p>
        </w:tc>
        <w:tc>
          <w:tcPr>
            <w:tcW w:w="10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rPr>
              <w:t>0.6%</w:t>
            </w:r>
          </w:p>
        </w:tc>
      </w:tr>
      <w:tr>
        <w:trPr>
          <w:trHeight w:val="156"/>
        </w:trPr>
        <w:tc>
          <w:tcPr>
            <w:tcW w:w="3200" w:type="dxa"/>
            <w:vAlign w:val="bottom"/>
            <w:tcBorders>
              <w:left w:val="single" w:sz="8" w:color="auto"/>
              <w:right w:val="single" w:sz="8" w:color="auto"/>
            </w:tcBorders>
          </w:tcPr>
          <w:p>
            <w:pPr>
              <w:ind w:left="20"/>
              <w:spacing w:after="0" w:line="156" w:lineRule="exact"/>
              <w:rPr>
                <w:sz w:val="20"/>
                <w:szCs w:val="20"/>
                <w:color w:val="auto"/>
              </w:rPr>
            </w:pPr>
            <w:r>
              <w:rPr>
                <w:rFonts w:ascii="Arial" w:cs="Arial" w:eastAsia="Arial" w:hAnsi="Arial"/>
                <w:sz w:val="10"/>
                <w:szCs w:val="10"/>
                <w:color w:val="auto"/>
              </w:rPr>
              <w:t xml:space="preserve">Yape </w:t>
            </w:r>
            <w:r>
              <w:rPr>
                <w:rFonts w:ascii="Arial" w:cs="Arial" w:eastAsia="Arial" w:hAnsi="Arial"/>
                <w:sz w:val="18"/>
                <w:szCs w:val="18"/>
                <w:color w:val="auto"/>
                <w:vertAlign w:val="superscript"/>
              </w:rPr>
              <w:t>(2)</w:t>
            </w:r>
          </w:p>
        </w:tc>
        <w:tc>
          <w:tcPr>
            <w:tcW w:w="940" w:type="dxa"/>
            <w:vAlign w:val="bottom"/>
          </w:tcPr>
          <w:p>
            <w:pPr>
              <w:jc w:val="center"/>
              <w:spacing w:after="0"/>
              <w:rPr>
                <w:sz w:val="20"/>
                <w:szCs w:val="20"/>
                <w:color w:val="auto"/>
              </w:rPr>
            </w:pPr>
            <w:r>
              <w:rPr>
                <w:rFonts w:ascii="Arial" w:cs="Arial" w:eastAsia="Arial" w:hAnsi="Arial"/>
                <w:sz w:val="13"/>
                <w:szCs w:val="13"/>
                <w:color w:val="auto"/>
              </w:rPr>
              <w:t>94</w:t>
            </w:r>
          </w:p>
        </w:tc>
        <w:tc>
          <w:tcPr>
            <w:tcW w:w="1040" w:type="dxa"/>
            <w:vAlign w:val="bottom"/>
          </w:tcPr>
          <w:p>
            <w:pPr>
              <w:jc w:val="center"/>
              <w:spacing w:after="0"/>
              <w:rPr>
                <w:sz w:val="20"/>
                <w:szCs w:val="20"/>
                <w:color w:val="auto"/>
              </w:rPr>
            </w:pPr>
            <w:r>
              <w:rPr>
                <w:rFonts w:ascii="Arial" w:cs="Arial" w:eastAsia="Arial" w:hAnsi="Arial"/>
                <w:sz w:val="13"/>
                <w:szCs w:val="13"/>
                <w:color w:val="auto"/>
              </w:rPr>
              <w:t>132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165</w:t>
            </w:r>
          </w:p>
        </w:tc>
        <w:tc>
          <w:tcPr>
            <w:tcW w:w="720" w:type="dxa"/>
            <w:vAlign w:val="bottom"/>
          </w:tcPr>
          <w:p>
            <w:pPr>
              <w:jc w:val="center"/>
              <w:spacing w:after="0"/>
              <w:rPr>
                <w:sz w:val="20"/>
                <w:szCs w:val="20"/>
                <w:color w:val="auto"/>
              </w:rPr>
            </w:pPr>
            <w:r>
              <w:rPr>
                <w:rFonts w:ascii="Arial" w:cs="Arial" w:eastAsia="Arial" w:hAnsi="Arial"/>
                <w:sz w:val="13"/>
                <w:szCs w:val="13"/>
                <w:color w:val="auto"/>
              </w:rPr>
              <w:t>25.3%</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74.6%</w:t>
            </w:r>
          </w:p>
        </w:tc>
        <w:tc>
          <w:tcPr>
            <w:tcW w:w="720" w:type="dxa"/>
            <w:vAlign w:val="bottom"/>
          </w:tcPr>
          <w:p>
            <w:pPr>
              <w:jc w:val="center"/>
              <w:ind w:left="155"/>
              <w:spacing w:after="0"/>
              <w:rPr>
                <w:sz w:val="20"/>
                <w:szCs w:val="20"/>
                <w:color w:val="auto"/>
              </w:rPr>
            </w:pPr>
            <w:r>
              <w:rPr>
                <w:rFonts w:ascii="Arial" w:cs="Arial" w:eastAsia="Arial" w:hAnsi="Arial"/>
                <w:sz w:val="13"/>
                <w:szCs w:val="13"/>
                <w:color w:val="auto"/>
              </w:rPr>
              <w:t>218</w:t>
            </w:r>
          </w:p>
        </w:tc>
        <w:tc>
          <w:tcPr>
            <w:tcW w:w="1180" w:type="dxa"/>
            <w:vAlign w:val="bottom"/>
            <w:tcBorders>
              <w:right w:val="single" w:sz="8" w:color="auto"/>
            </w:tcBorders>
          </w:tcPr>
          <w:p>
            <w:pPr>
              <w:jc w:val="center"/>
              <w:ind w:left="136"/>
              <w:spacing w:after="0"/>
              <w:rPr>
                <w:sz w:val="20"/>
                <w:szCs w:val="20"/>
                <w:color w:val="auto"/>
              </w:rPr>
            </w:pPr>
            <w:r>
              <w:rPr>
                <w:rFonts w:ascii="Arial" w:cs="Arial" w:eastAsia="Arial" w:hAnsi="Arial"/>
                <w:sz w:val="13"/>
                <w:szCs w:val="13"/>
                <w:color w:val="auto"/>
              </w:rPr>
              <w:t>417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91.2%</w:t>
            </w:r>
          </w:p>
        </w:tc>
      </w:tr>
      <w:tr>
        <w:trPr>
          <w:trHeight w:val="156"/>
        </w:trPr>
        <w:tc>
          <w:tcPr>
            <w:tcW w:w="3200" w:type="dxa"/>
            <w:vAlign w:val="bottom"/>
            <w:tcBorders>
              <w:left w:val="single" w:sz="8" w:color="auto"/>
              <w:right w:val="single" w:sz="8" w:color="auto"/>
            </w:tcBorders>
          </w:tcPr>
          <w:p>
            <w:pPr>
              <w:ind w:left="20"/>
              <w:spacing w:after="0" w:line="156" w:lineRule="exact"/>
              <w:rPr>
                <w:sz w:val="20"/>
                <w:szCs w:val="20"/>
                <w:color w:val="auto"/>
              </w:rPr>
            </w:pPr>
            <w:r>
              <w:rPr>
                <w:rFonts w:ascii="Arial" w:cs="Arial" w:eastAsia="Arial" w:hAnsi="Arial"/>
                <w:sz w:val="10"/>
                <w:szCs w:val="10"/>
                <w:color w:val="auto"/>
              </w:rPr>
              <w:t xml:space="preserve">Liability and Transactional Accounts </w:t>
            </w:r>
            <w:r>
              <w:rPr>
                <w:rFonts w:ascii="Arial" w:cs="Arial" w:eastAsia="Arial" w:hAnsi="Arial"/>
                <w:sz w:val="18"/>
                <w:szCs w:val="18"/>
                <w:color w:val="auto"/>
                <w:vertAlign w:val="superscript"/>
              </w:rPr>
              <w:t>(3)</w:t>
            </w:r>
          </w:p>
        </w:tc>
        <w:tc>
          <w:tcPr>
            <w:tcW w:w="940" w:type="dxa"/>
            <w:vAlign w:val="bottom"/>
          </w:tcPr>
          <w:p>
            <w:pPr>
              <w:jc w:val="center"/>
              <w:spacing w:after="0"/>
              <w:rPr>
                <w:sz w:val="20"/>
                <w:szCs w:val="20"/>
                <w:color w:val="auto"/>
              </w:rPr>
            </w:pPr>
            <w:r>
              <w:rPr>
                <w:rFonts w:ascii="Arial" w:cs="Arial" w:eastAsia="Arial" w:hAnsi="Arial"/>
                <w:sz w:val="13"/>
                <w:szCs w:val="13"/>
                <w:color w:val="auto"/>
              </w:rPr>
              <w:t>198</w:t>
            </w:r>
          </w:p>
        </w:tc>
        <w:tc>
          <w:tcPr>
            <w:tcW w:w="1040" w:type="dxa"/>
            <w:vAlign w:val="bottom"/>
          </w:tcPr>
          <w:p>
            <w:pPr>
              <w:jc w:val="center"/>
              <w:spacing w:after="0"/>
              <w:rPr>
                <w:sz w:val="20"/>
                <w:szCs w:val="20"/>
                <w:color w:val="auto"/>
              </w:rPr>
            </w:pPr>
            <w:r>
              <w:rPr>
                <w:rFonts w:ascii="Arial" w:cs="Arial" w:eastAsia="Arial" w:hAnsi="Arial"/>
                <w:sz w:val="13"/>
                <w:szCs w:val="13"/>
                <w:color w:val="auto"/>
              </w:rPr>
              <w:t>201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204</w:t>
            </w:r>
          </w:p>
        </w:tc>
        <w:tc>
          <w:tcPr>
            <w:tcW w:w="720" w:type="dxa"/>
            <w:vAlign w:val="bottom"/>
          </w:tcPr>
          <w:p>
            <w:pPr>
              <w:jc w:val="center"/>
              <w:spacing w:after="0"/>
              <w:rPr>
                <w:sz w:val="20"/>
                <w:szCs w:val="20"/>
                <w:color w:val="auto"/>
              </w:rPr>
            </w:pPr>
            <w:r>
              <w:rPr>
                <w:rFonts w:ascii="Arial" w:cs="Arial" w:eastAsia="Arial" w:hAnsi="Arial"/>
                <w:sz w:val="13"/>
                <w:szCs w:val="13"/>
                <w:color w:val="auto"/>
              </w:rPr>
              <w:t>1.7%</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3.2%</w:t>
            </w:r>
          </w:p>
        </w:tc>
        <w:tc>
          <w:tcPr>
            <w:tcW w:w="720" w:type="dxa"/>
            <w:vAlign w:val="bottom"/>
          </w:tcPr>
          <w:p>
            <w:pPr>
              <w:jc w:val="center"/>
              <w:ind w:left="155"/>
              <w:spacing w:after="0"/>
              <w:rPr>
                <w:sz w:val="20"/>
                <w:szCs w:val="20"/>
                <w:color w:val="auto"/>
              </w:rPr>
            </w:pPr>
            <w:r>
              <w:rPr>
                <w:rFonts w:ascii="Arial" w:cs="Arial" w:eastAsia="Arial" w:hAnsi="Arial"/>
                <w:sz w:val="13"/>
                <w:szCs w:val="13"/>
                <w:color w:val="auto"/>
              </w:rPr>
              <w:t>567</w:t>
            </w:r>
          </w:p>
        </w:tc>
        <w:tc>
          <w:tcPr>
            <w:tcW w:w="1180" w:type="dxa"/>
            <w:vAlign w:val="bottom"/>
            <w:tcBorders>
              <w:right w:val="single" w:sz="8" w:color="auto"/>
            </w:tcBorders>
          </w:tcPr>
          <w:p>
            <w:pPr>
              <w:jc w:val="center"/>
              <w:ind w:left="136"/>
              <w:spacing w:after="0"/>
              <w:rPr>
                <w:sz w:val="20"/>
                <w:szCs w:val="20"/>
                <w:color w:val="auto"/>
              </w:rPr>
            </w:pPr>
            <w:r>
              <w:rPr>
                <w:rFonts w:ascii="Arial" w:cs="Arial" w:eastAsia="Arial" w:hAnsi="Arial"/>
                <w:sz w:val="13"/>
                <w:szCs w:val="13"/>
                <w:color w:val="auto"/>
              </w:rPr>
              <w:t>602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6.1%</w:t>
            </w:r>
          </w:p>
        </w:tc>
      </w:tr>
      <w:tr>
        <w:trPr>
          <w:trHeight w:val="156"/>
        </w:trPr>
        <w:tc>
          <w:tcPr>
            <w:tcW w:w="3200" w:type="dxa"/>
            <w:vAlign w:val="bottom"/>
            <w:tcBorders>
              <w:left w:val="single" w:sz="8" w:color="auto"/>
              <w:right w:val="single" w:sz="8" w:color="auto"/>
            </w:tcBorders>
          </w:tcPr>
          <w:p>
            <w:pPr>
              <w:ind w:left="20"/>
              <w:spacing w:after="0" w:line="156" w:lineRule="exact"/>
              <w:rPr>
                <w:sz w:val="20"/>
                <w:szCs w:val="20"/>
                <w:color w:val="auto"/>
              </w:rPr>
            </w:pPr>
            <w:r>
              <w:rPr>
                <w:rFonts w:ascii="Arial" w:cs="Arial" w:eastAsia="Arial" w:hAnsi="Arial"/>
                <w:sz w:val="10"/>
                <w:szCs w:val="10"/>
                <w:color w:val="auto"/>
              </w:rPr>
              <w:t xml:space="preserve">Loan Disbursement </w:t>
            </w:r>
            <w:r>
              <w:rPr>
                <w:rFonts w:ascii="Arial" w:cs="Arial" w:eastAsia="Arial" w:hAnsi="Arial"/>
                <w:sz w:val="18"/>
                <w:szCs w:val="18"/>
                <w:color w:val="auto"/>
                <w:vertAlign w:val="superscript"/>
              </w:rPr>
              <w:t>(4)</w:t>
            </w:r>
          </w:p>
        </w:tc>
        <w:tc>
          <w:tcPr>
            <w:tcW w:w="940" w:type="dxa"/>
            <w:vAlign w:val="bottom"/>
          </w:tcPr>
          <w:p>
            <w:pPr>
              <w:jc w:val="center"/>
              <w:spacing w:after="0"/>
              <w:rPr>
                <w:sz w:val="20"/>
                <w:szCs w:val="20"/>
                <w:color w:val="auto"/>
              </w:rPr>
            </w:pPr>
            <w:r>
              <w:rPr>
                <w:rFonts w:ascii="Arial" w:cs="Arial" w:eastAsia="Arial" w:hAnsi="Arial"/>
                <w:sz w:val="13"/>
                <w:szCs w:val="13"/>
                <w:color w:val="auto"/>
              </w:rPr>
              <w:t>96</w:t>
            </w:r>
          </w:p>
        </w:tc>
        <w:tc>
          <w:tcPr>
            <w:tcW w:w="1040" w:type="dxa"/>
            <w:vAlign w:val="bottom"/>
          </w:tcPr>
          <w:p>
            <w:pPr>
              <w:jc w:val="center"/>
              <w:spacing w:after="0"/>
              <w:rPr>
                <w:sz w:val="20"/>
                <w:szCs w:val="20"/>
                <w:color w:val="auto"/>
              </w:rPr>
            </w:pPr>
            <w:r>
              <w:rPr>
                <w:rFonts w:ascii="Arial" w:cs="Arial" w:eastAsia="Arial" w:hAnsi="Arial"/>
                <w:sz w:val="13"/>
                <w:szCs w:val="13"/>
                <w:color w:val="auto"/>
              </w:rPr>
              <w:t>104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103</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-1.1%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7.1%</w:t>
            </w:r>
          </w:p>
        </w:tc>
        <w:tc>
          <w:tcPr>
            <w:tcW w:w="720" w:type="dxa"/>
            <w:vAlign w:val="bottom"/>
          </w:tcPr>
          <w:p>
            <w:pPr>
              <w:jc w:val="center"/>
              <w:ind w:left="155"/>
              <w:spacing w:after="0"/>
              <w:rPr>
                <w:sz w:val="20"/>
                <w:szCs w:val="20"/>
                <w:color w:val="auto"/>
              </w:rPr>
            </w:pPr>
            <w:r>
              <w:rPr>
                <w:rFonts w:ascii="Arial" w:cs="Arial" w:eastAsia="Arial" w:hAnsi="Arial"/>
                <w:sz w:val="13"/>
                <w:szCs w:val="13"/>
                <w:color w:val="auto"/>
              </w:rPr>
              <w:t>287</w:t>
            </w:r>
          </w:p>
        </w:tc>
        <w:tc>
          <w:tcPr>
            <w:tcW w:w="1180" w:type="dxa"/>
            <w:vAlign w:val="bottom"/>
            <w:tcBorders>
              <w:right w:val="single" w:sz="8" w:color="auto"/>
            </w:tcBorders>
          </w:tcPr>
          <w:p>
            <w:pPr>
              <w:jc w:val="center"/>
              <w:ind w:left="136"/>
              <w:spacing w:after="0"/>
              <w:rPr>
                <w:sz w:val="20"/>
                <w:szCs w:val="20"/>
                <w:color w:val="auto"/>
              </w:rPr>
            </w:pPr>
            <w:r>
              <w:rPr>
                <w:rFonts w:ascii="Arial" w:cs="Arial" w:eastAsia="Arial" w:hAnsi="Arial"/>
                <w:sz w:val="13"/>
                <w:szCs w:val="13"/>
                <w:color w:val="auto"/>
              </w:rPr>
              <w:t>305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6.3%</w:t>
            </w:r>
          </w:p>
        </w:tc>
      </w:tr>
      <w:tr>
        <w:trPr>
          <w:trHeight w:val="156"/>
        </w:trPr>
        <w:tc>
          <w:tcPr>
            <w:tcW w:w="3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Off-balance sheet</w:t>
            </w:r>
          </w:p>
        </w:tc>
        <w:tc>
          <w:tcPr>
            <w:tcW w:w="940" w:type="dxa"/>
            <w:vAlign w:val="bottom"/>
          </w:tcPr>
          <w:p>
            <w:pPr>
              <w:jc w:val="center"/>
              <w:spacing w:after="0"/>
              <w:rPr>
                <w:sz w:val="20"/>
                <w:szCs w:val="20"/>
                <w:color w:val="auto"/>
              </w:rPr>
            </w:pPr>
            <w:r>
              <w:rPr>
                <w:rFonts w:ascii="Arial" w:cs="Arial" w:eastAsia="Arial" w:hAnsi="Arial"/>
                <w:sz w:val="13"/>
                <w:szCs w:val="13"/>
                <w:color w:val="auto"/>
              </w:rPr>
              <w:t>57</w:t>
            </w:r>
          </w:p>
        </w:tc>
        <w:tc>
          <w:tcPr>
            <w:tcW w:w="1040" w:type="dxa"/>
            <w:vAlign w:val="bottom"/>
          </w:tcPr>
          <w:p>
            <w:pPr>
              <w:jc w:val="center"/>
              <w:spacing w:after="0"/>
              <w:rPr>
                <w:sz w:val="20"/>
                <w:szCs w:val="20"/>
                <w:color w:val="auto"/>
              </w:rPr>
            </w:pPr>
            <w:r>
              <w:rPr>
                <w:rFonts w:ascii="Arial" w:cs="Arial" w:eastAsia="Arial" w:hAnsi="Arial"/>
                <w:sz w:val="13"/>
                <w:szCs w:val="13"/>
                <w:color w:val="auto"/>
              </w:rPr>
              <w:t>53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54</w:t>
            </w:r>
          </w:p>
        </w:tc>
        <w:tc>
          <w:tcPr>
            <w:tcW w:w="720" w:type="dxa"/>
            <w:vAlign w:val="bottom"/>
          </w:tcPr>
          <w:p>
            <w:pPr>
              <w:jc w:val="center"/>
              <w:spacing w:after="0"/>
              <w:rPr>
                <w:sz w:val="20"/>
                <w:szCs w:val="20"/>
                <w:color w:val="auto"/>
              </w:rPr>
            </w:pPr>
            <w:r>
              <w:rPr>
                <w:rFonts w:ascii="Arial" w:cs="Arial" w:eastAsia="Arial" w:hAnsi="Arial"/>
                <w:sz w:val="13"/>
                <w:szCs w:val="13"/>
                <w:color w:val="auto"/>
              </w:rPr>
              <w:t>1.3%</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-5.2%</w:t>
            </w:r>
          </w:p>
        </w:tc>
        <w:tc>
          <w:tcPr>
            <w:tcW w:w="720" w:type="dxa"/>
            <w:vAlign w:val="bottom"/>
          </w:tcPr>
          <w:p>
            <w:pPr>
              <w:jc w:val="center"/>
              <w:ind w:left="155"/>
              <w:spacing w:after="0"/>
              <w:rPr>
                <w:sz w:val="20"/>
                <w:szCs w:val="20"/>
                <w:color w:val="auto"/>
              </w:rPr>
            </w:pPr>
            <w:r>
              <w:rPr>
                <w:rFonts w:ascii="Arial" w:cs="Arial" w:eastAsia="Arial" w:hAnsi="Arial"/>
                <w:sz w:val="13"/>
                <w:szCs w:val="13"/>
                <w:color w:val="auto"/>
              </w:rPr>
              <w:t>169</w:t>
            </w:r>
          </w:p>
        </w:tc>
        <w:tc>
          <w:tcPr>
            <w:tcW w:w="1180" w:type="dxa"/>
            <w:vAlign w:val="bottom"/>
            <w:tcBorders>
              <w:right w:val="single" w:sz="8" w:color="auto"/>
            </w:tcBorders>
          </w:tcPr>
          <w:p>
            <w:pPr>
              <w:jc w:val="center"/>
              <w:ind w:left="136"/>
              <w:spacing w:after="0"/>
              <w:rPr>
                <w:sz w:val="20"/>
                <w:szCs w:val="20"/>
                <w:color w:val="auto"/>
              </w:rPr>
            </w:pPr>
            <w:r>
              <w:rPr>
                <w:rFonts w:ascii="Arial" w:cs="Arial" w:eastAsia="Arial" w:hAnsi="Arial"/>
                <w:sz w:val="13"/>
                <w:szCs w:val="13"/>
                <w:color w:val="auto"/>
              </w:rPr>
              <w:t>163</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-3.6%</w:t>
            </w:r>
          </w:p>
        </w:tc>
      </w:tr>
      <w:tr>
        <w:trPr>
          <w:trHeight w:val="156"/>
        </w:trPr>
        <w:tc>
          <w:tcPr>
            <w:tcW w:w="3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Insurances</w:t>
            </w:r>
          </w:p>
        </w:tc>
        <w:tc>
          <w:tcPr>
            <w:tcW w:w="940" w:type="dxa"/>
            <w:vAlign w:val="bottom"/>
          </w:tcPr>
          <w:p>
            <w:pPr>
              <w:jc w:val="center"/>
              <w:spacing w:after="0"/>
              <w:rPr>
                <w:sz w:val="20"/>
                <w:szCs w:val="20"/>
                <w:color w:val="auto"/>
              </w:rPr>
            </w:pPr>
            <w:r>
              <w:rPr>
                <w:rFonts w:ascii="Arial" w:cs="Arial" w:eastAsia="Arial" w:hAnsi="Arial"/>
                <w:sz w:val="13"/>
                <w:szCs w:val="13"/>
                <w:color w:val="auto"/>
              </w:rPr>
              <w:t>34</w:t>
            </w:r>
          </w:p>
        </w:tc>
        <w:tc>
          <w:tcPr>
            <w:tcW w:w="1040" w:type="dxa"/>
            <w:vAlign w:val="bottom"/>
          </w:tcPr>
          <w:p>
            <w:pPr>
              <w:jc w:val="center"/>
              <w:spacing w:after="0"/>
              <w:rPr>
                <w:sz w:val="20"/>
                <w:szCs w:val="20"/>
                <w:color w:val="auto"/>
              </w:rPr>
            </w:pPr>
            <w:r>
              <w:rPr>
                <w:rFonts w:ascii="Arial" w:cs="Arial" w:eastAsia="Arial" w:hAnsi="Arial"/>
                <w:sz w:val="13"/>
                <w:szCs w:val="13"/>
                <w:color w:val="auto"/>
              </w:rPr>
              <w:t>40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w:t>
            </w:r>
          </w:p>
        </w:tc>
        <w:tc>
          <w:tcPr>
            <w:tcW w:w="720" w:type="dxa"/>
            <w:vAlign w:val="bottom"/>
          </w:tcPr>
          <w:p>
            <w:pPr>
              <w:jc w:val="center"/>
              <w:spacing w:after="0"/>
              <w:rPr>
                <w:sz w:val="20"/>
                <w:szCs w:val="20"/>
                <w:color w:val="auto"/>
              </w:rPr>
            </w:pPr>
            <w:r>
              <w:rPr>
                <w:rFonts w:ascii="Arial" w:cs="Arial" w:eastAsia="Arial" w:hAnsi="Arial"/>
                <w:sz w:val="13"/>
                <w:szCs w:val="13"/>
                <w:color w:val="auto"/>
              </w:rPr>
              <w:t>-12.2%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2.4%</w:t>
            </w:r>
          </w:p>
        </w:tc>
        <w:tc>
          <w:tcPr>
            <w:tcW w:w="720" w:type="dxa"/>
            <w:vAlign w:val="bottom"/>
          </w:tcPr>
          <w:p>
            <w:pPr>
              <w:jc w:val="center"/>
              <w:ind w:left="155"/>
              <w:spacing w:after="0"/>
              <w:rPr>
                <w:sz w:val="20"/>
                <w:szCs w:val="20"/>
                <w:color w:val="auto"/>
              </w:rPr>
            </w:pPr>
            <w:r>
              <w:rPr>
                <w:rFonts w:ascii="Arial" w:cs="Arial" w:eastAsia="Arial" w:hAnsi="Arial"/>
                <w:sz w:val="13"/>
                <w:szCs w:val="13"/>
                <w:color w:val="auto"/>
              </w:rPr>
              <w:t>102</w:t>
            </w:r>
          </w:p>
        </w:tc>
        <w:tc>
          <w:tcPr>
            <w:tcW w:w="1180" w:type="dxa"/>
            <w:vAlign w:val="bottom"/>
            <w:tcBorders>
              <w:right w:val="single" w:sz="8" w:color="auto"/>
            </w:tcBorders>
          </w:tcPr>
          <w:p>
            <w:pPr>
              <w:jc w:val="center"/>
              <w:ind w:left="136"/>
              <w:spacing w:after="0"/>
              <w:rPr>
                <w:sz w:val="20"/>
                <w:szCs w:val="20"/>
                <w:color w:val="auto"/>
              </w:rPr>
            </w:pPr>
            <w:r>
              <w:rPr>
                <w:rFonts w:ascii="Arial" w:cs="Arial" w:eastAsia="Arial" w:hAnsi="Arial"/>
                <w:sz w:val="13"/>
                <w:szCs w:val="13"/>
                <w:color w:val="auto"/>
              </w:rPr>
              <w:t>122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19.7%</w:t>
            </w:r>
          </w:p>
        </w:tc>
      </w:tr>
      <w:tr>
        <w:trPr>
          <w:trHeight w:val="156"/>
        </w:trPr>
        <w:tc>
          <w:tcPr>
            <w:tcW w:w="3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Wealth Management and Corporate Finance</w:t>
            </w:r>
          </w:p>
        </w:tc>
        <w:tc>
          <w:tcPr>
            <w:tcW w:w="940" w:type="dxa"/>
            <w:vAlign w:val="bottom"/>
          </w:tcPr>
          <w:p>
            <w:pPr>
              <w:jc w:val="center"/>
              <w:spacing w:after="0"/>
              <w:rPr>
                <w:sz w:val="20"/>
                <w:szCs w:val="20"/>
                <w:color w:val="auto"/>
              </w:rPr>
            </w:pPr>
            <w:r>
              <w:rPr>
                <w:rFonts w:ascii="Arial" w:cs="Arial" w:eastAsia="Arial" w:hAnsi="Arial"/>
                <w:sz w:val="13"/>
                <w:szCs w:val="13"/>
                <w:color w:val="auto"/>
              </w:rPr>
              <w:t>13</w:t>
            </w:r>
          </w:p>
        </w:tc>
        <w:tc>
          <w:tcPr>
            <w:tcW w:w="1040" w:type="dxa"/>
            <w:vAlign w:val="bottom"/>
          </w:tcPr>
          <w:p>
            <w:pPr>
              <w:jc w:val="center"/>
              <w:spacing w:after="0"/>
              <w:rPr>
                <w:sz w:val="20"/>
                <w:szCs w:val="20"/>
                <w:color w:val="auto"/>
              </w:rPr>
            </w:pPr>
            <w:r>
              <w:rPr>
                <w:rFonts w:ascii="Arial" w:cs="Arial" w:eastAsia="Arial" w:hAnsi="Arial"/>
                <w:sz w:val="13"/>
                <w:szCs w:val="13"/>
                <w:color w:val="auto"/>
              </w:rPr>
              <w:t>20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-3.1%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51.2%</w:t>
            </w:r>
          </w:p>
        </w:tc>
        <w:tc>
          <w:tcPr>
            <w:tcW w:w="720" w:type="dxa"/>
            <w:vAlign w:val="bottom"/>
          </w:tcPr>
          <w:p>
            <w:pPr>
              <w:jc w:val="center"/>
              <w:ind w:left="155"/>
              <w:spacing w:after="0"/>
              <w:rPr>
                <w:sz w:val="20"/>
                <w:szCs w:val="20"/>
                <w:color w:val="auto"/>
              </w:rPr>
            </w:pPr>
            <w:r>
              <w:rPr>
                <w:rFonts w:ascii="Arial" w:cs="Arial" w:eastAsia="Arial" w:hAnsi="Arial"/>
                <w:sz w:val="13"/>
                <w:szCs w:val="13"/>
                <w:color w:val="auto"/>
                <w:w w:val="96"/>
              </w:rPr>
              <w:t>40</w:t>
            </w:r>
          </w:p>
        </w:tc>
        <w:tc>
          <w:tcPr>
            <w:tcW w:w="1180" w:type="dxa"/>
            <w:vAlign w:val="bottom"/>
            <w:tcBorders>
              <w:right w:val="single" w:sz="8" w:color="auto"/>
            </w:tcBorders>
          </w:tcPr>
          <w:p>
            <w:pPr>
              <w:jc w:val="center"/>
              <w:ind w:left="136"/>
              <w:spacing w:after="0"/>
              <w:rPr>
                <w:sz w:val="20"/>
                <w:szCs w:val="20"/>
                <w:color w:val="auto"/>
              </w:rPr>
            </w:pPr>
            <w:r>
              <w:rPr>
                <w:rFonts w:ascii="Arial" w:cs="Arial" w:eastAsia="Arial" w:hAnsi="Arial"/>
                <w:sz w:val="13"/>
                <w:szCs w:val="13"/>
                <w:color w:val="auto"/>
                <w:w w:val="96"/>
              </w:rPr>
              <w:t>54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35.8%</w:t>
            </w:r>
          </w:p>
        </w:tc>
      </w:tr>
      <w:tr>
        <w:trPr>
          <w:trHeight w:val="168"/>
        </w:trPr>
        <w:tc>
          <w:tcPr>
            <w:tcW w:w="3200" w:type="dxa"/>
            <w:vAlign w:val="bottom"/>
            <w:tcBorders>
              <w:left w:val="single" w:sz="8" w:color="auto"/>
              <w:bottom w:val="single" w:sz="8" w:color="auto"/>
              <w:right w:val="single" w:sz="8" w:color="auto"/>
            </w:tcBorders>
          </w:tcPr>
          <w:p>
            <w:pPr>
              <w:ind w:left="20"/>
              <w:spacing w:after="0" w:line="167" w:lineRule="exact"/>
              <w:rPr>
                <w:sz w:val="20"/>
                <w:szCs w:val="20"/>
                <w:color w:val="auto"/>
              </w:rPr>
            </w:pPr>
            <w:r>
              <w:rPr>
                <w:rFonts w:ascii="Arial" w:cs="Arial" w:eastAsia="Arial" w:hAnsi="Arial"/>
                <w:sz w:val="11"/>
                <w:szCs w:val="11"/>
                <w:color w:val="auto"/>
              </w:rPr>
              <w:t xml:space="preserve">Others </w:t>
            </w:r>
            <w:r>
              <w:rPr>
                <w:rFonts w:ascii="Arial" w:cs="Arial" w:eastAsia="Arial" w:hAnsi="Arial"/>
                <w:sz w:val="19"/>
                <w:szCs w:val="19"/>
                <w:color w:val="auto"/>
                <w:vertAlign w:val="superscript"/>
              </w:rPr>
              <w:t>(5)</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23</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27.2%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87.1%</w:t>
            </w:r>
          </w:p>
        </w:tc>
        <w:tc>
          <w:tcPr>
            <w:tcW w:w="720" w:type="dxa"/>
            <w:vAlign w:val="bottom"/>
            <w:tcBorders>
              <w:bottom w:val="single" w:sz="8" w:color="auto"/>
            </w:tcBorders>
          </w:tcPr>
          <w:p>
            <w:pPr>
              <w:jc w:val="center"/>
              <w:ind w:left="155"/>
              <w:spacing w:after="0"/>
              <w:rPr>
                <w:sz w:val="20"/>
                <w:szCs w:val="20"/>
                <w:color w:val="auto"/>
              </w:rPr>
            </w:pPr>
            <w:r>
              <w:rPr>
                <w:rFonts w:ascii="Arial" w:cs="Arial" w:eastAsia="Arial" w:hAnsi="Arial"/>
                <w:sz w:val="13"/>
                <w:szCs w:val="13"/>
                <w:color w:val="auto"/>
                <w:w w:val="96"/>
              </w:rPr>
              <w:t>33</w:t>
            </w:r>
          </w:p>
        </w:tc>
        <w:tc>
          <w:tcPr>
            <w:tcW w:w="118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3"/>
                <w:szCs w:val="13"/>
                <w:color w:val="auto"/>
                <w:w w:val="96"/>
              </w:rPr>
              <w:t>55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66.4%</w:t>
            </w:r>
          </w:p>
        </w:tc>
      </w:tr>
      <w:tr>
        <w:trPr>
          <w:trHeight w:val="148"/>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w:t>
            </w: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804</w:t>
            </w:r>
          </w:p>
        </w:tc>
        <w:tc>
          <w:tcPr>
            <w:tcW w:w="10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854</w:t>
            </w:r>
          </w:p>
        </w:tc>
        <w:tc>
          <w:tcPr>
            <w:tcW w:w="9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873</w:t>
            </w: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2.3%</w:t>
            </w:r>
          </w:p>
        </w:tc>
        <w:tc>
          <w:tcPr>
            <w:tcW w:w="74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8.6%</w:t>
            </w:r>
          </w:p>
        </w:tc>
        <w:tc>
          <w:tcPr>
            <w:tcW w:w="720" w:type="dxa"/>
            <w:vAlign w:val="bottom"/>
            <w:tcBorders>
              <w:bottom w:val="single" w:sz="8" w:color="auto"/>
            </w:tcBorders>
          </w:tcPr>
          <w:p>
            <w:pPr>
              <w:jc w:val="center"/>
              <w:ind w:left="155"/>
              <w:spacing w:after="0" w:line="148" w:lineRule="exact"/>
              <w:rPr>
                <w:sz w:val="20"/>
                <w:szCs w:val="20"/>
                <w:color w:val="auto"/>
              </w:rPr>
            </w:pPr>
            <w:r>
              <w:rPr>
                <w:rFonts w:ascii="Arial" w:cs="Arial" w:eastAsia="Arial" w:hAnsi="Arial"/>
                <w:sz w:val="13"/>
                <w:szCs w:val="13"/>
                <w:b w:val="1"/>
                <w:bCs w:val="1"/>
                <w:color w:val="auto"/>
              </w:rPr>
              <w:t>2,251</w:t>
            </w:r>
          </w:p>
        </w:tc>
        <w:tc>
          <w:tcPr>
            <w:tcW w:w="1180" w:type="dxa"/>
            <w:vAlign w:val="bottom"/>
            <w:tcBorders>
              <w:bottom w:val="single" w:sz="8" w:color="auto"/>
              <w:right w:val="single" w:sz="8" w:color="auto"/>
            </w:tcBorders>
          </w:tcPr>
          <w:p>
            <w:pPr>
              <w:jc w:val="center"/>
              <w:ind w:left="136"/>
              <w:spacing w:after="0" w:line="148" w:lineRule="exact"/>
              <w:rPr>
                <w:sz w:val="20"/>
                <w:szCs w:val="20"/>
                <w:color w:val="auto"/>
              </w:rPr>
            </w:pPr>
            <w:r>
              <w:rPr>
                <w:rFonts w:ascii="Arial" w:cs="Arial" w:eastAsia="Arial" w:hAnsi="Arial"/>
                <w:sz w:val="13"/>
                <w:szCs w:val="13"/>
                <w:b w:val="1"/>
                <w:bCs w:val="1"/>
                <w:color w:val="auto"/>
              </w:rPr>
              <w:t>2,558</w:t>
            </w:r>
          </w:p>
        </w:tc>
        <w:tc>
          <w:tcPr>
            <w:tcW w:w="106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16.5%</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1"/>
          <w:szCs w:val="11"/>
          <w:color w:val="auto"/>
        </w:rPr>
        <w:t>(*) Management figures.</w:t>
      </w:r>
    </w:p>
    <w:p>
      <w:pPr>
        <w:spacing w:after="0" w:line="15" w:lineRule="exact"/>
        <w:rPr>
          <w:sz w:val="20"/>
          <w:szCs w:val="20"/>
          <w:color w:val="auto"/>
        </w:rPr>
      </w:pPr>
    </w:p>
    <w:p>
      <w:pPr>
        <w:ind w:right="120" w:firstLine="6"/>
        <w:spacing w:after="0" w:line="250" w:lineRule="auto"/>
        <w:tabs>
          <w:tab w:leader="none" w:pos="162" w:val="left"/>
        </w:tabs>
        <w:numPr>
          <w:ilvl w:val="0"/>
          <w:numId w:val="28"/>
        </w:numPr>
        <w:rPr>
          <w:rFonts w:ascii="Arial" w:cs="Arial" w:eastAsia="Arial" w:hAnsi="Arial"/>
          <w:sz w:val="11"/>
          <w:szCs w:val="11"/>
          <w:color w:val="auto"/>
        </w:rPr>
      </w:pPr>
      <w:r>
        <w:rPr>
          <w:rFonts w:ascii="Arial" w:cs="Arial" w:eastAsia="Arial" w:hAnsi="Arial"/>
          <w:sz w:val="11"/>
          <w:szCs w:val="11"/>
          <w:color w:val="auto"/>
        </w:rPr>
        <w:t>Corresponds to fees from credit and debit cards, payments and collections. Beginning in 1Q25, accounting reclassifications related to expenses associated with the credit card loyalty program have been incorporated. These reclassifications affected Administrative and General Expenses and Fee Income. Figures for prior periods have been restated for comparability and may differ from those previously reported.</w:t>
      </w:r>
    </w:p>
    <w:p>
      <w:pPr>
        <w:ind w:right="540" w:firstLine="6"/>
        <w:spacing w:after="0" w:line="250" w:lineRule="auto"/>
        <w:tabs>
          <w:tab w:leader="none" w:pos="162" w:val="left"/>
        </w:tabs>
        <w:numPr>
          <w:ilvl w:val="0"/>
          <w:numId w:val="28"/>
        </w:numPr>
        <w:rPr>
          <w:rFonts w:ascii="Arial" w:cs="Arial" w:eastAsia="Arial" w:hAnsi="Arial"/>
          <w:sz w:val="11"/>
          <w:szCs w:val="11"/>
          <w:color w:val="auto"/>
        </w:rPr>
      </w:pPr>
      <w:r>
        <w:rPr>
          <w:rFonts w:ascii="Arial" w:cs="Arial" w:eastAsia="Arial" w:hAnsi="Arial"/>
          <w:sz w:val="11"/>
          <w:szCs w:val="11"/>
          <w:color w:val="auto"/>
        </w:rPr>
        <w:t>Not includes fees related to E-Commerce. Not includes FX and remittances. Beginning in 1Q25, accounting reclassifications associated with Yape’s transactional fee expenses have been incorporated. These reclassifications affected Administrative and General Expenses and Fee Income. Figures for prior periods have been restated for comparability and may differ from those previously reported.</w:t>
      </w:r>
    </w:p>
    <w:p>
      <w:pPr>
        <w:ind w:left="160" w:hanging="154"/>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Corresponds to fees from Account maintenance, interbank transfers, national transfers, and international transfers.</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Corresponds to fees from retail and wholesale loan disbursements.</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Use of third-party networks, other services to third parties, and Commissions in foreign branches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Fee Income at</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rose 2.3%, driven mainly by:</w:t>
      </w:r>
    </w:p>
    <w:p>
      <w:pPr>
        <w:spacing w:after="0" w:line="176" w:lineRule="exact"/>
        <w:rPr>
          <w:sz w:val="20"/>
          <w:szCs w:val="20"/>
          <w:color w:val="auto"/>
        </w:rPr>
      </w:pPr>
    </w:p>
    <w:p>
      <w:pPr>
        <w:jc w:val="both"/>
        <w:ind w:left="720" w:hanging="282"/>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Yape </w:t>
      </w:r>
      <w:r>
        <w:rPr>
          <w:rFonts w:ascii="Arial" w:cs="Arial" w:eastAsia="Arial" w:hAnsi="Arial"/>
          <w:sz w:val="16"/>
          <w:szCs w:val="16"/>
          <w:color w:val="auto"/>
        </w:rPr>
        <w:t>(+25.3%), which registered improved results in (i) QR (POS) merchant fee, driven by an upswing in activity in July (due to growth in</w:t>
      </w:r>
      <w:r>
        <w:rPr>
          <w:rFonts w:ascii="Arial" w:cs="Arial" w:eastAsia="Arial" w:hAnsi="Arial"/>
          <w:sz w:val="16"/>
          <w:szCs w:val="16"/>
          <w:b w:val="1"/>
          <w:bCs w:val="1"/>
          <w:color w:val="auto"/>
        </w:rPr>
        <w:t xml:space="preserve"> </w:t>
      </w:r>
      <w:r>
        <w:rPr>
          <w:rFonts w:ascii="Arial" w:cs="Arial" w:eastAsia="Arial" w:hAnsi="Arial"/>
          <w:sz w:val="16"/>
          <w:szCs w:val="16"/>
          <w:color w:val="auto"/>
        </w:rPr>
        <w:t>consumer liquidity following statutory bonus payment) and in August (due to retail campaigns). Growth over the period was also driven by (ii) bill payments, which reflect the beginning of the educational centers registration cycle for the second half of the year, and an uptick in the use of (iii) Checkout, which experienced growth in the number of affiliated establishments.</w:t>
      </w:r>
    </w:p>
    <w:p>
      <w:pPr>
        <w:ind w:left="720" w:hanging="282"/>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(+27.2%), reflecting growth in income from overseas branches.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681990</wp:posOffset>
            </wp:positionV>
            <wp:extent cx="670750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102235</wp:posOffset>
            </wp:positionV>
            <wp:extent cx="5968365" cy="4648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8365" cy="464820"/>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sectPr>
      </w:pPr>
    </w:p>
    <w:bookmarkStart w:id="35" w:name="page36"/>
    <w:bookmarkEnd w:id="35"/>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06. Other Income</w:t>
      </w:r>
    </w:p>
    <w:p>
      <w:pPr>
        <w:spacing w:after="0" w:line="22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Core Businesses</w:t>
      </w:r>
      <w:r>
        <w:rPr>
          <w:rFonts w:ascii="Arial" w:cs="Arial" w:eastAsia="Arial" w:hAnsi="Arial"/>
          <w:sz w:val="16"/>
          <w:szCs w:val="16"/>
          <w:color w:val="auto"/>
        </w:rPr>
        <w:t>, which include (i) Payment and Transactional Services, (ii) Liability and Transactional Accounts, and (iii) Loan Disbursements,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more recurring and stable accounts, reported a drop mainly through Payment and Transactional Services. The Merchant Fee, which is pegged to the dynamics of debit and credit card transactional activity and billing, maintained solid results that were, however, offset by growth in expenses related to loyalty programs and Visa fees.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w:t>
      </w:r>
      <w:r>
        <w:rPr>
          <w:rFonts w:ascii="Arial" w:cs="Arial" w:eastAsia="Arial" w:hAnsi="Arial"/>
          <w:sz w:val="16"/>
          <w:szCs w:val="16"/>
          <w:b w:val="1"/>
          <w:bCs w:val="1"/>
          <w:color w:val="auto"/>
        </w:rPr>
        <w:t xml:space="preserve"> Fee Income </w:t>
      </w:r>
      <w:r>
        <w:rPr>
          <w:rFonts w:ascii="Arial" w:cs="Arial" w:eastAsia="Arial" w:hAnsi="Arial"/>
          <w:sz w:val="16"/>
          <w:szCs w:val="16"/>
          <w:color w:val="auto"/>
        </w:rPr>
        <w:t>rose 8.6%, driven by:</w:t>
      </w:r>
    </w:p>
    <w:p>
      <w:pPr>
        <w:spacing w:after="0" w:line="176" w:lineRule="exact"/>
        <w:rPr>
          <w:sz w:val="20"/>
          <w:szCs w:val="20"/>
          <w:color w:val="auto"/>
        </w:rPr>
      </w:pPr>
    </w:p>
    <w:p>
      <w:pPr>
        <w:jc w:val="both"/>
        <w:ind w:left="720" w:hanging="282"/>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Yape </w:t>
      </w:r>
      <w:r>
        <w:rPr>
          <w:rFonts w:ascii="Arial" w:cs="Arial" w:eastAsia="Arial" w:hAnsi="Arial"/>
          <w:sz w:val="16"/>
          <w:szCs w:val="16"/>
          <w:color w:val="auto"/>
        </w:rPr>
        <w:t>(+75.0%): Growth was spurred by the same functionalities responsible for the QoQ evolution, which represent the app’s most</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performers. The following businesses also contributed to growth (i) Top-ups, where Yape continues to strengthen its market share; (ii) Remittances, reflecting the power of new strategic alliances that have bolstered our access to channels and countries for distribution; and (iii) Yape Businesses, whose TPV continues to trend gradually upward.</w:t>
      </w:r>
    </w:p>
    <w:p>
      <w:pPr>
        <w:ind w:left="720" w:hanging="282"/>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Others </w:t>
      </w:r>
      <w:r>
        <w:rPr>
          <w:rFonts w:ascii="Arial" w:cs="Arial" w:eastAsia="Arial" w:hAnsi="Arial"/>
          <w:sz w:val="16"/>
          <w:szCs w:val="16"/>
          <w:color w:val="auto"/>
        </w:rPr>
        <w:t>(+71.5%), related to Other Services and overseas branches.</w:t>
      </w:r>
    </w:p>
    <w:p>
      <w:pPr>
        <w:spacing w:after="0" w:line="160"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 xml:space="preserve">Positive results for </w:t>
      </w:r>
      <w:r>
        <w:rPr>
          <w:rFonts w:ascii="Arial" w:cs="Arial" w:eastAsia="Arial" w:hAnsi="Arial"/>
          <w:sz w:val="16"/>
          <w:szCs w:val="16"/>
          <w:b w:val="1"/>
          <w:bCs w:val="1"/>
          <w:color w:val="auto"/>
        </w:rPr>
        <w:t>Core Businesses</w:t>
      </w:r>
      <w:r>
        <w:rPr>
          <w:rFonts w:ascii="Arial" w:cs="Arial" w:eastAsia="Arial" w:hAnsi="Arial"/>
          <w:sz w:val="16"/>
          <w:szCs w:val="16"/>
          <w:color w:val="auto"/>
        </w:rPr>
        <w:t xml:space="preserve"> were driven by growth in Loan disbursements (+7.1%), which rose on the back of an uptick in origination, and by Liability and transactional accounts, which reported growth in the volume of interbank and foreign transfers and an increase in current account openings. This performance was offset by a reduction in the Payment and Transactional Services line, which declined despite growth in transactional activity, impacted by a high base effect due to an extraordinary income recorded in 3Q24, as well as by higher Visa fees.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YTD </w:t>
      </w:r>
      <w:r>
        <w:rPr>
          <w:rFonts w:ascii="Arial" w:cs="Arial" w:eastAsia="Arial" w:hAnsi="Arial"/>
          <w:sz w:val="16"/>
          <w:szCs w:val="16"/>
          <w:color w:val="auto"/>
        </w:rPr>
        <w:t>(Sep 25 vs Sep 24) growth stood at 16.5%, which was attributable to:</w:t>
      </w:r>
    </w:p>
    <w:p>
      <w:pPr>
        <w:spacing w:after="0" w:line="176" w:lineRule="exact"/>
        <w:rPr>
          <w:sz w:val="20"/>
          <w:szCs w:val="20"/>
          <w:color w:val="auto"/>
        </w:rPr>
      </w:pPr>
    </w:p>
    <w:p>
      <w:pPr>
        <w:ind w:left="720" w:hanging="282"/>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Yape </w:t>
      </w:r>
      <w:r>
        <w:rPr>
          <w:rFonts w:ascii="Arial" w:cs="Arial" w:eastAsia="Arial" w:hAnsi="Arial"/>
          <w:sz w:val="16"/>
          <w:szCs w:val="16"/>
          <w:color w:val="auto"/>
        </w:rPr>
        <w:t>(+91.4%), as mature functionalities and new solutions advanced significantly.</w:t>
      </w:r>
    </w:p>
    <w:p>
      <w:pPr>
        <w:spacing w:after="0" w:line="12" w:lineRule="exact"/>
        <w:rPr>
          <w:rFonts w:ascii="Arial" w:cs="Arial" w:eastAsia="Arial" w:hAnsi="Arial"/>
          <w:sz w:val="16"/>
          <w:szCs w:val="16"/>
          <w:color w:val="auto"/>
        </w:rPr>
      </w:pPr>
    </w:p>
    <w:p>
      <w:pPr>
        <w:jc w:val="both"/>
        <w:ind w:left="720" w:right="20" w:hanging="282"/>
        <w:spacing w:after="0" w:line="239"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Core businesses</w:t>
      </w:r>
      <w:r>
        <w:rPr>
          <w:rFonts w:ascii="Arial" w:cs="Arial" w:eastAsia="Arial" w:hAnsi="Arial"/>
          <w:sz w:val="16"/>
          <w:szCs w:val="16"/>
          <w:color w:val="auto"/>
        </w:rPr>
        <w:t>, registered positive results through (i) Liability and Transactional Accounts, which rose on the back of Wires and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and Current Accounts, (ii) Loan disbursements, associated with an uptick in the dynamism of the loan portfolio, and (iii) Payments and Transactional Services, which reported growth due to growth in billing for debit and credit cards.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6.2 Other Non-core Income</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30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Other Non-Core Income</w:t>
            </w:r>
          </w:p>
        </w:tc>
        <w:tc>
          <w:tcPr>
            <w:tcW w:w="900" w:type="dxa"/>
            <w:vAlign w:val="bottom"/>
            <w:tcBorders>
              <w:top w:val="single" w:sz="8" w:color="auto"/>
            </w:tcBorders>
            <w:shd w:val="clear" w:color="auto" w:fill="33CCCC"/>
          </w:tcPr>
          <w:p>
            <w:pPr>
              <w:spacing w:after="0"/>
              <w:rPr>
                <w:sz w:val="12"/>
                <w:szCs w:val="12"/>
                <w:color w:val="auto"/>
              </w:rPr>
            </w:pPr>
          </w:p>
        </w:tc>
        <w:tc>
          <w:tcPr>
            <w:tcW w:w="920" w:type="dxa"/>
            <w:vAlign w:val="bottom"/>
            <w:tcBorders>
              <w:top w:val="single" w:sz="8" w:color="auto"/>
            </w:tcBorders>
            <w:shd w:val="clear" w:color="auto" w:fill="33CCCC"/>
          </w:tcPr>
          <w:p>
            <w:pPr>
              <w:ind w:left="260"/>
              <w:spacing w:after="0"/>
              <w:rPr>
                <w:sz w:val="20"/>
                <w:szCs w:val="20"/>
                <w:color w:val="auto"/>
              </w:rPr>
            </w:pPr>
            <w:r>
              <w:rPr>
                <w:rFonts w:ascii="Arial" w:cs="Arial" w:eastAsia="Arial" w:hAnsi="Arial"/>
                <w:sz w:val="12"/>
                <w:szCs w:val="12"/>
                <w:b w:val="1"/>
                <w:bCs w:val="1"/>
                <w:color w:val="FFFFFF"/>
              </w:rPr>
              <w:t>Quarter</w:t>
            </w:r>
          </w:p>
        </w:tc>
        <w:tc>
          <w:tcPr>
            <w:tcW w:w="940" w:type="dxa"/>
            <w:vAlign w:val="bottom"/>
            <w:tcBorders>
              <w:top w:val="single" w:sz="8" w:color="auto"/>
              <w:right w:val="single" w:sz="8" w:color="auto"/>
            </w:tcBorders>
            <w:shd w:val="clear" w:color="auto" w:fill="33CCCC"/>
          </w:tcPr>
          <w:p>
            <w:pPr>
              <w:spacing w:after="0"/>
              <w:rPr>
                <w:sz w:val="12"/>
                <w:szCs w:val="12"/>
                <w:color w:val="auto"/>
              </w:rPr>
            </w:pPr>
          </w:p>
        </w:tc>
        <w:tc>
          <w:tcPr>
            <w:tcW w:w="1860" w:type="dxa"/>
            <w:vAlign w:val="bottom"/>
            <w:tcBorders>
              <w:top w:val="single" w:sz="8" w:color="auto"/>
              <w:right w:val="single" w:sz="8" w:color="auto"/>
            </w:tcBorders>
            <w:gridSpan w:val="2"/>
            <w:shd w:val="clear" w:color="auto" w:fill="33CCCC"/>
          </w:tcPr>
          <w:p>
            <w:pPr>
              <w:ind w:left="640"/>
              <w:spacing w:after="0"/>
              <w:rPr>
                <w:sz w:val="20"/>
                <w:szCs w:val="20"/>
                <w:color w:val="auto"/>
              </w:rPr>
            </w:pPr>
            <w:r>
              <w:rPr>
                <w:rFonts w:ascii="Arial" w:cs="Arial" w:eastAsia="Arial" w:hAnsi="Arial"/>
                <w:sz w:val="12"/>
                <w:szCs w:val="12"/>
                <w:b w:val="1"/>
                <w:bCs w:val="1"/>
                <w:color w:val="FFFFFF"/>
              </w:rPr>
              <w:t>% change</w:t>
            </w:r>
          </w:p>
        </w:tc>
        <w:tc>
          <w:tcPr>
            <w:tcW w:w="720" w:type="dxa"/>
            <w:vAlign w:val="bottom"/>
            <w:tcBorders>
              <w:top w:val="single" w:sz="8" w:color="auto"/>
            </w:tcBorders>
            <w:shd w:val="clear" w:color="auto" w:fill="33CCCC"/>
          </w:tcPr>
          <w:p>
            <w:pPr>
              <w:spacing w:after="0"/>
              <w:rPr>
                <w:sz w:val="12"/>
                <w:szCs w:val="12"/>
                <w:color w:val="auto"/>
              </w:rPr>
            </w:pPr>
          </w:p>
        </w:tc>
        <w:tc>
          <w:tcPr>
            <w:tcW w:w="1140" w:type="dxa"/>
            <w:vAlign w:val="bottom"/>
            <w:tcBorders>
              <w:top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2"/>
                <w:szCs w:val="12"/>
                <w:b w:val="1"/>
                <w:bCs w:val="1"/>
                <w:color w:val="FFFFFF"/>
              </w:rPr>
              <w:t>Up to</w:t>
            </w:r>
          </w:p>
        </w:tc>
        <w:tc>
          <w:tcPr>
            <w:tcW w:w="10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56"/>
        </w:trPr>
        <w:tc>
          <w:tcPr>
            <w:tcW w:w="302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(S/ 000)</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3Q24</w:t>
            </w: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5"/>
              </w:rPr>
              <w:t>2Q25</w:t>
            </w:r>
          </w:p>
        </w:tc>
        <w:tc>
          <w:tcPr>
            <w:tcW w:w="9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3Q25</w:t>
            </w:r>
          </w:p>
        </w:tc>
        <w:tc>
          <w:tcPr>
            <w:tcW w:w="900" w:type="dxa"/>
            <w:vAlign w:val="bottom"/>
            <w:tcBorders>
              <w:bottom w:val="single" w:sz="8" w:color="auto"/>
            </w:tcBorders>
            <w:shd w:val="clear" w:color="auto" w:fill="33CCCC"/>
          </w:tcPr>
          <w:p>
            <w:pPr>
              <w:ind w:left="320"/>
              <w:spacing w:after="0"/>
              <w:rPr>
                <w:sz w:val="20"/>
                <w:szCs w:val="20"/>
                <w:color w:val="auto"/>
              </w:rPr>
            </w:pPr>
            <w:r>
              <w:rPr>
                <w:rFonts w:ascii="Arial" w:cs="Arial" w:eastAsia="Arial" w:hAnsi="Arial"/>
                <w:sz w:val="12"/>
                <w:szCs w:val="12"/>
                <w:b w:val="1"/>
                <w:bCs w:val="1"/>
                <w:color w:val="FFFFFF"/>
              </w:rPr>
              <w:t>QoQ</w:t>
            </w:r>
          </w:p>
        </w:tc>
        <w:tc>
          <w:tcPr>
            <w:tcW w:w="960" w:type="dxa"/>
            <w:vAlign w:val="bottom"/>
            <w:tcBorders>
              <w:bottom w:val="single" w:sz="8" w:color="auto"/>
              <w:right w:val="single" w:sz="8" w:color="auto"/>
            </w:tcBorders>
            <w:shd w:val="clear" w:color="auto" w:fill="33CCCC"/>
          </w:tcPr>
          <w:p>
            <w:pPr>
              <w:ind w:left="360"/>
              <w:spacing w:after="0"/>
              <w:rPr>
                <w:sz w:val="20"/>
                <w:szCs w:val="20"/>
                <w:color w:val="auto"/>
              </w:rPr>
            </w:pPr>
            <w:r>
              <w:rPr>
                <w:rFonts w:ascii="Arial" w:cs="Arial" w:eastAsia="Arial" w:hAnsi="Arial"/>
                <w:sz w:val="12"/>
                <w:szCs w:val="12"/>
                <w:b w:val="1"/>
                <w:bCs w:val="1"/>
                <w:color w:val="FFFFFF"/>
              </w:rPr>
              <w:t>YoY</w:t>
            </w:r>
          </w:p>
        </w:tc>
        <w:tc>
          <w:tcPr>
            <w:tcW w:w="720" w:type="dxa"/>
            <w:vAlign w:val="bottom"/>
            <w:tcBorders>
              <w:bottom w:val="single" w:sz="8" w:color="auto"/>
            </w:tcBorders>
            <w:shd w:val="clear" w:color="auto" w:fill="33CCCC"/>
          </w:tcPr>
          <w:p>
            <w:pPr>
              <w:ind w:left="260"/>
              <w:spacing w:after="0"/>
              <w:rPr>
                <w:sz w:val="20"/>
                <w:szCs w:val="20"/>
                <w:color w:val="auto"/>
              </w:rPr>
            </w:pPr>
            <w:r>
              <w:rPr>
                <w:rFonts w:ascii="Arial" w:cs="Arial" w:eastAsia="Arial" w:hAnsi="Arial"/>
                <w:sz w:val="12"/>
                <w:szCs w:val="12"/>
                <w:b w:val="1"/>
                <w:bCs w:val="1"/>
                <w:color w:val="FFFFFF"/>
              </w:rPr>
              <w:t>Sep 24</w:t>
            </w:r>
          </w:p>
        </w:tc>
        <w:tc>
          <w:tcPr>
            <w:tcW w:w="114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2"/>
                <w:szCs w:val="12"/>
                <w:b w:val="1"/>
                <w:bCs w:val="1"/>
                <w:color w:val="FFFFFF"/>
              </w:rPr>
              <w:t>Sep 25</w:t>
            </w:r>
          </w:p>
        </w:tc>
        <w:tc>
          <w:tcPr>
            <w:tcW w:w="10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Sep 25 / Sep 24</w:t>
            </w:r>
          </w:p>
        </w:tc>
      </w:tr>
      <w:tr>
        <w:trPr>
          <w:trHeight w:val="136"/>
        </w:trPr>
        <w:tc>
          <w:tcPr>
            <w:tcW w:w="302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color w:val="auto"/>
              </w:rPr>
              <w:t>Net Gain on Securities</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auto"/>
              </w:rPr>
              <w:t>120,033</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auto"/>
              </w:rPr>
              <w:t>179,174</w:t>
            </w:r>
          </w:p>
        </w:tc>
        <w:tc>
          <w:tcPr>
            <w:tcW w:w="9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111,977</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auto"/>
              </w:rPr>
              <w:t>-37.5%</w:t>
            </w:r>
          </w:p>
        </w:tc>
        <w:tc>
          <w:tcPr>
            <w:tcW w:w="9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9"/>
              </w:rPr>
              <w:t>-6.7%</w:t>
            </w:r>
          </w:p>
        </w:tc>
        <w:tc>
          <w:tcPr>
            <w:tcW w:w="720" w:type="dxa"/>
            <w:vAlign w:val="bottom"/>
          </w:tcPr>
          <w:p>
            <w:pPr>
              <w:jc w:val="center"/>
              <w:ind w:left="95"/>
              <w:spacing w:after="0" w:line="136" w:lineRule="exact"/>
              <w:rPr>
                <w:sz w:val="20"/>
                <w:szCs w:val="20"/>
                <w:color w:val="auto"/>
              </w:rPr>
            </w:pPr>
            <w:r>
              <w:rPr>
                <w:rFonts w:ascii="Arial" w:cs="Arial" w:eastAsia="Arial" w:hAnsi="Arial"/>
                <w:sz w:val="13"/>
                <w:szCs w:val="13"/>
                <w:color w:val="auto"/>
              </w:rPr>
              <w:t>274,489</w:t>
            </w:r>
          </w:p>
        </w:tc>
        <w:tc>
          <w:tcPr>
            <w:tcW w:w="1140" w:type="dxa"/>
            <w:vAlign w:val="bottom"/>
            <w:tcBorders>
              <w:right w:val="single" w:sz="8" w:color="auto"/>
            </w:tcBorders>
          </w:tcPr>
          <w:p>
            <w:pPr>
              <w:jc w:val="center"/>
              <w:ind w:left="75"/>
              <w:spacing w:after="0" w:line="136" w:lineRule="exact"/>
              <w:rPr>
                <w:sz w:val="20"/>
                <w:szCs w:val="20"/>
                <w:color w:val="auto"/>
              </w:rPr>
            </w:pPr>
            <w:r>
              <w:rPr>
                <w:rFonts w:ascii="Arial" w:cs="Arial" w:eastAsia="Arial" w:hAnsi="Arial"/>
                <w:sz w:val="13"/>
                <w:szCs w:val="13"/>
                <w:color w:val="auto"/>
              </w:rPr>
              <w:t>263,002</w:t>
            </w:r>
          </w:p>
        </w:tc>
        <w:tc>
          <w:tcPr>
            <w:tcW w:w="10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-4.2%</w:t>
            </w:r>
          </w:p>
        </w:tc>
      </w:tr>
      <w:tr>
        <w:trPr>
          <w:trHeight w:val="156"/>
        </w:trPr>
        <w:tc>
          <w:tcPr>
            <w:tcW w:w="3020" w:type="dxa"/>
            <w:vAlign w:val="bottom"/>
            <w:tcBorders>
              <w:left w:val="single" w:sz="8" w:color="auto"/>
              <w:right w:val="single" w:sz="8" w:color="auto"/>
            </w:tcBorders>
          </w:tcPr>
          <w:p>
            <w:pPr>
              <w:ind w:left="20"/>
              <w:spacing w:after="0" w:line="156" w:lineRule="exact"/>
              <w:rPr>
                <w:sz w:val="20"/>
                <w:szCs w:val="20"/>
                <w:color w:val="auto"/>
              </w:rPr>
            </w:pPr>
            <w:r>
              <w:rPr>
                <w:rFonts w:ascii="Arial" w:cs="Arial" w:eastAsia="Arial" w:hAnsi="Arial"/>
                <w:sz w:val="12"/>
                <w:szCs w:val="12"/>
                <w:color w:val="auto"/>
              </w:rPr>
              <w:t xml:space="preserve">Net Gain from Associates </w:t>
            </w:r>
            <w:r>
              <w:rPr>
                <w:rFonts w:ascii="Arial" w:cs="Arial" w:eastAsia="Arial" w:hAnsi="Arial"/>
                <w:sz w:val="18"/>
                <w:szCs w:val="18"/>
                <w:color w:val="auto"/>
                <w:vertAlign w:val="superscript"/>
              </w:rPr>
              <w:t>(1)</w:t>
            </w:r>
          </w:p>
        </w:tc>
        <w:tc>
          <w:tcPr>
            <w:tcW w:w="900" w:type="dxa"/>
            <w:vAlign w:val="bottom"/>
          </w:tcPr>
          <w:p>
            <w:pPr>
              <w:jc w:val="center"/>
              <w:spacing w:after="0"/>
              <w:rPr>
                <w:sz w:val="20"/>
                <w:szCs w:val="20"/>
                <w:color w:val="auto"/>
              </w:rPr>
            </w:pPr>
            <w:r>
              <w:rPr>
                <w:rFonts w:ascii="Arial" w:cs="Arial" w:eastAsia="Arial" w:hAnsi="Arial"/>
                <w:sz w:val="13"/>
                <w:szCs w:val="13"/>
                <w:color w:val="auto"/>
              </w:rPr>
              <w:t>35,600</w:t>
            </w: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6,556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5,192</w:t>
            </w:r>
          </w:p>
        </w:tc>
        <w:tc>
          <w:tcPr>
            <w:tcW w:w="900" w:type="dxa"/>
            <w:vAlign w:val="bottom"/>
          </w:tcPr>
          <w:p>
            <w:pPr>
              <w:jc w:val="center"/>
              <w:spacing w:after="0"/>
              <w:rPr>
                <w:sz w:val="20"/>
                <w:szCs w:val="20"/>
                <w:color w:val="auto"/>
              </w:rPr>
            </w:pPr>
            <w:r>
              <w:rPr>
                <w:rFonts w:ascii="Arial" w:cs="Arial" w:eastAsia="Arial" w:hAnsi="Arial"/>
                <w:sz w:val="13"/>
                <w:szCs w:val="13"/>
                <w:color w:val="auto"/>
              </w:rPr>
              <w:t>-20.8%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-85.4%</w:t>
            </w:r>
          </w:p>
        </w:tc>
        <w:tc>
          <w:tcPr>
            <w:tcW w:w="720" w:type="dxa"/>
            <w:vAlign w:val="bottom"/>
          </w:tcPr>
          <w:p>
            <w:pPr>
              <w:jc w:val="center"/>
              <w:ind w:left="95"/>
              <w:spacing w:after="0"/>
              <w:rPr>
                <w:sz w:val="20"/>
                <w:szCs w:val="20"/>
                <w:color w:val="auto"/>
              </w:rPr>
            </w:pPr>
            <w:r>
              <w:rPr>
                <w:rFonts w:ascii="Arial" w:cs="Arial" w:eastAsia="Arial" w:hAnsi="Arial"/>
                <w:sz w:val="13"/>
                <w:szCs w:val="13"/>
                <w:color w:val="auto"/>
              </w:rPr>
              <w:t>96,623</w:t>
            </w:r>
          </w:p>
        </w:tc>
        <w:tc>
          <w:tcPr>
            <w:tcW w:w="1140" w:type="dxa"/>
            <w:vAlign w:val="bottom"/>
            <w:tcBorders>
              <w:right w:val="single" w:sz="8" w:color="auto"/>
            </w:tcBorders>
          </w:tcPr>
          <w:p>
            <w:pPr>
              <w:jc w:val="center"/>
              <w:ind w:left="75"/>
              <w:spacing w:after="0"/>
              <w:rPr>
                <w:sz w:val="20"/>
                <w:szCs w:val="20"/>
                <w:color w:val="auto"/>
              </w:rPr>
            </w:pPr>
            <w:r>
              <w:rPr>
                <w:rFonts w:ascii="Arial" w:cs="Arial" w:eastAsia="Arial" w:hAnsi="Arial"/>
                <w:sz w:val="13"/>
                <w:szCs w:val="13"/>
                <w:color w:val="auto"/>
              </w:rPr>
              <w:t>35,816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-62.9%</w:t>
            </w:r>
          </w:p>
        </w:tc>
      </w:tr>
      <w:tr>
        <w:trPr>
          <w:trHeight w:val="156"/>
        </w:trPr>
        <w:tc>
          <w:tcPr>
            <w:tcW w:w="302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2"/>
                <w:szCs w:val="12"/>
                <w:color w:val="auto"/>
              </w:rPr>
              <w:t xml:space="preserve">Net Gain of Derivatives Held for Trading </w:t>
            </w:r>
            <w:r>
              <w:rPr>
                <w:rFonts w:ascii="Arial" w:cs="Arial" w:eastAsia="Arial" w:hAnsi="Arial"/>
                <w:sz w:val="18"/>
                <w:szCs w:val="18"/>
                <w:color w:val="auto"/>
                <w:vertAlign w:val="superscript"/>
              </w:rPr>
              <w:t>(2)</w:t>
            </w:r>
          </w:p>
        </w:tc>
        <w:tc>
          <w:tcPr>
            <w:tcW w:w="900" w:type="dxa"/>
            <w:vAlign w:val="bottom"/>
          </w:tcPr>
          <w:p>
            <w:pPr>
              <w:jc w:val="center"/>
              <w:spacing w:after="0"/>
              <w:rPr>
                <w:sz w:val="20"/>
                <w:szCs w:val="20"/>
                <w:color w:val="auto"/>
              </w:rPr>
            </w:pPr>
            <w:r>
              <w:rPr>
                <w:rFonts w:ascii="Arial" w:cs="Arial" w:eastAsia="Arial" w:hAnsi="Arial"/>
                <w:sz w:val="13"/>
                <w:szCs w:val="13"/>
                <w:color w:val="auto"/>
              </w:rPr>
              <w:t>(3,499)</w:t>
            </w:r>
          </w:p>
        </w:tc>
        <w:tc>
          <w:tcPr>
            <w:tcW w:w="920" w:type="dxa"/>
            <w:vAlign w:val="bottom"/>
          </w:tcPr>
          <w:p>
            <w:pPr>
              <w:jc w:val="center"/>
              <w:spacing w:after="0"/>
              <w:rPr>
                <w:sz w:val="20"/>
                <w:szCs w:val="20"/>
                <w:color w:val="auto"/>
              </w:rPr>
            </w:pPr>
            <w:r>
              <w:rPr>
                <w:rFonts w:ascii="Arial" w:cs="Arial" w:eastAsia="Arial" w:hAnsi="Arial"/>
                <w:sz w:val="13"/>
                <w:szCs w:val="13"/>
                <w:color w:val="auto"/>
              </w:rPr>
              <w:t>21,418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244</w:t>
            </w:r>
          </w:p>
        </w:tc>
        <w:tc>
          <w:tcPr>
            <w:tcW w:w="900" w:type="dxa"/>
            <w:vAlign w:val="bottom"/>
          </w:tcPr>
          <w:p>
            <w:pPr>
              <w:jc w:val="center"/>
              <w:spacing w:after="0"/>
              <w:rPr>
                <w:sz w:val="20"/>
                <w:szCs w:val="20"/>
                <w:color w:val="auto"/>
              </w:rPr>
            </w:pPr>
            <w:r>
              <w:rPr>
                <w:rFonts w:ascii="Arial" w:cs="Arial" w:eastAsia="Arial" w:hAnsi="Arial"/>
                <w:sz w:val="13"/>
                <w:szCs w:val="13"/>
                <w:color w:val="auto"/>
              </w:rPr>
              <w:t>-98.9%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-107.0%</w:t>
            </w:r>
          </w:p>
        </w:tc>
        <w:tc>
          <w:tcPr>
            <w:tcW w:w="720" w:type="dxa"/>
            <w:vAlign w:val="bottom"/>
          </w:tcPr>
          <w:p>
            <w:pPr>
              <w:jc w:val="center"/>
              <w:ind w:left="95"/>
              <w:spacing w:after="0"/>
              <w:rPr>
                <w:sz w:val="20"/>
                <w:szCs w:val="20"/>
                <w:color w:val="auto"/>
              </w:rPr>
            </w:pPr>
            <w:r>
              <w:rPr>
                <w:rFonts w:ascii="Arial" w:cs="Arial" w:eastAsia="Arial" w:hAnsi="Arial"/>
                <w:sz w:val="13"/>
                <w:szCs w:val="13"/>
                <w:color w:val="auto"/>
              </w:rPr>
              <w:t>78,233</w:t>
            </w:r>
          </w:p>
        </w:tc>
        <w:tc>
          <w:tcPr>
            <w:tcW w:w="1140" w:type="dxa"/>
            <w:vAlign w:val="bottom"/>
            <w:tcBorders>
              <w:right w:val="single" w:sz="8" w:color="auto"/>
            </w:tcBorders>
          </w:tcPr>
          <w:p>
            <w:pPr>
              <w:jc w:val="center"/>
              <w:ind w:left="75"/>
              <w:spacing w:after="0"/>
              <w:rPr>
                <w:sz w:val="20"/>
                <w:szCs w:val="20"/>
                <w:color w:val="auto"/>
              </w:rPr>
            </w:pPr>
            <w:r>
              <w:rPr>
                <w:rFonts w:ascii="Arial" w:cs="Arial" w:eastAsia="Arial" w:hAnsi="Arial"/>
                <w:sz w:val="13"/>
                <w:szCs w:val="13"/>
                <w:color w:val="auto"/>
              </w:rPr>
              <w:t>40,161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-48.7%</w:t>
            </w:r>
          </w:p>
        </w:tc>
      </w:tr>
      <w:tr>
        <w:trPr>
          <w:trHeight w:val="156"/>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Net Gain from Exchange Differences</w:t>
            </w:r>
          </w:p>
        </w:tc>
        <w:tc>
          <w:tcPr>
            <w:tcW w:w="900" w:type="dxa"/>
            <w:vAlign w:val="bottom"/>
          </w:tcPr>
          <w:p>
            <w:pPr>
              <w:jc w:val="center"/>
              <w:spacing w:after="0"/>
              <w:rPr>
                <w:sz w:val="20"/>
                <w:szCs w:val="20"/>
                <w:color w:val="auto"/>
              </w:rPr>
            </w:pPr>
            <w:r>
              <w:rPr>
                <w:rFonts w:ascii="Arial" w:cs="Arial" w:eastAsia="Arial" w:hAnsi="Arial"/>
                <w:sz w:val="13"/>
                <w:szCs w:val="13"/>
                <w:color w:val="auto"/>
              </w:rPr>
              <w:t>(6,139)</w:t>
            </w:r>
          </w:p>
        </w:tc>
        <w:tc>
          <w:tcPr>
            <w:tcW w:w="920" w:type="dxa"/>
            <w:vAlign w:val="bottom"/>
          </w:tcPr>
          <w:p>
            <w:pPr>
              <w:jc w:val="center"/>
              <w:spacing w:after="0"/>
              <w:rPr>
                <w:sz w:val="20"/>
                <w:szCs w:val="20"/>
                <w:color w:val="auto"/>
              </w:rPr>
            </w:pPr>
            <w:r>
              <w:rPr>
                <w:rFonts w:ascii="Arial" w:cs="Arial" w:eastAsia="Arial" w:hAnsi="Arial"/>
                <w:sz w:val="13"/>
                <w:szCs w:val="13"/>
                <w:color w:val="auto"/>
              </w:rPr>
              <w:t>10,195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7,518</w:t>
            </w:r>
          </w:p>
        </w:tc>
        <w:tc>
          <w:tcPr>
            <w:tcW w:w="900" w:type="dxa"/>
            <w:vAlign w:val="bottom"/>
          </w:tcPr>
          <w:p>
            <w:pPr>
              <w:jc w:val="center"/>
              <w:spacing w:after="0"/>
              <w:rPr>
                <w:sz w:val="20"/>
                <w:szCs w:val="20"/>
                <w:color w:val="auto"/>
              </w:rPr>
            </w:pPr>
            <w:r>
              <w:rPr>
                <w:rFonts w:ascii="Arial" w:cs="Arial" w:eastAsia="Arial" w:hAnsi="Arial"/>
                <w:sz w:val="13"/>
                <w:szCs w:val="13"/>
                <w:color w:val="auto"/>
              </w:rPr>
              <w:t>-26.3%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-222.5%</w:t>
            </w:r>
          </w:p>
        </w:tc>
        <w:tc>
          <w:tcPr>
            <w:tcW w:w="720" w:type="dxa"/>
            <w:vAlign w:val="bottom"/>
          </w:tcPr>
          <w:p>
            <w:pPr>
              <w:jc w:val="center"/>
              <w:ind w:left="95"/>
              <w:spacing w:after="0"/>
              <w:rPr>
                <w:sz w:val="20"/>
                <w:szCs w:val="20"/>
                <w:color w:val="auto"/>
              </w:rPr>
            </w:pPr>
            <w:r>
              <w:rPr>
                <w:rFonts w:ascii="Arial" w:cs="Arial" w:eastAsia="Arial" w:hAnsi="Arial"/>
                <w:sz w:val="13"/>
                <w:szCs w:val="13"/>
                <w:color w:val="auto"/>
                <w:w w:val="99"/>
              </w:rPr>
              <w:t>(19,693)</w:t>
            </w:r>
          </w:p>
        </w:tc>
        <w:tc>
          <w:tcPr>
            <w:tcW w:w="1140" w:type="dxa"/>
            <w:vAlign w:val="bottom"/>
            <w:tcBorders>
              <w:right w:val="single" w:sz="8" w:color="auto"/>
            </w:tcBorders>
          </w:tcPr>
          <w:p>
            <w:pPr>
              <w:jc w:val="center"/>
              <w:ind w:left="75"/>
              <w:spacing w:after="0"/>
              <w:rPr>
                <w:sz w:val="20"/>
                <w:szCs w:val="20"/>
                <w:color w:val="auto"/>
              </w:rPr>
            </w:pPr>
            <w:r>
              <w:rPr>
                <w:rFonts w:ascii="Arial" w:cs="Arial" w:eastAsia="Arial" w:hAnsi="Arial"/>
                <w:sz w:val="13"/>
                <w:szCs w:val="13"/>
                <w:color w:val="auto"/>
              </w:rPr>
              <w:t>33,672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-271.0%</w:t>
            </w:r>
          </w:p>
        </w:tc>
      </w:tr>
      <w:tr>
        <w:trPr>
          <w:trHeight w:val="168"/>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Other Non-operative Income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96,675</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58,461</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71,656</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22.6%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-25.9%</w:t>
            </w:r>
          </w:p>
        </w:tc>
        <w:tc>
          <w:tcPr>
            <w:tcW w:w="720" w:type="dxa"/>
            <w:vAlign w:val="bottom"/>
            <w:tcBorders>
              <w:bottom w:val="single" w:sz="8" w:color="auto"/>
            </w:tcBorders>
          </w:tcPr>
          <w:p>
            <w:pPr>
              <w:jc w:val="center"/>
              <w:ind w:left="95"/>
              <w:spacing w:after="0"/>
              <w:rPr>
                <w:sz w:val="20"/>
                <w:szCs w:val="20"/>
                <w:color w:val="auto"/>
              </w:rPr>
            </w:pPr>
            <w:r>
              <w:rPr>
                <w:rFonts w:ascii="Arial" w:cs="Arial" w:eastAsia="Arial" w:hAnsi="Arial"/>
                <w:sz w:val="13"/>
                <w:szCs w:val="13"/>
                <w:color w:val="auto"/>
              </w:rPr>
              <w:t>338,395</w:t>
            </w:r>
          </w:p>
        </w:tc>
        <w:tc>
          <w:tcPr>
            <w:tcW w:w="1140" w:type="dxa"/>
            <w:vAlign w:val="bottom"/>
            <w:tcBorders>
              <w:bottom w:val="single" w:sz="8" w:color="auto"/>
              <w:right w:val="single" w:sz="8" w:color="auto"/>
            </w:tcBorders>
          </w:tcPr>
          <w:p>
            <w:pPr>
              <w:jc w:val="center"/>
              <w:ind w:left="75"/>
              <w:spacing w:after="0"/>
              <w:rPr>
                <w:sz w:val="20"/>
                <w:szCs w:val="20"/>
                <w:color w:val="auto"/>
              </w:rPr>
            </w:pPr>
            <w:r>
              <w:rPr>
                <w:rFonts w:ascii="Arial" w:cs="Arial" w:eastAsia="Arial" w:hAnsi="Arial"/>
                <w:sz w:val="13"/>
                <w:szCs w:val="13"/>
                <w:color w:val="auto"/>
              </w:rPr>
              <w:t>452,118</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33.6%</w:t>
            </w:r>
          </w:p>
        </w:tc>
      </w:tr>
      <w:tr>
        <w:trPr>
          <w:trHeight w:val="148"/>
        </w:trPr>
        <w:tc>
          <w:tcPr>
            <w:tcW w:w="302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Total Other Non-Core Income</w:t>
            </w:r>
          </w:p>
        </w:tc>
        <w:tc>
          <w:tcPr>
            <w:tcW w:w="9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242,670</w:t>
            </w: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275,804</w:t>
            </w:r>
          </w:p>
        </w:tc>
        <w:tc>
          <w:tcPr>
            <w:tcW w:w="94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196,587</w:t>
            </w:r>
          </w:p>
        </w:tc>
        <w:tc>
          <w:tcPr>
            <w:tcW w:w="9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-28.7%</w:t>
            </w:r>
          </w:p>
        </w:tc>
        <w:tc>
          <w:tcPr>
            <w:tcW w:w="96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-19.0%</w:t>
            </w:r>
          </w:p>
        </w:tc>
        <w:tc>
          <w:tcPr>
            <w:tcW w:w="720" w:type="dxa"/>
            <w:vAlign w:val="bottom"/>
            <w:tcBorders>
              <w:bottom w:val="single" w:sz="8" w:color="auto"/>
            </w:tcBorders>
          </w:tcPr>
          <w:p>
            <w:pPr>
              <w:jc w:val="center"/>
              <w:ind w:left="95"/>
              <w:spacing w:after="0" w:line="148" w:lineRule="exact"/>
              <w:rPr>
                <w:sz w:val="20"/>
                <w:szCs w:val="20"/>
                <w:color w:val="auto"/>
              </w:rPr>
            </w:pPr>
            <w:r>
              <w:rPr>
                <w:rFonts w:ascii="Arial" w:cs="Arial" w:eastAsia="Arial" w:hAnsi="Arial"/>
                <w:sz w:val="13"/>
                <w:szCs w:val="13"/>
                <w:b w:val="1"/>
                <w:bCs w:val="1"/>
                <w:color w:val="auto"/>
              </w:rPr>
              <w:t>768,047</w:t>
            </w:r>
          </w:p>
        </w:tc>
        <w:tc>
          <w:tcPr>
            <w:tcW w:w="1140" w:type="dxa"/>
            <w:vAlign w:val="bottom"/>
            <w:tcBorders>
              <w:bottom w:val="single" w:sz="8" w:color="auto"/>
              <w:right w:val="single" w:sz="8" w:color="auto"/>
            </w:tcBorders>
          </w:tcPr>
          <w:p>
            <w:pPr>
              <w:jc w:val="center"/>
              <w:ind w:left="75"/>
              <w:spacing w:after="0" w:line="148" w:lineRule="exact"/>
              <w:rPr>
                <w:sz w:val="20"/>
                <w:szCs w:val="20"/>
                <w:color w:val="auto"/>
              </w:rPr>
            </w:pPr>
            <w:r>
              <w:rPr>
                <w:rFonts w:ascii="Arial" w:cs="Arial" w:eastAsia="Arial" w:hAnsi="Arial"/>
                <w:sz w:val="13"/>
                <w:szCs w:val="13"/>
                <w:b w:val="1"/>
                <w:bCs w:val="1"/>
                <w:color w:val="auto"/>
              </w:rPr>
              <w:t>824,769</w:t>
            </w:r>
          </w:p>
        </w:tc>
        <w:tc>
          <w:tcPr>
            <w:tcW w:w="10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7.4%</w:t>
            </w:r>
          </w:p>
        </w:tc>
      </w:tr>
    </w:tbl>
    <w:p>
      <w:pPr>
        <w:ind w:right="180" w:firstLine="6"/>
        <w:spacing w:after="0" w:line="259" w:lineRule="auto"/>
        <w:tabs>
          <w:tab w:leader="none" w:pos="162"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Includes gains on other investments. Beginning in 1Q25, revenues from the EPS and Medical Services businesses are no longer reported under Net Gain from Associates. Instead, they are fully consolidated into the Underwriting Insurance Result and the newly created Medical Services Result, respectively.</w:t>
      </w:r>
    </w:p>
    <w:p>
      <w:pPr>
        <w:ind w:firstLine="6"/>
        <w:spacing w:after="0" w:line="261" w:lineRule="auto"/>
        <w:tabs>
          <w:tab w:leader="none" w:pos="162" w:val="left"/>
        </w:tabs>
        <w:numPr>
          <w:ilvl w:val="0"/>
          <w:numId w:val="32"/>
        </w:numPr>
        <w:rPr>
          <w:rFonts w:ascii="Arial" w:cs="Arial" w:eastAsia="Arial" w:hAnsi="Arial"/>
          <w:sz w:val="11"/>
          <w:szCs w:val="11"/>
          <w:color w:val="auto"/>
        </w:rPr>
      </w:pPr>
      <w:r>
        <w:rPr>
          <w:rFonts w:ascii="Arial" w:cs="Arial" w:eastAsia="Arial" w:hAnsi="Arial"/>
          <w:sz w:val="11"/>
          <w:szCs w:val="11"/>
          <w:color w:val="auto"/>
        </w:rPr>
        <w:t>Beginning in 1Q25, accounting reclassifications related to FX operations at BCP Bolivia have been incorporated. These reclassifications affected Fee Income and Net Gain on Derivatives Held for Trading, which are now consolidated into Net Gain on Foreign Exchange Transactions. Figures for prior periods have been restated for comparability and may differ from those previously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2105660</wp:posOffset>
            </wp:positionV>
            <wp:extent cx="670750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85725</wp:posOffset>
            </wp:positionV>
            <wp:extent cx="5998845" cy="19284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98845" cy="1928495"/>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sectPr>
      </w:pPr>
    </w:p>
    <w:bookmarkStart w:id="36" w:name="page37"/>
    <w:bookmarkEnd w:id="36"/>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06.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151765</wp:posOffset>
            </wp:positionV>
            <wp:extent cx="2667635" cy="13798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6763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auto"/>
        </w:rPr>
        <w:t>(1) Others: include Grupo Credito, Credicorp Stand-alone, eliminations and others.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w:t>
      </w:r>
      <w:r>
        <w:rPr>
          <w:rFonts w:ascii="Arial" w:cs="Arial" w:eastAsia="Arial" w:hAnsi="Arial"/>
          <w:sz w:val="16"/>
          <w:szCs w:val="16"/>
          <w:b w:val="1"/>
          <w:bCs w:val="1"/>
          <w:color w:val="auto"/>
        </w:rPr>
        <w:t xml:space="preserve"> Other Non-Core Income </w:t>
      </w:r>
      <w:r>
        <w:rPr>
          <w:rFonts w:ascii="Arial" w:cs="Arial" w:eastAsia="Arial" w:hAnsi="Arial"/>
          <w:sz w:val="16"/>
          <w:szCs w:val="16"/>
          <w:color w:val="auto"/>
        </w:rPr>
        <w:t>dropped 28.7%, driven mainly by:</w:t>
      </w:r>
    </w:p>
    <w:p>
      <w:pPr>
        <w:spacing w:after="0" w:line="200" w:lineRule="exact"/>
        <w:rPr>
          <w:sz w:val="20"/>
          <w:szCs w:val="20"/>
          <w:color w:val="auto"/>
        </w:rPr>
      </w:pPr>
    </w:p>
    <w:p>
      <w:pPr>
        <w:jc w:val="both"/>
        <w:ind w:left="720" w:right="60" w:hanging="282"/>
        <w:spacing w:after="0" w:line="241"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Net gain (loss) on securities </w:t>
      </w:r>
      <w:r>
        <w:rPr>
          <w:rFonts w:ascii="Arial" w:cs="Arial" w:eastAsia="Arial" w:hAnsi="Arial"/>
          <w:sz w:val="16"/>
          <w:szCs w:val="16"/>
          <w:color w:val="auto"/>
        </w:rPr>
        <w:t>: dropped 37.5%, spurred mainly by a base effect at</w:t>
      </w:r>
      <w:r>
        <w:rPr>
          <w:rFonts w:ascii="Arial" w:cs="Arial" w:eastAsia="Arial" w:hAnsi="Arial"/>
          <w:sz w:val="16"/>
          <w:szCs w:val="16"/>
          <w:b w:val="1"/>
          <w:bCs w:val="1"/>
          <w:color w:val="auto"/>
        </w:rPr>
        <w:t xml:space="preserve"> BCP Stand-alone</w:t>
      </w:r>
      <w:r>
        <w:rPr>
          <w:rFonts w:ascii="Arial" w:cs="Arial" w:eastAsia="Arial" w:hAnsi="Arial"/>
          <w:sz w:val="16"/>
          <w:szCs w:val="16"/>
          <w:color w:val="auto"/>
        </w:rPr>
        <w:t>, which was associated with a sovereign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bond exchange in 2Q25. This decline was partially offset by </w:t>
      </w:r>
      <w:r>
        <w:rPr>
          <w:rFonts w:ascii="Arial" w:cs="Arial" w:eastAsia="Arial" w:hAnsi="Arial"/>
          <w:sz w:val="16"/>
          <w:szCs w:val="16"/>
          <w:b w:val="1"/>
          <w:bCs w:val="1"/>
          <w:color w:val="auto"/>
        </w:rPr>
        <w:t>Credicorp Capital</w:t>
      </w:r>
      <w:r>
        <w:rPr>
          <w:rFonts w:ascii="Arial" w:cs="Arial" w:eastAsia="Arial" w:hAnsi="Arial"/>
          <w:sz w:val="16"/>
          <w:szCs w:val="16"/>
          <w:color w:val="auto"/>
        </w:rPr>
        <w:t>, which reported positive results for Trading in the Capital Markets in Colombia after a strategy was executed to repurchase government papers and exchange bonds.</w:t>
      </w:r>
    </w:p>
    <w:p>
      <w:pPr>
        <w:spacing w:after="0" w:line="1" w:lineRule="exact"/>
        <w:rPr>
          <w:rFonts w:ascii="Arial" w:cs="Arial" w:eastAsia="Arial" w:hAnsi="Arial"/>
          <w:sz w:val="16"/>
          <w:szCs w:val="16"/>
          <w:color w:val="auto"/>
        </w:rPr>
      </w:pPr>
    </w:p>
    <w:p>
      <w:pPr>
        <w:ind w:left="720" w:right="20" w:hanging="282"/>
        <w:spacing w:after="0" w:line="254"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Net gain (loss) on derivatives held for trading </w:t>
      </w:r>
      <w:r>
        <w:rPr>
          <w:rFonts w:ascii="Arial" w:cs="Arial" w:eastAsia="Arial" w:hAnsi="Arial"/>
          <w:sz w:val="16"/>
          <w:szCs w:val="16"/>
          <w:color w:val="auto"/>
        </w:rPr>
        <w:t>: fell 98.9% due to lower results for coverage strategies for portfolios in local currencies and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Forward contracts, mainly at </w:t>
      </w:r>
      <w:r>
        <w:rPr>
          <w:rFonts w:ascii="Arial" w:cs="Arial" w:eastAsia="Arial" w:hAnsi="Arial"/>
          <w:sz w:val="16"/>
          <w:szCs w:val="16"/>
          <w:b w:val="1"/>
          <w:bCs w:val="1"/>
          <w:color w:val="auto"/>
        </w:rPr>
        <w:t>Credicorp Capital</w:t>
      </w:r>
      <w:r>
        <w:rPr>
          <w:rFonts w:ascii="Arial" w:cs="Arial" w:eastAsia="Arial" w:hAnsi="Arial"/>
          <w:sz w:val="16"/>
          <w:szCs w:val="16"/>
          <w:color w:val="auto"/>
        </w:rPr>
        <w:t>.</w:t>
      </w:r>
    </w:p>
    <w:p>
      <w:pPr>
        <w:spacing w:after="0" w:line="13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 xml:space="preserve">This impact was partially offset by </w:t>
      </w:r>
      <w:r>
        <w:rPr>
          <w:rFonts w:ascii="Arial" w:cs="Arial" w:eastAsia="Arial" w:hAnsi="Arial"/>
          <w:sz w:val="16"/>
          <w:szCs w:val="16"/>
          <w:b w:val="1"/>
          <w:bCs w:val="1"/>
          <w:color w:val="auto"/>
        </w:rPr>
        <w:t>Other Non-Operating Income</w:t>
      </w:r>
      <w:r>
        <w:rPr>
          <w:rFonts w:ascii="Arial" w:cs="Arial" w:eastAsia="Arial" w:hAnsi="Arial"/>
          <w:sz w:val="16"/>
          <w:szCs w:val="16"/>
          <w:color w:val="auto"/>
        </w:rPr>
        <w:t xml:space="preserve"> (+22.6%), which rose due to releases of administrative and contingent provisions at </w:t>
      </w:r>
      <w:r>
        <w:rPr>
          <w:rFonts w:ascii="Arial" w:cs="Arial" w:eastAsia="Arial" w:hAnsi="Arial"/>
          <w:sz w:val="16"/>
          <w:szCs w:val="16"/>
          <w:b w:val="1"/>
          <w:bCs w:val="1"/>
          <w:color w:val="auto"/>
        </w:rPr>
        <w:t>Pacifico</w:t>
      </w:r>
      <w:r>
        <w:rPr>
          <w:rFonts w:ascii="Arial" w:cs="Arial" w:eastAsia="Arial" w:hAnsi="Arial"/>
          <w:sz w:val="16"/>
          <w:szCs w:val="16"/>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w:t>
      </w:r>
      <w:r>
        <w:rPr>
          <w:rFonts w:ascii="Arial" w:cs="Arial" w:eastAsia="Arial" w:hAnsi="Arial"/>
          <w:sz w:val="16"/>
          <w:szCs w:val="16"/>
          <w:b w:val="1"/>
          <w:bCs w:val="1"/>
          <w:color w:val="auto"/>
        </w:rPr>
        <w:t xml:space="preserve"> Other Non-Core income </w:t>
      </w:r>
      <w:r>
        <w:rPr>
          <w:rFonts w:ascii="Arial" w:cs="Arial" w:eastAsia="Arial" w:hAnsi="Arial"/>
          <w:sz w:val="16"/>
          <w:szCs w:val="16"/>
          <w:color w:val="auto"/>
        </w:rPr>
        <w:t>dropped 19.0%, due to:</w:t>
      </w:r>
    </w:p>
    <w:p>
      <w:pPr>
        <w:spacing w:after="0" w:line="200" w:lineRule="exact"/>
        <w:rPr>
          <w:sz w:val="20"/>
          <w:szCs w:val="20"/>
          <w:color w:val="auto"/>
        </w:rPr>
      </w:pPr>
    </w:p>
    <w:p>
      <w:pPr>
        <w:ind w:left="720" w:right="60" w:hanging="282"/>
        <w:spacing w:after="0" w:line="245"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Other non-operating income</w:t>
      </w:r>
      <w:r>
        <w:rPr>
          <w:rFonts w:ascii="Arial" w:cs="Arial" w:eastAsia="Arial" w:hAnsi="Arial"/>
          <w:sz w:val="16"/>
          <w:szCs w:val="16"/>
          <w:color w:val="auto"/>
        </w:rPr>
        <w:t>: fell 25.9%, impacted by extraordinary income in 3Q24 in</w:t>
      </w:r>
      <w:r>
        <w:rPr>
          <w:rFonts w:ascii="Arial" w:cs="Arial" w:eastAsia="Arial" w:hAnsi="Arial"/>
          <w:sz w:val="16"/>
          <w:szCs w:val="16"/>
          <w:b w:val="1"/>
          <w:bCs w:val="1"/>
          <w:color w:val="auto"/>
        </w:rPr>
        <w:t xml:space="preserve"> Others</w:t>
      </w:r>
      <w:r>
        <w:rPr>
          <w:rFonts w:ascii="Arial" w:cs="Arial" w:eastAsia="Arial" w:hAnsi="Arial"/>
          <w:sz w:val="16"/>
          <w:szCs w:val="16"/>
          <w:color w:val="auto"/>
        </w:rPr>
        <w:t>, which registered a reversal of provisions at</w:t>
      </w:r>
      <w:r>
        <w:rPr>
          <w:rFonts w:ascii="Arial" w:cs="Arial" w:eastAsia="Arial" w:hAnsi="Arial"/>
          <w:sz w:val="16"/>
          <w:szCs w:val="16"/>
          <w:b w:val="1"/>
          <w:bCs w:val="1"/>
          <w:color w:val="auto"/>
        </w:rPr>
        <w:t xml:space="preserve"> </w:t>
      </w:r>
      <w:r>
        <w:rPr>
          <w:rFonts w:ascii="Arial" w:cs="Arial" w:eastAsia="Arial" w:hAnsi="Arial"/>
          <w:sz w:val="16"/>
          <w:szCs w:val="16"/>
          <w:color w:val="auto"/>
        </w:rPr>
        <w:t>ASHC.</w:t>
      </w:r>
    </w:p>
    <w:p>
      <w:pPr>
        <w:jc w:val="both"/>
        <w:ind w:left="720" w:hanging="282"/>
        <w:spacing w:after="0" w:line="234"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Net gain on investment in associates </w:t>
      </w:r>
      <w:r>
        <w:rPr>
          <w:rFonts w:ascii="Arial" w:cs="Arial" w:eastAsia="Arial" w:hAnsi="Arial"/>
          <w:sz w:val="16"/>
          <w:szCs w:val="16"/>
          <w:color w:val="auto"/>
        </w:rPr>
        <w:t>: decreased 85.4%, mainly attributable to</w:t>
      </w:r>
      <w:r>
        <w:rPr>
          <w:rFonts w:ascii="Arial" w:cs="Arial" w:eastAsia="Arial" w:hAnsi="Arial"/>
          <w:sz w:val="16"/>
          <w:szCs w:val="16"/>
          <w:b w:val="1"/>
          <w:bCs w:val="1"/>
          <w:color w:val="auto"/>
        </w:rPr>
        <w:t xml:space="preserve"> Pacifico</w:t>
      </w:r>
      <w:r>
        <w:rPr>
          <w:rFonts w:ascii="Arial" w:cs="Arial" w:eastAsia="Arial" w:hAnsi="Arial"/>
          <w:sz w:val="16"/>
          <w:szCs w:val="16"/>
          <w:color w:val="auto"/>
        </w:rPr>
        <w:t>, which experienced a change in accounting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of Banmedica; currently, the results for corporate health insurance and medical services are consolidated in the Insurance Underwriting Result and Medical Services line rather than in the gain from associates line.</w:t>
      </w:r>
    </w:p>
    <w:p>
      <w:pPr>
        <w:spacing w:after="0" w:line="1" w:lineRule="exact"/>
        <w:rPr>
          <w:rFonts w:ascii="Arial" w:cs="Arial" w:eastAsia="Arial" w:hAnsi="Arial"/>
          <w:sz w:val="16"/>
          <w:szCs w:val="16"/>
          <w:color w:val="auto"/>
        </w:rPr>
      </w:pPr>
    </w:p>
    <w:p>
      <w:pPr>
        <w:ind w:left="720" w:hanging="282"/>
        <w:spacing w:after="0" w:line="237"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Net gain (loss) on securities </w:t>
      </w:r>
      <w:r>
        <w:rPr>
          <w:rFonts w:ascii="Arial" w:cs="Arial" w:eastAsia="Arial" w:hAnsi="Arial"/>
          <w:sz w:val="16"/>
          <w:szCs w:val="16"/>
          <w:color w:val="auto"/>
        </w:rPr>
        <w:t>: dropped 6.7%, impacted primarily by</w:t>
      </w:r>
      <w:r>
        <w:rPr>
          <w:rFonts w:ascii="Arial" w:cs="Arial" w:eastAsia="Arial" w:hAnsi="Arial"/>
          <w:sz w:val="16"/>
          <w:szCs w:val="16"/>
          <w:b w:val="1"/>
          <w:bCs w:val="1"/>
          <w:color w:val="auto"/>
        </w:rPr>
        <w:t xml:space="preserve"> Pacífico</w:t>
      </w:r>
      <w:r>
        <w:rPr>
          <w:rFonts w:ascii="Arial" w:cs="Arial" w:eastAsia="Arial" w:hAnsi="Arial"/>
          <w:sz w:val="16"/>
          <w:szCs w:val="16"/>
          <w:color w:val="auto"/>
        </w:rPr>
        <w:t>, which was impacted by credit downgrades on a couple of assets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investment portfolio. The YoY decline was also driven by </w:t>
      </w:r>
      <w:r>
        <w:rPr>
          <w:rFonts w:ascii="Arial" w:cs="Arial" w:eastAsia="Arial" w:hAnsi="Arial"/>
          <w:sz w:val="16"/>
          <w:szCs w:val="16"/>
          <w:b w:val="1"/>
          <w:bCs w:val="1"/>
          <w:color w:val="auto"/>
        </w:rPr>
        <w:t>BCP Bolivia</w:t>
      </w:r>
      <w:r>
        <w:rPr>
          <w:rFonts w:ascii="Arial" w:cs="Arial" w:eastAsia="Arial" w:hAnsi="Arial"/>
          <w:sz w:val="16"/>
          <w:szCs w:val="16"/>
          <w:color w:val="auto"/>
        </w:rPr>
        <w:t xml:space="preserve">, which was affected by a base effect associated with the release of anticipated losses on investments in 3Q24, and by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which registered a base effect related to sovereign bonds exchanges and sales in 3Q24. This contraction was partially offset by an uptick in the gain on securities at </w:t>
      </w:r>
      <w:r>
        <w:rPr>
          <w:rFonts w:ascii="Arial" w:cs="Arial" w:eastAsia="Arial" w:hAnsi="Arial"/>
          <w:sz w:val="16"/>
          <w:szCs w:val="16"/>
          <w:b w:val="1"/>
          <w:bCs w:val="1"/>
          <w:color w:val="auto"/>
        </w:rPr>
        <w:t>Credicorp Capital</w:t>
      </w:r>
      <w:r>
        <w:rPr>
          <w:rFonts w:ascii="Arial" w:cs="Arial" w:eastAsia="Arial" w:hAnsi="Arial"/>
          <w:sz w:val="16"/>
          <w:szCs w:val="16"/>
          <w:color w:val="auto"/>
        </w:rPr>
        <w:t>, which was driven by the same dynamics as those seen QoQ.</w:t>
      </w:r>
    </w:p>
    <w:p>
      <w:pPr>
        <w:spacing w:after="0" w:line="16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 xml:space="preserve">The reduction in </w:t>
      </w:r>
      <w:r>
        <w:rPr>
          <w:rFonts w:ascii="Arial" w:cs="Arial" w:eastAsia="Arial" w:hAnsi="Arial"/>
          <w:sz w:val="16"/>
          <w:szCs w:val="16"/>
          <w:b w:val="1"/>
          <w:bCs w:val="1"/>
          <w:color w:val="auto"/>
        </w:rPr>
        <w:t>Other Non- Core Income</w:t>
      </w:r>
      <w:r>
        <w:rPr>
          <w:rFonts w:ascii="Arial" w:cs="Arial" w:eastAsia="Arial" w:hAnsi="Arial"/>
          <w:sz w:val="16"/>
          <w:szCs w:val="16"/>
          <w:color w:val="auto"/>
        </w:rPr>
        <w:t xml:space="preserve"> was partially offset by the YoY increase in the </w:t>
      </w:r>
      <w:r>
        <w:rPr>
          <w:rFonts w:ascii="Arial" w:cs="Arial" w:eastAsia="Arial" w:hAnsi="Arial"/>
          <w:sz w:val="16"/>
          <w:szCs w:val="16"/>
          <w:b w:val="1"/>
          <w:bCs w:val="1"/>
          <w:color w:val="auto"/>
        </w:rPr>
        <w:t>Net Gain (Loss) on Exchange Differences</w:t>
      </w:r>
      <w:r>
        <w:rPr>
          <w:rFonts w:ascii="Arial" w:cs="Arial" w:eastAsia="Arial" w:hAnsi="Arial"/>
          <w:sz w:val="16"/>
          <w:szCs w:val="16"/>
          <w:color w:val="auto"/>
        </w:rPr>
        <w:t>, which reflected the base effect generated by USDPEN exchange rate volatility in 3Q24.</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w:t>
      </w:r>
      <w:r>
        <w:rPr>
          <w:rFonts w:ascii="Arial" w:cs="Arial" w:eastAsia="Arial" w:hAnsi="Arial"/>
          <w:sz w:val="16"/>
          <w:szCs w:val="16"/>
          <w:color w:val="auto"/>
        </w:rPr>
        <w:t>, Other Non-Core Income rose 7.4%, driven by</w:t>
      </w:r>
    </w:p>
    <w:p>
      <w:pPr>
        <w:spacing w:after="0" w:line="200" w:lineRule="exact"/>
        <w:rPr>
          <w:sz w:val="20"/>
          <w:szCs w:val="20"/>
          <w:color w:val="auto"/>
        </w:rPr>
      </w:pPr>
    </w:p>
    <w:p>
      <w:pPr>
        <w:ind w:left="720" w:hanging="282"/>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Other Non-Operating Income</w:t>
      </w:r>
      <w:r>
        <w:rPr>
          <w:rFonts w:ascii="Arial" w:cs="Arial" w:eastAsia="Arial" w:hAnsi="Arial"/>
          <w:sz w:val="16"/>
          <w:szCs w:val="16"/>
          <w:color w:val="auto"/>
        </w:rPr>
        <w:t>: increased 33.6%, buoyed by an extraordinary gain following the acquisition of Banmédica.</w:t>
      </w:r>
    </w:p>
    <w:p>
      <w:pPr>
        <w:spacing w:after="0" w:line="12" w:lineRule="exact"/>
        <w:rPr>
          <w:rFonts w:ascii="Arial" w:cs="Arial" w:eastAsia="Arial" w:hAnsi="Arial"/>
          <w:sz w:val="16"/>
          <w:szCs w:val="16"/>
          <w:color w:val="auto"/>
        </w:rPr>
      </w:pPr>
    </w:p>
    <w:p>
      <w:pPr>
        <w:ind w:left="720" w:hanging="282"/>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Net Gain (Loss) on exchange differences </w:t>
      </w:r>
      <w:r>
        <w:rPr>
          <w:rFonts w:ascii="Arial" w:cs="Arial" w:eastAsia="Arial" w:hAnsi="Arial"/>
          <w:sz w:val="16"/>
          <w:szCs w:val="16"/>
          <w:color w:val="auto"/>
        </w:rPr>
        <w:t>: up mainly through</w:t>
      </w:r>
      <w:r>
        <w:rPr>
          <w:rFonts w:ascii="Arial" w:cs="Arial" w:eastAsia="Arial" w:hAnsi="Arial"/>
          <w:sz w:val="16"/>
          <w:szCs w:val="16"/>
          <w:b w:val="1"/>
          <w:bCs w:val="1"/>
          <w:color w:val="auto"/>
        </w:rPr>
        <w:t xml:space="preserve"> ASB</w:t>
      </w:r>
      <w:r>
        <w:rPr>
          <w:rFonts w:ascii="Arial" w:cs="Arial" w:eastAsia="Arial" w:hAnsi="Arial"/>
          <w:sz w:val="16"/>
          <w:szCs w:val="16"/>
          <w:color w:val="auto"/>
        </w:rPr>
        <w:t>, due to treasury gains to cover exposure in local currencies.</w:t>
      </w:r>
    </w:p>
    <w:p>
      <w:pPr>
        <w:spacing w:after="0" w:line="184" w:lineRule="exact"/>
        <w:rPr>
          <w:sz w:val="20"/>
          <w:szCs w:val="20"/>
          <w:color w:val="auto"/>
        </w:rPr>
      </w:pPr>
    </w:p>
    <w:p>
      <w:pPr>
        <w:jc w:val="both"/>
        <w:ind w:right="60"/>
        <w:spacing w:after="0" w:line="245" w:lineRule="auto"/>
        <w:rPr>
          <w:sz w:val="20"/>
          <w:szCs w:val="20"/>
          <w:color w:val="auto"/>
        </w:rPr>
      </w:pPr>
      <w:r>
        <w:rPr>
          <w:rFonts w:ascii="Arial" w:cs="Arial" w:eastAsia="Arial" w:hAnsi="Arial"/>
          <w:sz w:val="16"/>
          <w:szCs w:val="16"/>
          <w:color w:val="auto"/>
        </w:rPr>
        <w:t xml:space="preserve">Growth in Other Non-Core Income YTD was partially attenuated by a </w:t>
      </w:r>
      <w:r>
        <w:rPr>
          <w:rFonts w:ascii="Arial" w:cs="Arial" w:eastAsia="Arial" w:hAnsi="Arial"/>
          <w:sz w:val="16"/>
          <w:szCs w:val="16"/>
          <w:b w:val="1"/>
          <w:bCs w:val="1"/>
          <w:color w:val="auto"/>
        </w:rPr>
        <w:t>Net gain on associates</w:t>
      </w:r>
      <w:r>
        <w:rPr>
          <w:rFonts w:ascii="Arial" w:cs="Arial" w:eastAsia="Arial" w:hAnsi="Arial"/>
          <w:sz w:val="16"/>
          <w:szCs w:val="16"/>
          <w:color w:val="auto"/>
        </w:rPr>
        <w:t xml:space="preserve"> (-62.9%), which reflects an accounting adjustment at </w:t>
      </w:r>
      <w:r>
        <w:rPr>
          <w:rFonts w:ascii="Arial" w:cs="Arial" w:eastAsia="Arial" w:hAnsi="Arial"/>
          <w:sz w:val="16"/>
          <w:szCs w:val="16"/>
          <w:b w:val="1"/>
          <w:bCs w:val="1"/>
          <w:color w:val="auto"/>
        </w:rPr>
        <w:t>Pacífico</w:t>
      </w:r>
      <w:r>
        <w:rPr>
          <w:rFonts w:ascii="Arial" w:cs="Arial" w:eastAsia="Arial" w:hAnsi="Arial"/>
          <w:sz w:val="16"/>
          <w:szCs w:val="16"/>
          <w:color w:val="auto"/>
        </w:rPr>
        <w:t>, and by a</w:t>
      </w:r>
      <w:r>
        <w:rPr>
          <w:rFonts w:ascii="Arial" w:cs="Arial" w:eastAsia="Arial" w:hAnsi="Arial"/>
          <w:sz w:val="16"/>
          <w:szCs w:val="16"/>
          <w:b w:val="1"/>
          <w:bCs w:val="1"/>
          <w:color w:val="auto"/>
        </w:rPr>
        <w:t xml:space="preserve"> Net Gain (Loss) on derivatives held for trading </w:t>
      </w:r>
      <w:r>
        <w:rPr>
          <w:rFonts w:ascii="Arial" w:cs="Arial" w:eastAsia="Arial" w:hAnsi="Arial"/>
          <w:sz w:val="16"/>
          <w:szCs w:val="16"/>
          <w:color w:val="auto"/>
        </w:rPr>
        <w:t>(-48.7%), in line with a reduction in results at</w:t>
      </w:r>
      <w:r>
        <w:rPr>
          <w:rFonts w:ascii="Arial" w:cs="Arial" w:eastAsia="Arial" w:hAnsi="Arial"/>
          <w:sz w:val="16"/>
          <w:szCs w:val="16"/>
          <w:b w:val="1"/>
          <w:bCs w:val="1"/>
          <w:color w:val="auto"/>
        </w:rPr>
        <w:t xml:space="preserve"> ASB and Credicorp Capital </w:t>
      </w:r>
      <w:r>
        <w:rPr>
          <w:rFonts w:ascii="Arial" w:cs="Arial" w:eastAsia="Arial" w:hAnsi="Arial"/>
          <w:sz w:val="16"/>
          <w:szCs w:val="16"/>
          <w:color w:val="auto"/>
        </w:rPr>
        <w:t>due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exposure in local currency portfolios. The YTD result was also impacted, albeit to a lesser extent, by a decrease in the </w:t>
      </w:r>
      <w:r>
        <w:rPr>
          <w:rFonts w:ascii="Arial" w:cs="Arial" w:eastAsia="Arial" w:hAnsi="Arial"/>
          <w:sz w:val="16"/>
          <w:szCs w:val="16"/>
          <w:b w:val="1"/>
          <w:bCs w:val="1"/>
          <w:color w:val="auto"/>
        </w:rPr>
        <w:t>Net Gain on Securities</w:t>
      </w:r>
      <w:r>
        <w:rPr>
          <w:rFonts w:ascii="Arial" w:cs="Arial" w:eastAsia="Arial" w:hAnsi="Arial"/>
          <w:sz w:val="16"/>
          <w:szCs w:val="16"/>
          <w:color w:val="auto"/>
        </w:rPr>
        <w:t xml:space="preserve"> (-4.2%)</w:t>
      </w:r>
      <w:r>
        <w:rPr>
          <w:rFonts w:ascii="Arial" w:cs="Arial" w:eastAsia="Arial" w:hAnsi="Arial"/>
          <w:sz w:val="16"/>
          <w:szCs w:val="16"/>
          <w:b w:val="1"/>
          <w:bCs w:val="1"/>
          <w:color w:val="auto"/>
        </w:rPr>
        <w:t>,</w:t>
      </w:r>
      <w:r>
        <w:rPr>
          <w:rFonts w:ascii="Arial" w:cs="Arial" w:eastAsia="Arial" w:hAnsi="Arial"/>
          <w:sz w:val="16"/>
          <w:szCs w:val="16"/>
          <w:color w:val="auto"/>
        </w:rPr>
        <w:t xml:space="preserve"> related to a deterioration of some investments in </w:t>
      </w:r>
      <w:r>
        <w:rPr>
          <w:rFonts w:ascii="Arial" w:cs="Arial" w:eastAsia="Arial" w:hAnsi="Arial"/>
          <w:sz w:val="16"/>
          <w:szCs w:val="16"/>
          <w:b w:val="1"/>
          <w:bCs w:val="1"/>
          <w:color w:val="auto"/>
        </w:rPr>
        <w:t>Pacifico</w:t>
      </w:r>
      <w:r>
        <w:rPr>
          <w:rFonts w:ascii="Arial" w:cs="Arial" w:eastAsia="Arial" w:hAnsi="Arial"/>
          <w:sz w:val="16"/>
          <w:szCs w:val="16"/>
          <w:color w:val="auto"/>
        </w:rPr>
        <w:t xml:space="preserve">, and by the devaluation of a fund in </w:t>
      </w:r>
      <w:r>
        <w:rPr>
          <w:rFonts w:ascii="Arial" w:cs="Arial" w:eastAsia="Arial" w:hAnsi="Arial"/>
          <w:sz w:val="16"/>
          <w:szCs w:val="16"/>
          <w:b w:val="1"/>
          <w:bCs w:val="1"/>
          <w:color w:val="auto"/>
        </w:rPr>
        <w:t>Others</w:t>
      </w:r>
      <w:r>
        <w:rPr>
          <w:rFonts w:ascii="Arial" w:cs="Arial" w:eastAsia="Arial" w:hAnsi="Arial"/>
          <w:sz w:val="16"/>
          <w:szCs w:val="16"/>
          <w:color w:val="auto"/>
        </w:rPr>
        <w:t xml:space="preserve">, which was partially offset by </w:t>
      </w:r>
      <w:r>
        <w:rPr>
          <w:rFonts w:ascii="Arial" w:cs="Arial" w:eastAsia="Arial" w:hAnsi="Arial"/>
          <w:sz w:val="16"/>
          <w:szCs w:val="16"/>
          <w:b w:val="1"/>
          <w:bCs w:val="1"/>
          <w:color w:val="auto"/>
        </w:rPr>
        <w:t xml:space="preserve">BCP Stand-alone, </w:t>
      </w:r>
      <w:r>
        <w:rPr>
          <w:rFonts w:ascii="Arial" w:cs="Arial" w:eastAsia="Arial" w:hAnsi="Arial"/>
          <w:sz w:val="16"/>
          <w:szCs w:val="16"/>
          <w:color w:val="auto"/>
        </w:rPr>
        <w:t>attributable to a sovereign bond exchange in 2Q25.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784225</wp:posOffset>
            </wp:positionV>
            <wp:extent cx="670750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97790</wp:posOffset>
            </wp:positionV>
            <wp:extent cx="5975985" cy="4648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75985" cy="464820"/>
                    </a:xfrm>
                    <a:prstGeom prst="rect">
                      <a:avLst/>
                    </a:prstGeom>
                    <a:noFill/>
                  </pic:spPr>
                </pic:pic>
              </a:graphicData>
            </a:graphic>
          </wp:anchor>
        </w:drawing>
      </w:r>
    </w:p>
    <w:p>
      <w:pPr>
        <w:sectPr>
          <w:pgSz w:w="11900" w:h="16840" w:orient="portrait"/>
          <w:cols w:equalWidth="0" w:num="1">
            <w:col w:w="10640"/>
          </w:cols>
          <w:pgMar w:left="660" w:top="931" w:right="600" w:bottom="1440" w:gutter="0" w:footer="0" w:header="0"/>
        </w:sectPr>
      </w:pPr>
    </w:p>
    <w:bookmarkStart w:id="37" w:name="page38"/>
    <w:bookmarkEnd w:id="37"/>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07  </w:t>
      </w:r>
      <w:r>
        <w:rPr>
          <w:rFonts w:ascii="Arial" w:cs="Arial" w:eastAsia="Arial" w:hAnsi="Arial"/>
          <w:sz w:val="28"/>
          <w:szCs w:val="28"/>
          <w:color w:val="E93BAC"/>
        </w:rPr>
        <w:t>Results for Insurance Underwriting and Medical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6707505" cy="8610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07505" cy="861060"/>
                    </a:xfrm>
                    <a:prstGeom prst="rect">
                      <a:avLst/>
                    </a:prstGeom>
                    <a:noFill/>
                  </pic:spPr>
                </pic:pic>
              </a:graphicData>
            </a:graphic>
          </wp:anchor>
        </w:drawing>
      </w:r>
    </w:p>
    <w:p>
      <w:pPr>
        <w:spacing w:after="0" w:line="224" w:lineRule="exact"/>
        <w:rPr>
          <w:sz w:val="20"/>
          <w:szCs w:val="20"/>
          <w:color w:val="auto"/>
        </w:rPr>
      </w:pPr>
    </w:p>
    <w:p>
      <w:pPr>
        <w:jc w:val="both"/>
        <w:ind w:left="180" w:right="180"/>
        <w:spacing w:after="0" w:line="239" w:lineRule="auto"/>
        <w:rPr>
          <w:sz w:val="20"/>
          <w:szCs w:val="20"/>
          <w:color w:val="auto"/>
        </w:rPr>
      </w:pPr>
      <w:r>
        <w:rPr>
          <w:rFonts w:ascii="Arial" w:cs="Arial" w:eastAsia="Arial" w:hAnsi="Arial"/>
          <w:sz w:val="16"/>
          <w:szCs w:val="16"/>
          <w:color w:val="FFFFFF"/>
        </w:rPr>
        <w:t>QoQ, the Insurance Underwriting Result rose 10.7%. This evolution was driven primarily by (i) Life, attributable to a drop in expenses for Insurance Service Expenses on the back of a decrease in claims in D&amp;S and Group Life, (ii) EPS, which showed higher Insurance Service Income supported by a solid commercial performance that resulted in higher premiums, and (iii) P&amp;C, due to a more favorable reinsurance Result in Commercial Lines.</w:t>
      </w:r>
    </w:p>
    <w:p>
      <w:pPr>
        <w:spacing w:after="0" w:line="1" w:lineRule="exact"/>
        <w:rPr>
          <w:sz w:val="20"/>
          <w:szCs w:val="20"/>
          <w:color w:val="auto"/>
        </w:rPr>
      </w:pPr>
    </w:p>
    <w:p>
      <w:pPr>
        <w:jc w:val="both"/>
        <w:ind w:left="180" w:right="180"/>
        <w:spacing w:after="0" w:line="239" w:lineRule="auto"/>
        <w:rPr>
          <w:sz w:val="20"/>
          <w:szCs w:val="20"/>
          <w:color w:val="auto"/>
        </w:rPr>
      </w:pPr>
      <w:r>
        <w:rPr>
          <w:rFonts w:ascii="Arial" w:cs="Arial" w:eastAsia="Arial" w:hAnsi="Arial"/>
          <w:sz w:val="16"/>
          <w:szCs w:val="16"/>
          <w:color w:val="FFFFFF"/>
        </w:rPr>
        <w:t>YoY and YTD, results increased 33.1% and 20.5% respectively, through (i) Life, due to a reduction in Insurance Service Expenses in D&amp;S and Individual Life and growth in Income in Credit Life; (ii) P &amp; C, due to the same dynamics exposed on the QoQ analysis; and (iii) the EPS business, due to the change in perimeter given the consolidation of Banmedica's operations.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600" w:type="dxa"/>
            <w:vAlign w:val="bottom"/>
            <w:tcBorders>
              <w:top w:val="single" w:sz="8" w:color="auto"/>
              <w:left w:val="single" w:sz="8" w:color="auto"/>
              <w:right w:val="single" w:sz="8" w:color="auto"/>
            </w:tcBorders>
            <w:gridSpan w:val="2"/>
            <w:shd w:val="clear" w:color="auto" w:fill="33CCCC"/>
          </w:tcPr>
          <w:p>
            <w:pPr>
              <w:ind w:left="40"/>
              <w:spacing w:after="0"/>
              <w:rPr>
                <w:sz w:val="20"/>
                <w:szCs w:val="20"/>
                <w:color w:val="auto"/>
              </w:rPr>
            </w:pPr>
            <w:r>
              <w:rPr>
                <w:rFonts w:ascii="Arial" w:cs="Arial" w:eastAsia="Arial" w:hAnsi="Arial"/>
                <w:sz w:val="11"/>
                <w:szCs w:val="11"/>
                <w:b w:val="1"/>
                <w:bCs w:val="1"/>
                <w:color w:val="FFFFFF"/>
              </w:rPr>
              <w:t>Insurance Underwriting Results</w:t>
            </w:r>
          </w:p>
        </w:tc>
        <w:tc>
          <w:tcPr>
            <w:tcW w:w="740" w:type="dxa"/>
            <w:vAlign w:val="bottom"/>
            <w:tcBorders>
              <w:top w:val="single" w:sz="8" w:color="auto"/>
            </w:tcBorders>
            <w:shd w:val="clear" w:color="auto" w:fill="33CCCC"/>
          </w:tcPr>
          <w:p>
            <w:pPr>
              <w:spacing w:after="0"/>
              <w:rPr>
                <w:sz w:val="16"/>
                <w:szCs w:val="16"/>
                <w:color w:val="auto"/>
              </w:rPr>
            </w:pPr>
          </w:p>
        </w:tc>
        <w:tc>
          <w:tcPr>
            <w:tcW w:w="880" w:type="dxa"/>
            <w:vAlign w:val="bottom"/>
            <w:tcBorders>
              <w:top w:val="single" w:sz="8" w:color="auto"/>
            </w:tcBorders>
            <w:shd w:val="clear" w:color="auto" w:fill="33CCCC"/>
          </w:tcPr>
          <w:p>
            <w:pPr>
              <w:ind w:left="200"/>
              <w:spacing w:after="0"/>
              <w:rPr>
                <w:sz w:val="20"/>
                <w:szCs w:val="20"/>
                <w:color w:val="auto"/>
              </w:rPr>
            </w:pPr>
            <w:r>
              <w:rPr>
                <w:rFonts w:ascii="Arial" w:cs="Arial" w:eastAsia="Arial" w:hAnsi="Arial"/>
                <w:sz w:val="11"/>
                <w:szCs w:val="11"/>
                <w:b w:val="1"/>
                <w:bCs w:val="1"/>
                <w:color w:val="FFFFFF"/>
              </w:rPr>
              <w:t>Quarterly</w:t>
            </w:r>
          </w:p>
        </w:tc>
        <w:tc>
          <w:tcPr>
            <w:tcW w:w="800" w:type="dxa"/>
            <w:vAlign w:val="bottom"/>
            <w:tcBorders>
              <w:top w:val="single" w:sz="8" w:color="auto"/>
              <w:right w:val="single" w:sz="8" w:color="auto"/>
            </w:tcBorders>
            <w:shd w:val="clear" w:color="auto" w:fill="33CCCC"/>
          </w:tcPr>
          <w:p>
            <w:pPr>
              <w:spacing w:after="0"/>
              <w:rPr>
                <w:sz w:val="16"/>
                <w:szCs w:val="16"/>
                <w:color w:val="auto"/>
              </w:rPr>
            </w:pPr>
          </w:p>
        </w:tc>
        <w:tc>
          <w:tcPr>
            <w:tcW w:w="1100" w:type="dxa"/>
            <w:vAlign w:val="bottom"/>
            <w:tcBorders>
              <w:top w:val="single" w:sz="8" w:color="auto"/>
            </w:tcBorders>
            <w:gridSpan w:val="2"/>
            <w:shd w:val="clear" w:color="auto" w:fill="33CCCC"/>
          </w:tcPr>
          <w:p>
            <w:pPr>
              <w:ind w:left="560"/>
              <w:spacing w:after="0"/>
              <w:rPr>
                <w:sz w:val="20"/>
                <w:szCs w:val="20"/>
                <w:color w:val="auto"/>
              </w:rPr>
            </w:pPr>
            <w:r>
              <w:rPr>
                <w:rFonts w:ascii="Arial" w:cs="Arial" w:eastAsia="Arial" w:hAnsi="Arial"/>
                <w:sz w:val="11"/>
                <w:szCs w:val="11"/>
                <w:b w:val="1"/>
                <w:bCs w:val="1"/>
                <w:color w:val="FFFFFF"/>
                <w:w w:val="97"/>
              </w:rPr>
              <w:t>% Change</w:t>
            </w:r>
          </w:p>
        </w:tc>
        <w:tc>
          <w:tcPr>
            <w:tcW w:w="580" w:type="dxa"/>
            <w:vAlign w:val="bottom"/>
            <w:tcBorders>
              <w:top w:val="single" w:sz="8" w:color="auto"/>
              <w:right w:val="single" w:sz="8" w:color="auto"/>
            </w:tcBorders>
            <w:shd w:val="clear" w:color="auto" w:fill="33CCCC"/>
          </w:tcPr>
          <w:p>
            <w:pPr>
              <w:spacing w:after="0"/>
              <w:rPr>
                <w:sz w:val="16"/>
                <w:szCs w:val="16"/>
                <w:color w:val="auto"/>
              </w:rPr>
            </w:pPr>
          </w:p>
        </w:tc>
        <w:tc>
          <w:tcPr>
            <w:tcW w:w="660" w:type="dxa"/>
            <w:vAlign w:val="bottom"/>
            <w:tcBorders>
              <w:top w:val="single" w:sz="8" w:color="auto"/>
            </w:tcBorders>
            <w:shd w:val="clear" w:color="auto" w:fill="33CCCC"/>
          </w:tcPr>
          <w:p>
            <w:pPr>
              <w:spacing w:after="0"/>
              <w:rPr>
                <w:sz w:val="16"/>
                <w:szCs w:val="16"/>
                <w:color w:val="auto"/>
              </w:rPr>
            </w:pPr>
          </w:p>
        </w:tc>
        <w:tc>
          <w:tcPr>
            <w:tcW w:w="1020" w:type="dxa"/>
            <w:vAlign w:val="bottom"/>
            <w:tcBorders>
              <w:top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1"/>
                <w:szCs w:val="11"/>
                <w:b w:val="1"/>
                <w:bCs w:val="1"/>
                <w:color w:val="FFFFFF"/>
              </w:rPr>
              <w:t>Up to</w:t>
            </w:r>
          </w:p>
        </w:tc>
        <w:tc>
          <w:tcPr>
            <w:tcW w:w="120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9"/>
              </w:rPr>
              <w:t>%Change</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33CCCC"/>
            </w:tcBorders>
            <w:shd w:val="clear" w:color="auto" w:fill="33CCCC"/>
          </w:tcPr>
          <w:p>
            <w:pPr>
              <w:ind w:left="40"/>
              <w:spacing w:after="0"/>
              <w:rPr>
                <w:sz w:val="20"/>
                <w:szCs w:val="20"/>
                <w:color w:val="auto"/>
              </w:rPr>
            </w:pPr>
            <w:r>
              <w:rPr>
                <w:rFonts w:ascii="Arial" w:cs="Arial" w:eastAsia="Arial" w:hAnsi="Arial"/>
                <w:sz w:val="11"/>
                <w:szCs w:val="11"/>
                <w:b w:val="1"/>
                <w:bCs w:val="1"/>
                <w:color w:val="FFFFFF"/>
              </w:rPr>
              <w:t>S/millions</w:t>
            </w:r>
          </w:p>
        </w:tc>
        <w:tc>
          <w:tcPr>
            <w:tcW w:w="2700" w:type="dxa"/>
            <w:vAlign w:val="bottom"/>
            <w:tcBorders>
              <w:bottom w:val="single" w:sz="8" w:color="auto"/>
              <w:right w:val="single" w:sz="8" w:color="auto"/>
            </w:tcBorders>
            <w:shd w:val="clear" w:color="auto" w:fill="33CCCC"/>
          </w:tcPr>
          <w:p>
            <w:pPr>
              <w:spacing w:after="0"/>
              <w:rPr>
                <w:sz w:val="16"/>
                <w:szCs w:val="16"/>
                <w:color w:val="auto"/>
              </w:rPr>
            </w:pPr>
          </w:p>
        </w:tc>
        <w:tc>
          <w:tcPr>
            <w:tcW w:w="7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3Q24</w:t>
            </w:r>
          </w:p>
        </w:tc>
        <w:tc>
          <w:tcPr>
            <w:tcW w:w="8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2Q25</w:t>
            </w:r>
          </w:p>
        </w:tc>
        <w:tc>
          <w:tcPr>
            <w:tcW w:w="8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3Q25</w:t>
            </w:r>
          </w:p>
        </w:tc>
        <w:tc>
          <w:tcPr>
            <w:tcW w:w="1100" w:type="dxa"/>
            <w:vAlign w:val="bottom"/>
            <w:tcBorders>
              <w:bottom w:val="single" w:sz="8" w:color="auto"/>
            </w:tcBorders>
            <w:gridSpan w:val="2"/>
            <w:shd w:val="clear" w:color="auto" w:fill="33CCCC"/>
          </w:tcPr>
          <w:p>
            <w:pPr>
              <w:ind w:left="320"/>
              <w:spacing w:after="0"/>
              <w:rPr>
                <w:sz w:val="20"/>
                <w:szCs w:val="20"/>
                <w:color w:val="auto"/>
              </w:rPr>
            </w:pPr>
            <w:r>
              <w:rPr>
                <w:rFonts w:ascii="Arial" w:cs="Arial" w:eastAsia="Arial" w:hAnsi="Arial"/>
                <w:sz w:val="11"/>
                <w:szCs w:val="11"/>
                <w:b w:val="1"/>
                <w:bCs w:val="1"/>
                <w:color w:val="FFFFFF"/>
              </w:rPr>
              <w:t>QoQ</w:t>
            </w:r>
          </w:p>
        </w:tc>
        <w:tc>
          <w:tcPr>
            <w:tcW w:w="580" w:type="dxa"/>
            <w:vAlign w:val="bottom"/>
            <w:tcBorders>
              <w:bottom w:val="single" w:sz="8" w:color="auto"/>
              <w:right w:val="single" w:sz="8" w:color="auto"/>
            </w:tcBorders>
            <w:shd w:val="clear" w:color="auto" w:fill="33CCCC"/>
          </w:tcPr>
          <w:p>
            <w:pPr>
              <w:jc w:val="center"/>
              <w:ind w:right="206"/>
              <w:spacing w:after="0"/>
              <w:rPr>
                <w:sz w:val="20"/>
                <w:szCs w:val="20"/>
                <w:color w:val="auto"/>
              </w:rPr>
            </w:pPr>
            <w:r>
              <w:rPr>
                <w:rFonts w:ascii="Arial" w:cs="Arial" w:eastAsia="Arial" w:hAnsi="Arial"/>
                <w:sz w:val="11"/>
                <w:szCs w:val="11"/>
                <w:b w:val="1"/>
                <w:bCs w:val="1"/>
                <w:color w:val="FFFFFF"/>
                <w:w w:val="93"/>
              </w:rPr>
              <w:t>YoY</w:t>
            </w:r>
          </w:p>
        </w:tc>
        <w:tc>
          <w:tcPr>
            <w:tcW w:w="660" w:type="dxa"/>
            <w:vAlign w:val="bottom"/>
            <w:tcBorders>
              <w:bottom w:val="single" w:sz="8" w:color="auto"/>
            </w:tcBorders>
            <w:shd w:val="clear" w:color="auto" w:fill="33CCCC"/>
          </w:tcPr>
          <w:p>
            <w:pPr>
              <w:ind w:left="260"/>
              <w:spacing w:after="0"/>
              <w:rPr>
                <w:sz w:val="20"/>
                <w:szCs w:val="20"/>
                <w:color w:val="auto"/>
              </w:rPr>
            </w:pPr>
            <w:r>
              <w:rPr>
                <w:rFonts w:ascii="Arial" w:cs="Arial" w:eastAsia="Arial" w:hAnsi="Arial"/>
                <w:sz w:val="11"/>
                <w:szCs w:val="11"/>
                <w:b w:val="1"/>
                <w:bCs w:val="1"/>
                <w:color w:val="FFFFFF"/>
              </w:rPr>
              <w:t>Sep 24</w:t>
            </w:r>
          </w:p>
        </w:tc>
        <w:tc>
          <w:tcPr>
            <w:tcW w:w="1020" w:type="dxa"/>
            <w:vAlign w:val="bottom"/>
            <w:tcBorders>
              <w:bottom w:val="single" w:sz="8" w:color="auto"/>
              <w:right w:val="single" w:sz="8" w:color="auto"/>
            </w:tcBorders>
            <w:shd w:val="clear" w:color="auto" w:fill="33CCCC"/>
          </w:tcPr>
          <w:p>
            <w:pPr>
              <w:ind w:left="420"/>
              <w:spacing w:after="0"/>
              <w:rPr>
                <w:sz w:val="20"/>
                <w:szCs w:val="20"/>
                <w:color w:val="auto"/>
              </w:rPr>
            </w:pPr>
            <w:r>
              <w:rPr>
                <w:rFonts w:ascii="Arial" w:cs="Arial" w:eastAsia="Arial" w:hAnsi="Arial"/>
                <w:sz w:val="11"/>
                <w:szCs w:val="11"/>
                <w:b w:val="1"/>
                <w:bCs w:val="1"/>
                <w:color w:val="FFFFFF"/>
              </w:rPr>
              <w:t>Sep 25</w:t>
            </w:r>
          </w:p>
        </w:tc>
        <w:tc>
          <w:tcPr>
            <w:tcW w:w="12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9"/>
              </w:rPr>
              <w:t>Sep 25 / Sep 24</w:t>
            </w:r>
          </w:p>
        </w:tc>
        <w:tc>
          <w:tcPr>
            <w:tcW w:w="0" w:type="dxa"/>
            <w:vAlign w:val="bottom"/>
          </w:tcPr>
          <w:p>
            <w:pPr>
              <w:spacing w:after="0"/>
              <w:rPr>
                <w:sz w:val="1"/>
                <w:szCs w:val="1"/>
                <w:color w:val="auto"/>
              </w:rPr>
            </w:pPr>
          </w:p>
        </w:tc>
      </w:tr>
      <w:tr>
        <w:trPr>
          <w:trHeight w:val="162"/>
        </w:trPr>
        <w:tc>
          <w:tcPr>
            <w:tcW w:w="900" w:type="dxa"/>
            <w:vAlign w:val="bottom"/>
            <w:tcBorders>
              <w:left w:val="single" w:sz="8" w:color="auto"/>
              <w:right w:val="single" w:sz="8" w:color="auto"/>
            </w:tcBorders>
          </w:tcPr>
          <w:p>
            <w:pPr>
              <w:spacing w:after="0"/>
              <w:rPr>
                <w:sz w:val="14"/>
                <w:szCs w:val="14"/>
                <w:color w:val="auto"/>
              </w:rPr>
            </w:pPr>
          </w:p>
        </w:tc>
        <w:tc>
          <w:tcPr>
            <w:tcW w:w="27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Insurance Service Income</w:t>
            </w:r>
          </w:p>
        </w:tc>
        <w:tc>
          <w:tcPr>
            <w:tcW w:w="740" w:type="dxa"/>
            <w:vAlign w:val="bottom"/>
          </w:tcPr>
          <w:p>
            <w:pPr>
              <w:jc w:val="center"/>
              <w:spacing w:after="0"/>
              <w:rPr>
                <w:sz w:val="20"/>
                <w:szCs w:val="20"/>
                <w:color w:val="auto"/>
              </w:rPr>
            </w:pPr>
            <w:r>
              <w:rPr>
                <w:rFonts w:ascii="Arial" w:cs="Arial" w:eastAsia="Arial" w:hAnsi="Arial"/>
                <w:sz w:val="11"/>
                <w:szCs w:val="11"/>
                <w:color w:val="auto"/>
              </w:rPr>
              <w:t>940.9</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1,185.6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1,212.4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2.3%</w:t>
            </w:r>
          </w:p>
        </w:tc>
        <w:tc>
          <w:tcPr>
            <w:tcW w:w="220" w:type="dxa"/>
            <w:vAlign w:val="bottom"/>
          </w:tcPr>
          <w:p>
            <w:pPr>
              <w:spacing w:after="0"/>
              <w:rPr>
                <w:sz w:val="14"/>
                <w:szCs w:val="14"/>
                <w:color w:val="auto"/>
              </w:rPr>
            </w:pPr>
          </w:p>
        </w:tc>
        <w:tc>
          <w:tcPr>
            <w:tcW w:w="580" w:type="dxa"/>
            <w:vAlign w:val="bottom"/>
            <w:tcBorders>
              <w:right w:val="single" w:sz="8" w:color="auto"/>
            </w:tcBorders>
          </w:tcPr>
          <w:p>
            <w:pPr>
              <w:jc w:val="center"/>
              <w:ind w:right="186"/>
              <w:spacing w:after="0"/>
              <w:rPr>
                <w:sz w:val="20"/>
                <w:szCs w:val="20"/>
                <w:color w:val="auto"/>
              </w:rPr>
            </w:pPr>
            <w:r>
              <w:rPr>
                <w:rFonts w:ascii="Arial" w:cs="Arial" w:eastAsia="Arial" w:hAnsi="Arial"/>
                <w:sz w:val="11"/>
                <w:szCs w:val="11"/>
                <w:color w:val="auto"/>
                <w:w w:val="96"/>
              </w:rPr>
              <w:t>28.9%</w:t>
            </w:r>
          </w:p>
        </w:tc>
        <w:tc>
          <w:tcPr>
            <w:tcW w:w="660" w:type="dxa"/>
            <w:vAlign w:val="bottom"/>
          </w:tcPr>
          <w:p>
            <w:pPr>
              <w:jc w:val="center"/>
              <w:ind w:left="126"/>
              <w:spacing w:after="0"/>
              <w:rPr>
                <w:sz w:val="20"/>
                <w:szCs w:val="20"/>
                <w:color w:val="auto"/>
              </w:rPr>
            </w:pPr>
            <w:r>
              <w:rPr>
                <w:rFonts w:ascii="Arial" w:cs="Arial" w:eastAsia="Arial" w:hAnsi="Arial"/>
                <w:sz w:val="11"/>
                <w:szCs w:val="11"/>
                <w:color w:val="auto"/>
                <w:w w:val="97"/>
              </w:rPr>
              <w:t>2,788.0</w:t>
            </w:r>
          </w:p>
        </w:tc>
        <w:tc>
          <w:tcPr>
            <w:tcW w:w="1020" w:type="dxa"/>
            <w:vAlign w:val="bottom"/>
            <w:tcBorders>
              <w:right w:val="single" w:sz="8" w:color="auto"/>
            </w:tcBorders>
          </w:tcPr>
          <w:p>
            <w:pPr>
              <w:jc w:val="center"/>
              <w:ind w:left="126"/>
              <w:spacing w:after="0"/>
              <w:rPr>
                <w:sz w:val="20"/>
                <w:szCs w:val="20"/>
                <w:color w:val="auto"/>
              </w:rPr>
            </w:pPr>
            <w:r>
              <w:rPr>
                <w:rFonts w:ascii="Arial" w:cs="Arial" w:eastAsia="Arial" w:hAnsi="Arial"/>
                <w:sz w:val="11"/>
                <w:szCs w:val="11"/>
                <w:color w:val="auto"/>
                <w:w w:val="97"/>
              </w:rPr>
              <w:t>3,386.0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21.4%</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Total</w:t>
            </w:r>
          </w:p>
        </w:tc>
        <w:tc>
          <w:tcPr>
            <w:tcW w:w="27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Insurance Service Expenses</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(514.7)</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(738.8)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(746.6)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1.1%</w:t>
            </w:r>
          </w:p>
        </w:tc>
        <w:tc>
          <w:tcPr>
            <w:tcW w:w="220" w:type="dxa"/>
            <w:vAlign w:val="bottom"/>
          </w:tcPr>
          <w:p>
            <w:pPr>
              <w:spacing w:after="0"/>
              <w:rPr>
                <w:sz w:val="18"/>
                <w:szCs w:val="18"/>
                <w:color w:val="auto"/>
              </w:rPr>
            </w:pPr>
          </w:p>
        </w:tc>
        <w:tc>
          <w:tcPr>
            <w:tcW w:w="580" w:type="dxa"/>
            <w:vAlign w:val="bottom"/>
            <w:tcBorders>
              <w:right w:val="single" w:sz="8" w:color="auto"/>
            </w:tcBorders>
          </w:tcPr>
          <w:p>
            <w:pPr>
              <w:jc w:val="center"/>
              <w:ind w:right="186"/>
              <w:spacing w:after="0"/>
              <w:rPr>
                <w:sz w:val="20"/>
                <w:szCs w:val="20"/>
                <w:color w:val="auto"/>
              </w:rPr>
            </w:pPr>
            <w:r>
              <w:rPr>
                <w:rFonts w:ascii="Arial" w:cs="Arial" w:eastAsia="Arial" w:hAnsi="Arial"/>
                <w:sz w:val="11"/>
                <w:szCs w:val="11"/>
                <w:color w:val="auto"/>
                <w:w w:val="96"/>
              </w:rPr>
              <w:t>45.1%</w:t>
            </w:r>
          </w:p>
        </w:tc>
        <w:tc>
          <w:tcPr>
            <w:tcW w:w="660" w:type="dxa"/>
            <w:vAlign w:val="bottom"/>
          </w:tcPr>
          <w:p>
            <w:pPr>
              <w:jc w:val="center"/>
              <w:ind w:left="146"/>
              <w:spacing w:after="0"/>
              <w:rPr>
                <w:sz w:val="20"/>
                <w:szCs w:val="20"/>
                <w:color w:val="auto"/>
              </w:rPr>
            </w:pPr>
            <w:r>
              <w:rPr>
                <w:rFonts w:ascii="Arial" w:cs="Arial" w:eastAsia="Arial" w:hAnsi="Arial"/>
                <w:sz w:val="11"/>
                <w:szCs w:val="11"/>
                <w:color w:val="auto"/>
                <w:w w:val="95"/>
              </w:rPr>
              <w:t>(1,487.1)</w:t>
            </w:r>
          </w:p>
        </w:tc>
        <w:tc>
          <w:tcPr>
            <w:tcW w:w="1020" w:type="dxa"/>
            <w:vAlign w:val="bottom"/>
            <w:tcBorders>
              <w:right w:val="single" w:sz="8" w:color="auto"/>
            </w:tcBorders>
          </w:tcPr>
          <w:p>
            <w:pPr>
              <w:jc w:val="center"/>
              <w:ind w:left="126"/>
              <w:spacing w:after="0"/>
              <w:rPr>
                <w:sz w:val="20"/>
                <w:szCs w:val="20"/>
                <w:color w:val="auto"/>
              </w:rPr>
            </w:pPr>
            <w:r>
              <w:rPr>
                <w:rFonts w:ascii="Arial" w:cs="Arial" w:eastAsia="Arial" w:hAnsi="Arial"/>
                <w:sz w:val="11"/>
                <w:szCs w:val="11"/>
                <w:color w:val="auto"/>
                <w:w w:val="99"/>
              </w:rPr>
              <w:t>(2,057.2)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38.3%</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right w:val="single" w:sz="8" w:color="auto"/>
            </w:tcBorders>
            <w:vMerge w:val="continue"/>
          </w:tcPr>
          <w:p>
            <w:pPr>
              <w:spacing w:after="0"/>
              <w:rPr>
                <w:sz w:val="7"/>
                <w:szCs w:val="7"/>
                <w:color w:val="auto"/>
              </w:rPr>
            </w:pPr>
          </w:p>
        </w:tc>
        <w:tc>
          <w:tcPr>
            <w:tcW w:w="27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Reinsurance Results</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7"/>
              </w:rPr>
              <w:t>(134.4)</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auto"/>
                <w:w w:val="97"/>
              </w:rPr>
              <w:t>(96.0)</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(77.4)</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-19.3%</w:t>
            </w: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86"/>
              <w:spacing w:after="0"/>
              <w:rPr>
                <w:sz w:val="20"/>
                <w:szCs w:val="20"/>
                <w:color w:val="auto"/>
              </w:rPr>
            </w:pPr>
            <w:r>
              <w:rPr>
                <w:rFonts w:ascii="Arial" w:cs="Arial" w:eastAsia="Arial" w:hAnsi="Arial"/>
                <w:sz w:val="11"/>
                <w:szCs w:val="11"/>
                <w:color w:val="auto"/>
                <w:w w:val="97"/>
              </w:rPr>
              <w:t>-42.4%</w:t>
            </w:r>
          </w:p>
        </w:tc>
        <w:tc>
          <w:tcPr>
            <w:tcW w:w="660" w:type="dxa"/>
            <w:vAlign w:val="bottom"/>
            <w:vMerge w:val="restart"/>
          </w:tcPr>
          <w:p>
            <w:pPr>
              <w:jc w:val="center"/>
              <w:ind w:left="146"/>
              <w:spacing w:after="0"/>
              <w:rPr>
                <w:sz w:val="20"/>
                <w:szCs w:val="20"/>
                <w:color w:val="auto"/>
              </w:rPr>
            </w:pPr>
            <w:r>
              <w:rPr>
                <w:rFonts w:ascii="Arial" w:cs="Arial" w:eastAsia="Arial" w:hAnsi="Arial"/>
                <w:sz w:val="11"/>
                <w:szCs w:val="11"/>
                <w:color w:val="auto"/>
                <w:w w:val="97"/>
              </w:rPr>
              <w:t>(414.6)</w:t>
            </w:r>
          </w:p>
        </w:tc>
        <w:tc>
          <w:tcPr>
            <w:tcW w:w="1020" w:type="dxa"/>
            <w:vAlign w:val="bottom"/>
            <w:tcBorders>
              <w:right w:val="single" w:sz="8" w:color="auto"/>
            </w:tcBorders>
            <w:vMerge w:val="restart"/>
          </w:tcPr>
          <w:p>
            <w:pPr>
              <w:jc w:val="center"/>
              <w:ind w:left="146"/>
              <w:spacing w:after="0"/>
              <w:rPr>
                <w:sz w:val="20"/>
                <w:szCs w:val="20"/>
                <w:color w:val="auto"/>
              </w:rPr>
            </w:pPr>
            <w:r>
              <w:rPr>
                <w:rFonts w:ascii="Arial" w:cs="Arial" w:eastAsia="Arial" w:hAnsi="Arial"/>
                <w:sz w:val="11"/>
                <w:szCs w:val="11"/>
                <w:color w:val="auto"/>
                <w:w w:val="97"/>
              </w:rPr>
              <w:t>(260.4)</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-37.2%</w:t>
            </w:r>
          </w:p>
        </w:tc>
        <w:tc>
          <w:tcPr>
            <w:tcW w:w="0" w:type="dxa"/>
            <w:vAlign w:val="bottom"/>
          </w:tcPr>
          <w:p>
            <w:pPr>
              <w:spacing w:after="0"/>
              <w:rPr>
                <w:sz w:val="1"/>
                <w:szCs w:val="1"/>
                <w:color w:val="auto"/>
              </w:rPr>
            </w:pPr>
          </w:p>
        </w:tc>
      </w:tr>
      <w:tr>
        <w:trPr>
          <w:trHeight w:val="96"/>
        </w:trPr>
        <w:tc>
          <w:tcPr>
            <w:tcW w:w="900" w:type="dxa"/>
            <w:vAlign w:val="bottom"/>
            <w:tcBorders>
              <w:left w:val="single" w:sz="8" w:color="auto"/>
              <w:right w:val="single" w:sz="8" w:color="auto"/>
            </w:tcBorders>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90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Insurance Underwriting Result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291.8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350.9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388.3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10.7%</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jc w:val="center"/>
              <w:ind w:right="186"/>
              <w:spacing w:after="0"/>
              <w:rPr>
                <w:sz w:val="20"/>
                <w:szCs w:val="20"/>
                <w:color w:val="auto"/>
              </w:rPr>
            </w:pPr>
            <w:r>
              <w:rPr>
                <w:rFonts w:ascii="Arial" w:cs="Arial" w:eastAsia="Arial" w:hAnsi="Arial"/>
                <w:sz w:val="11"/>
                <w:szCs w:val="11"/>
                <w:b w:val="1"/>
                <w:bCs w:val="1"/>
                <w:color w:val="auto"/>
                <w:w w:val="96"/>
              </w:rPr>
              <w:t>33.1%</w:t>
            </w:r>
          </w:p>
        </w:tc>
        <w:tc>
          <w:tcPr>
            <w:tcW w:w="660" w:type="dxa"/>
            <w:vAlign w:val="bottom"/>
            <w:tcBorders>
              <w:bottom w:val="single" w:sz="8" w:color="auto"/>
            </w:tcBorders>
          </w:tcPr>
          <w:p>
            <w:pPr>
              <w:jc w:val="center"/>
              <w:ind w:left="126"/>
              <w:spacing w:after="0"/>
              <w:rPr>
                <w:sz w:val="20"/>
                <w:szCs w:val="20"/>
                <w:color w:val="auto"/>
              </w:rPr>
            </w:pPr>
            <w:r>
              <w:rPr>
                <w:rFonts w:ascii="Arial" w:cs="Arial" w:eastAsia="Arial" w:hAnsi="Arial"/>
                <w:sz w:val="11"/>
                <w:szCs w:val="11"/>
                <w:b w:val="1"/>
                <w:bCs w:val="1"/>
                <w:color w:val="auto"/>
              </w:rPr>
              <w:t>886.3</w:t>
            </w:r>
          </w:p>
        </w:tc>
        <w:tc>
          <w:tcPr>
            <w:tcW w:w="1020" w:type="dxa"/>
            <w:vAlign w:val="bottom"/>
            <w:tcBorders>
              <w:bottom w:val="single" w:sz="8" w:color="auto"/>
              <w:right w:val="single" w:sz="8" w:color="auto"/>
            </w:tcBorders>
          </w:tcPr>
          <w:p>
            <w:pPr>
              <w:jc w:val="center"/>
              <w:ind w:left="126"/>
              <w:spacing w:after="0"/>
              <w:rPr>
                <w:sz w:val="20"/>
                <w:szCs w:val="20"/>
                <w:color w:val="auto"/>
              </w:rPr>
            </w:pPr>
            <w:r>
              <w:rPr>
                <w:rFonts w:ascii="Arial" w:cs="Arial" w:eastAsia="Arial" w:hAnsi="Arial"/>
                <w:sz w:val="11"/>
                <w:szCs w:val="11"/>
                <w:b w:val="1"/>
                <w:bCs w:val="1"/>
                <w:color w:val="auto"/>
                <w:w w:val="97"/>
              </w:rPr>
              <w:t>1,068.4</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20.5%</w:t>
            </w:r>
          </w:p>
        </w:tc>
        <w:tc>
          <w:tcPr>
            <w:tcW w:w="0" w:type="dxa"/>
            <w:vAlign w:val="bottom"/>
          </w:tcPr>
          <w:p>
            <w:pPr>
              <w:spacing w:after="0"/>
              <w:rPr>
                <w:sz w:val="1"/>
                <w:szCs w:val="1"/>
                <w:color w:val="auto"/>
              </w:rPr>
            </w:pPr>
          </w:p>
        </w:tc>
      </w:tr>
      <w:tr>
        <w:trPr>
          <w:trHeight w:val="162"/>
        </w:trPr>
        <w:tc>
          <w:tcPr>
            <w:tcW w:w="900" w:type="dxa"/>
            <w:vAlign w:val="bottom"/>
            <w:tcBorders>
              <w:left w:val="single" w:sz="8" w:color="auto"/>
              <w:right w:val="single" w:sz="8" w:color="auto"/>
            </w:tcBorders>
          </w:tcPr>
          <w:p>
            <w:pPr>
              <w:spacing w:after="0"/>
              <w:rPr>
                <w:sz w:val="14"/>
                <w:szCs w:val="14"/>
                <w:color w:val="auto"/>
              </w:rPr>
            </w:pPr>
          </w:p>
        </w:tc>
        <w:tc>
          <w:tcPr>
            <w:tcW w:w="27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Insurance Service Income</w:t>
            </w:r>
          </w:p>
        </w:tc>
        <w:tc>
          <w:tcPr>
            <w:tcW w:w="740" w:type="dxa"/>
            <w:vAlign w:val="bottom"/>
          </w:tcPr>
          <w:p>
            <w:pPr>
              <w:jc w:val="center"/>
              <w:spacing w:after="0"/>
              <w:rPr>
                <w:sz w:val="20"/>
                <w:szCs w:val="20"/>
                <w:color w:val="auto"/>
              </w:rPr>
            </w:pPr>
            <w:r>
              <w:rPr>
                <w:rFonts w:ascii="Arial" w:cs="Arial" w:eastAsia="Arial" w:hAnsi="Arial"/>
                <w:sz w:val="11"/>
                <w:szCs w:val="11"/>
                <w:color w:val="auto"/>
              </w:rPr>
              <w:t>471.1</w:t>
            </w:r>
          </w:p>
        </w:tc>
        <w:tc>
          <w:tcPr>
            <w:tcW w:w="880" w:type="dxa"/>
            <w:vAlign w:val="bottom"/>
          </w:tcPr>
          <w:p>
            <w:pPr>
              <w:jc w:val="center"/>
              <w:spacing w:after="0"/>
              <w:rPr>
                <w:sz w:val="20"/>
                <w:szCs w:val="20"/>
                <w:color w:val="auto"/>
              </w:rPr>
            </w:pPr>
            <w:r>
              <w:rPr>
                <w:rFonts w:ascii="Arial" w:cs="Arial" w:eastAsia="Arial" w:hAnsi="Arial"/>
                <w:sz w:val="11"/>
                <w:szCs w:val="11"/>
                <w:color w:val="auto"/>
              </w:rPr>
              <w:t>480.0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490.1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2.1%</w:t>
            </w:r>
          </w:p>
        </w:tc>
        <w:tc>
          <w:tcPr>
            <w:tcW w:w="220" w:type="dxa"/>
            <w:vAlign w:val="bottom"/>
          </w:tcPr>
          <w:p>
            <w:pPr>
              <w:spacing w:after="0"/>
              <w:rPr>
                <w:sz w:val="14"/>
                <w:szCs w:val="14"/>
                <w:color w:val="auto"/>
              </w:rPr>
            </w:pPr>
          </w:p>
        </w:tc>
        <w:tc>
          <w:tcPr>
            <w:tcW w:w="580" w:type="dxa"/>
            <w:vAlign w:val="bottom"/>
            <w:tcBorders>
              <w:right w:val="single" w:sz="8" w:color="auto"/>
            </w:tcBorders>
          </w:tcPr>
          <w:p>
            <w:pPr>
              <w:jc w:val="center"/>
              <w:ind w:right="206"/>
              <w:spacing w:after="0"/>
              <w:rPr>
                <w:sz w:val="20"/>
                <w:szCs w:val="20"/>
                <w:color w:val="auto"/>
              </w:rPr>
            </w:pPr>
            <w:r>
              <w:rPr>
                <w:rFonts w:ascii="Arial" w:cs="Arial" w:eastAsia="Arial" w:hAnsi="Arial"/>
                <w:sz w:val="11"/>
                <w:szCs w:val="11"/>
                <w:color w:val="auto"/>
                <w:w w:val="95"/>
              </w:rPr>
              <w:t>4.0%</w:t>
            </w:r>
          </w:p>
        </w:tc>
        <w:tc>
          <w:tcPr>
            <w:tcW w:w="660" w:type="dxa"/>
            <w:vAlign w:val="bottom"/>
          </w:tcPr>
          <w:p>
            <w:pPr>
              <w:jc w:val="center"/>
              <w:ind w:left="126"/>
              <w:spacing w:after="0"/>
              <w:rPr>
                <w:sz w:val="20"/>
                <w:szCs w:val="20"/>
                <w:color w:val="auto"/>
              </w:rPr>
            </w:pPr>
            <w:r>
              <w:rPr>
                <w:rFonts w:ascii="Arial" w:cs="Arial" w:eastAsia="Arial" w:hAnsi="Arial"/>
                <w:sz w:val="11"/>
                <w:szCs w:val="11"/>
                <w:color w:val="auto"/>
                <w:w w:val="97"/>
              </w:rPr>
              <w:t>1,382.8</w:t>
            </w:r>
          </w:p>
        </w:tc>
        <w:tc>
          <w:tcPr>
            <w:tcW w:w="1020" w:type="dxa"/>
            <w:vAlign w:val="bottom"/>
            <w:tcBorders>
              <w:right w:val="single" w:sz="8" w:color="auto"/>
            </w:tcBorders>
          </w:tcPr>
          <w:p>
            <w:pPr>
              <w:jc w:val="center"/>
              <w:ind w:left="126"/>
              <w:spacing w:after="0"/>
              <w:rPr>
                <w:sz w:val="20"/>
                <w:szCs w:val="20"/>
                <w:color w:val="auto"/>
              </w:rPr>
            </w:pPr>
            <w:r>
              <w:rPr>
                <w:rFonts w:ascii="Arial" w:cs="Arial" w:eastAsia="Arial" w:hAnsi="Arial"/>
                <w:sz w:val="11"/>
                <w:szCs w:val="11"/>
                <w:color w:val="auto"/>
                <w:w w:val="97"/>
              </w:rPr>
              <w:t>1,460.1</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5.6%</w:t>
            </w:r>
          </w:p>
        </w:tc>
        <w:tc>
          <w:tcPr>
            <w:tcW w:w="0" w:type="dxa"/>
            <w:vAlign w:val="bottom"/>
          </w:tcPr>
          <w:p>
            <w:pPr>
              <w:spacing w:after="0"/>
              <w:rPr>
                <w:sz w:val="1"/>
                <w:szCs w:val="1"/>
                <w:color w:val="auto"/>
              </w:rPr>
            </w:pPr>
          </w:p>
        </w:tc>
      </w:tr>
      <w:tr>
        <w:trPr>
          <w:trHeight w:val="180"/>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P&amp;C</w:t>
            </w:r>
          </w:p>
        </w:tc>
        <w:tc>
          <w:tcPr>
            <w:tcW w:w="27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Insurance Service Expenses</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(278.8)</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(298.7)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(319.7)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7.1%</w:t>
            </w:r>
          </w:p>
        </w:tc>
        <w:tc>
          <w:tcPr>
            <w:tcW w:w="220" w:type="dxa"/>
            <w:vAlign w:val="bottom"/>
          </w:tcPr>
          <w:p>
            <w:pPr>
              <w:spacing w:after="0"/>
              <w:rPr>
                <w:sz w:val="15"/>
                <w:szCs w:val="15"/>
                <w:color w:val="auto"/>
              </w:rPr>
            </w:pPr>
          </w:p>
        </w:tc>
        <w:tc>
          <w:tcPr>
            <w:tcW w:w="580" w:type="dxa"/>
            <w:vAlign w:val="bottom"/>
            <w:tcBorders>
              <w:right w:val="single" w:sz="8" w:color="auto"/>
            </w:tcBorders>
          </w:tcPr>
          <w:p>
            <w:pPr>
              <w:jc w:val="center"/>
              <w:ind w:right="186"/>
              <w:spacing w:after="0"/>
              <w:rPr>
                <w:sz w:val="20"/>
                <w:szCs w:val="20"/>
                <w:color w:val="auto"/>
              </w:rPr>
            </w:pPr>
            <w:r>
              <w:rPr>
                <w:rFonts w:ascii="Arial" w:cs="Arial" w:eastAsia="Arial" w:hAnsi="Arial"/>
                <w:sz w:val="11"/>
                <w:szCs w:val="11"/>
                <w:color w:val="auto"/>
                <w:w w:val="96"/>
              </w:rPr>
              <w:t>14.7%</w:t>
            </w:r>
          </w:p>
        </w:tc>
        <w:tc>
          <w:tcPr>
            <w:tcW w:w="660" w:type="dxa"/>
            <w:vAlign w:val="bottom"/>
          </w:tcPr>
          <w:p>
            <w:pPr>
              <w:jc w:val="center"/>
              <w:ind w:left="146"/>
              <w:spacing w:after="0"/>
              <w:rPr>
                <w:sz w:val="20"/>
                <w:szCs w:val="20"/>
                <w:color w:val="auto"/>
              </w:rPr>
            </w:pPr>
            <w:r>
              <w:rPr>
                <w:rFonts w:ascii="Arial" w:cs="Arial" w:eastAsia="Arial" w:hAnsi="Arial"/>
                <w:sz w:val="11"/>
                <w:szCs w:val="11"/>
                <w:color w:val="auto"/>
                <w:w w:val="97"/>
              </w:rPr>
              <w:t>(818.7)</w:t>
            </w:r>
          </w:p>
        </w:tc>
        <w:tc>
          <w:tcPr>
            <w:tcW w:w="1020" w:type="dxa"/>
            <w:vAlign w:val="bottom"/>
            <w:tcBorders>
              <w:right w:val="single" w:sz="8" w:color="auto"/>
            </w:tcBorders>
          </w:tcPr>
          <w:p>
            <w:pPr>
              <w:jc w:val="center"/>
              <w:ind w:left="146"/>
              <w:spacing w:after="0"/>
              <w:rPr>
                <w:sz w:val="20"/>
                <w:szCs w:val="20"/>
                <w:color w:val="auto"/>
              </w:rPr>
            </w:pPr>
            <w:r>
              <w:rPr>
                <w:rFonts w:ascii="Arial" w:cs="Arial" w:eastAsia="Arial" w:hAnsi="Arial"/>
                <w:sz w:val="11"/>
                <w:szCs w:val="11"/>
                <w:color w:val="auto"/>
                <w:w w:val="97"/>
              </w:rPr>
              <w:t>(943.7)</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15.3%</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right w:val="single" w:sz="8" w:color="auto"/>
            </w:tcBorders>
            <w:vMerge w:val="continue"/>
          </w:tcPr>
          <w:p>
            <w:pPr>
              <w:spacing w:after="0"/>
              <w:rPr>
                <w:sz w:val="7"/>
                <w:szCs w:val="7"/>
                <w:color w:val="auto"/>
              </w:rPr>
            </w:pPr>
          </w:p>
        </w:tc>
        <w:tc>
          <w:tcPr>
            <w:tcW w:w="27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Reinsurance Results</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7"/>
              </w:rPr>
              <w:t>(114.0)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auto"/>
                <w:w w:val="97"/>
              </w:rPr>
              <w:t>(88.7)</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(72.9)</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-17.8%</w:t>
            </w: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86"/>
              <w:spacing w:after="0"/>
              <w:rPr>
                <w:sz w:val="20"/>
                <w:szCs w:val="20"/>
                <w:color w:val="auto"/>
              </w:rPr>
            </w:pPr>
            <w:r>
              <w:rPr>
                <w:rFonts w:ascii="Arial" w:cs="Arial" w:eastAsia="Arial" w:hAnsi="Arial"/>
                <w:sz w:val="11"/>
                <w:szCs w:val="11"/>
                <w:color w:val="auto"/>
                <w:w w:val="97"/>
              </w:rPr>
              <w:t>-36.1%</w:t>
            </w:r>
          </w:p>
        </w:tc>
        <w:tc>
          <w:tcPr>
            <w:tcW w:w="660" w:type="dxa"/>
            <w:vAlign w:val="bottom"/>
            <w:vMerge w:val="restart"/>
          </w:tcPr>
          <w:p>
            <w:pPr>
              <w:jc w:val="center"/>
              <w:ind w:left="146"/>
              <w:spacing w:after="0"/>
              <w:rPr>
                <w:sz w:val="20"/>
                <w:szCs w:val="20"/>
                <w:color w:val="auto"/>
              </w:rPr>
            </w:pPr>
            <w:r>
              <w:rPr>
                <w:rFonts w:ascii="Arial" w:cs="Arial" w:eastAsia="Arial" w:hAnsi="Arial"/>
                <w:sz w:val="11"/>
                <w:szCs w:val="11"/>
                <w:color w:val="auto"/>
                <w:w w:val="97"/>
              </w:rPr>
              <w:t>(334.2)</w:t>
            </w:r>
          </w:p>
        </w:tc>
        <w:tc>
          <w:tcPr>
            <w:tcW w:w="1020" w:type="dxa"/>
            <w:vAlign w:val="bottom"/>
            <w:tcBorders>
              <w:right w:val="single" w:sz="8" w:color="auto"/>
            </w:tcBorders>
            <w:vMerge w:val="restart"/>
          </w:tcPr>
          <w:p>
            <w:pPr>
              <w:jc w:val="center"/>
              <w:ind w:left="146"/>
              <w:spacing w:after="0"/>
              <w:rPr>
                <w:sz w:val="20"/>
                <w:szCs w:val="20"/>
                <w:color w:val="auto"/>
              </w:rPr>
            </w:pPr>
            <w:r>
              <w:rPr>
                <w:rFonts w:ascii="Arial" w:cs="Arial" w:eastAsia="Arial" w:hAnsi="Arial"/>
                <w:sz w:val="11"/>
                <w:szCs w:val="11"/>
                <w:color w:val="auto"/>
                <w:w w:val="97"/>
              </w:rPr>
              <w:t>(234.0)</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-30.0%</w:t>
            </w:r>
          </w:p>
        </w:tc>
        <w:tc>
          <w:tcPr>
            <w:tcW w:w="0" w:type="dxa"/>
            <w:vAlign w:val="bottom"/>
          </w:tcPr>
          <w:p>
            <w:pPr>
              <w:spacing w:after="0"/>
              <w:rPr>
                <w:sz w:val="1"/>
                <w:szCs w:val="1"/>
                <w:color w:val="auto"/>
              </w:rPr>
            </w:pPr>
          </w:p>
        </w:tc>
      </w:tr>
      <w:tr>
        <w:trPr>
          <w:trHeight w:val="96"/>
        </w:trPr>
        <w:tc>
          <w:tcPr>
            <w:tcW w:w="900" w:type="dxa"/>
            <w:vAlign w:val="bottom"/>
            <w:tcBorders>
              <w:left w:val="single" w:sz="8" w:color="auto"/>
              <w:right w:val="single" w:sz="8" w:color="auto"/>
            </w:tcBorders>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90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Insurance Underwriting Result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78.4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92.6</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97.5</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5.2%</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jc w:val="center"/>
              <w:ind w:right="186"/>
              <w:spacing w:after="0"/>
              <w:rPr>
                <w:sz w:val="20"/>
                <w:szCs w:val="20"/>
                <w:color w:val="auto"/>
              </w:rPr>
            </w:pPr>
            <w:r>
              <w:rPr>
                <w:rFonts w:ascii="Arial" w:cs="Arial" w:eastAsia="Arial" w:hAnsi="Arial"/>
                <w:sz w:val="11"/>
                <w:szCs w:val="11"/>
                <w:b w:val="1"/>
                <w:bCs w:val="1"/>
                <w:color w:val="auto"/>
                <w:w w:val="96"/>
              </w:rPr>
              <w:t>24.3%</w:t>
            </w:r>
          </w:p>
        </w:tc>
        <w:tc>
          <w:tcPr>
            <w:tcW w:w="660" w:type="dxa"/>
            <w:vAlign w:val="bottom"/>
            <w:tcBorders>
              <w:bottom w:val="single" w:sz="8" w:color="auto"/>
            </w:tcBorders>
          </w:tcPr>
          <w:p>
            <w:pPr>
              <w:jc w:val="center"/>
              <w:ind w:left="126"/>
              <w:spacing w:after="0"/>
              <w:rPr>
                <w:sz w:val="20"/>
                <w:szCs w:val="20"/>
                <w:color w:val="auto"/>
              </w:rPr>
            </w:pPr>
            <w:r>
              <w:rPr>
                <w:rFonts w:ascii="Arial" w:cs="Arial" w:eastAsia="Arial" w:hAnsi="Arial"/>
                <w:sz w:val="11"/>
                <w:szCs w:val="11"/>
                <w:b w:val="1"/>
                <w:bCs w:val="1"/>
                <w:color w:val="auto"/>
              </w:rPr>
              <w:t>230.0</w:t>
            </w:r>
          </w:p>
        </w:tc>
        <w:tc>
          <w:tcPr>
            <w:tcW w:w="1020" w:type="dxa"/>
            <w:vAlign w:val="bottom"/>
            <w:tcBorders>
              <w:bottom w:val="single" w:sz="8" w:color="auto"/>
              <w:right w:val="single" w:sz="8" w:color="auto"/>
            </w:tcBorders>
          </w:tcPr>
          <w:p>
            <w:pPr>
              <w:jc w:val="center"/>
              <w:ind w:left="126"/>
              <w:spacing w:after="0"/>
              <w:rPr>
                <w:sz w:val="20"/>
                <w:szCs w:val="20"/>
                <w:color w:val="auto"/>
              </w:rPr>
            </w:pPr>
            <w:r>
              <w:rPr>
                <w:rFonts w:ascii="Arial" w:cs="Arial" w:eastAsia="Arial" w:hAnsi="Arial"/>
                <w:sz w:val="11"/>
                <w:szCs w:val="11"/>
                <w:b w:val="1"/>
                <w:bCs w:val="1"/>
                <w:color w:val="auto"/>
              </w:rPr>
              <w:t>282.4</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22.8%</w:t>
            </w:r>
          </w:p>
        </w:tc>
        <w:tc>
          <w:tcPr>
            <w:tcW w:w="0" w:type="dxa"/>
            <w:vAlign w:val="bottom"/>
          </w:tcPr>
          <w:p>
            <w:pPr>
              <w:spacing w:after="0"/>
              <w:rPr>
                <w:sz w:val="1"/>
                <w:szCs w:val="1"/>
                <w:color w:val="auto"/>
              </w:rPr>
            </w:pPr>
          </w:p>
        </w:tc>
      </w:tr>
      <w:tr>
        <w:trPr>
          <w:trHeight w:val="162"/>
        </w:trPr>
        <w:tc>
          <w:tcPr>
            <w:tcW w:w="900" w:type="dxa"/>
            <w:vAlign w:val="bottom"/>
            <w:tcBorders>
              <w:left w:val="single" w:sz="8" w:color="auto"/>
              <w:right w:val="single" w:sz="8" w:color="auto"/>
            </w:tcBorders>
          </w:tcPr>
          <w:p>
            <w:pPr>
              <w:spacing w:after="0"/>
              <w:rPr>
                <w:sz w:val="14"/>
                <w:szCs w:val="14"/>
                <w:color w:val="auto"/>
              </w:rPr>
            </w:pPr>
          </w:p>
        </w:tc>
        <w:tc>
          <w:tcPr>
            <w:tcW w:w="27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Insurance Service Income</w:t>
            </w:r>
          </w:p>
        </w:tc>
        <w:tc>
          <w:tcPr>
            <w:tcW w:w="740" w:type="dxa"/>
            <w:vAlign w:val="bottom"/>
          </w:tcPr>
          <w:p>
            <w:pPr>
              <w:jc w:val="center"/>
              <w:spacing w:after="0"/>
              <w:rPr>
                <w:sz w:val="20"/>
                <w:szCs w:val="20"/>
                <w:color w:val="auto"/>
              </w:rPr>
            </w:pPr>
            <w:r>
              <w:rPr>
                <w:rFonts w:ascii="Arial" w:cs="Arial" w:eastAsia="Arial" w:hAnsi="Arial"/>
                <w:sz w:val="11"/>
                <w:szCs w:val="11"/>
                <w:color w:val="auto"/>
              </w:rPr>
              <w:t>453.0</w:t>
            </w:r>
          </w:p>
        </w:tc>
        <w:tc>
          <w:tcPr>
            <w:tcW w:w="880" w:type="dxa"/>
            <w:vAlign w:val="bottom"/>
          </w:tcPr>
          <w:p>
            <w:pPr>
              <w:jc w:val="center"/>
              <w:spacing w:after="0"/>
              <w:rPr>
                <w:sz w:val="20"/>
                <w:szCs w:val="20"/>
                <w:color w:val="auto"/>
              </w:rPr>
            </w:pPr>
            <w:r>
              <w:rPr>
                <w:rFonts w:ascii="Arial" w:cs="Arial" w:eastAsia="Arial" w:hAnsi="Arial"/>
                <w:sz w:val="11"/>
                <w:szCs w:val="11"/>
                <w:color w:val="auto"/>
              </w:rPr>
              <w:t>330.9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326.7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-1.3%</w:t>
            </w:r>
          </w:p>
        </w:tc>
        <w:tc>
          <w:tcPr>
            <w:tcW w:w="220" w:type="dxa"/>
            <w:vAlign w:val="bottom"/>
          </w:tcPr>
          <w:p>
            <w:pPr>
              <w:spacing w:after="0"/>
              <w:rPr>
                <w:sz w:val="14"/>
                <w:szCs w:val="14"/>
                <w:color w:val="auto"/>
              </w:rPr>
            </w:pPr>
          </w:p>
        </w:tc>
        <w:tc>
          <w:tcPr>
            <w:tcW w:w="580" w:type="dxa"/>
            <w:vAlign w:val="bottom"/>
            <w:tcBorders>
              <w:right w:val="single" w:sz="8" w:color="auto"/>
            </w:tcBorders>
          </w:tcPr>
          <w:p>
            <w:pPr>
              <w:jc w:val="center"/>
              <w:ind w:right="186"/>
              <w:spacing w:after="0"/>
              <w:rPr>
                <w:sz w:val="20"/>
                <w:szCs w:val="20"/>
                <w:color w:val="auto"/>
              </w:rPr>
            </w:pPr>
            <w:r>
              <w:rPr>
                <w:rFonts w:ascii="Arial" w:cs="Arial" w:eastAsia="Arial" w:hAnsi="Arial"/>
                <w:sz w:val="11"/>
                <w:szCs w:val="11"/>
                <w:color w:val="auto"/>
                <w:w w:val="97"/>
              </w:rPr>
              <w:t>-27.9%</w:t>
            </w:r>
          </w:p>
        </w:tc>
        <w:tc>
          <w:tcPr>
            <w:tcW w:w="660" w:type="dxa"/>
            <w:vAlign w:val="bottom"/>
          </w:tcPr>
          <w:p>
            <w:pPr>
              <w:jc w:val="center"/>
              <w:ind w:left="126"/>
              <w:spacing w:after="0"/>
              <w:rPr>
                <w:sz w:val="20"/>
                <w:szCs w:val="20"/>
                <w:color w:val="auto"/>
              </w:rPr>
            </w:pPr>
            <w:r>
              <w:rPr>
                <w:rFonts w:ascii="Arial" w:cs="Arial" w:eastAsia="Arial" w:hAnsi="Arial"/>
                <w:sz w:val="11"/>
                <w:szCs w:val="11"/>
                <w:color w:val="auto"/>
                <w:w w:val="97"/>
              </w:rPr>
              <w:t>1,347.2</w:t>
            </w:r>
          </w:p>
        </w:tc>
        <w:tc>
          <w:tcPr>
            <w:tcW w:w="1020" w:type="dxa"/>
            <w:vAlign w:val="bottom"/>
            <w:tcBorders>
              <w:right w:val="single" w:sz="8" w:color="auto"/>
            </w:tcBorders>
          </w:tcPr>
          <w:p>
            <w:pPr>
              <w:jc w:val="center"/>
              <w:ind w:left="126"/>
              <w:spacing w:after="0"/>
              <w:rPr>
                <w:sz w:val="20"/>
                <w:szCs w:val="20"/>
                <w:color w:val="auto"/>
              </w:rPr>
            </w:pPr>
            <w:r>
              <w:rPr>
                <w:rFonts w:ascii="Arial" w:cs="Arial" w:eastAsia="Arial" w:hAnsi="Arial"/>
                <w:sz w:val="11"/>
                <w:szCs w:val="11"/>
                <w:color w:val="auto"/>
              </w:rPr>
              <w:t>990.5</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-26.5%</w:t>
            </w:r>
          </w:p>
        </w:tc>
        <w:tc>
          <w:tcPr>
            <w:tcW w:w="0" w:type="dxa"/>
            <w:vAlign w:val="bottom"/>
          </w:tcPr>
          <w:p>
            <w:pPr>
              <w:spacing w:after="0"/>
              <w:rPr>
                <w:sz w:val="1"/>
                <w:szCs w:val="1"/>
                <w:color w:val="auto"/>
              </w:rPr>
            </w:pPr>
          </w:p>
        </w:tc>
      </w:tr>
      <w:tr>
        <w:trPr>
          <w:trHeight w:val="180"/>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rPr>
              <w:t>Life</w:t>
            </w:r>
          </w:p>
        </w:tc>
        <w:tc>
          <w:tcPr>
            <w:tcW w:w="27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Insurance Service Expenses</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(233.8)</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(79.0)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(38.0)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-52.0%</w:t>
            </w:r>
          </w:p>
        </w:tc>
        <w:tc>
          <w:tcPr>
            <w:tcW w:w="220" w:type="dxa"/>
            <w:vAlign w:val="bottom"/>
          </w:tcPr>
          <w:p>
            <w:pPr>
              <w:spacing w:after="0"/>
              <w:rPr>
                <w:sz w:val="15"/>
                <w:szCs w:val="15"/>
                <w:color w:val="auto"/>
              </w:rPr>
            </w:pPr>
          </w:p>
        </w:tc>
        <w:tc>
          <w:tcPr>
            <w:tcW w:w="580" w:type="dxa"/>
            <w:vAlign w:val="bottom"/>
            <w:tcBorders>
              <w:right w:val="single" w:sz="8" w:color="auto"/>
            </w:tcBorders>
          </w:tcPr>
          <w:p>
            <w:pPr>
              <w:jc w:val="center"/>
              <w:ind w:right="186"/>
              <w:spacing w:after="0"/>
              <w:rPr>
                <w:sz w:val="20"/>
                <w:szCs w:val="20"/>
                <w:color w:val="auto"/>
              </w:rPr>
            </w:pPr>
            <w:r>
              <w:rPr>
                <w:rFonts w:ascii="Arial" w:cs="Arial" w:eastAsia="Arial" w:hAnsi="Arial"/>
                <w:sz w:val="11"/>
                <w:szCs w:val="11"/>
                <w:color w:val="auto"/>
                <w:w w:val="97"/>
              </w:rPr>
              <w:t>-83.8%</w:t>
            </w:r>
          </w:p>
        </w:tc>
        <w:tc>
          <w:tcPr>
            <w:tcW w:w="660" w:type="dxa"/>
            <w:vAlign w:val="bottom"/>
          </w:tcPr>
          <w:p>
            <w:pPr>
              <w:jc w:val="center"/>
              <w:ind w:left="146"/>
              <w:spacing w:after="0"/>
              <w:rPr>
                <w:sz w:val="20"/>
                <w:szCs w:val="20"/>
                <w:color w:val="auto"/>
              </w:rPr>
            </w:pPr>
            <w:r>
              <w:rPr>
                <w:rFonts w:ascii="Arial" w:cs="Arial" w:eastAsia="Arial" w:hAnsi="Arial"/>
                <w:sz w:val="11"/>
                <w:szCs w:val="11"/>
                <w:color w:val="auto"/>
                <w:w w:val="97"/>
              </w:rPr>
              <w:t>(671.1)</w:t>
            </w:r>
          </w:p>
        </w:tc>
        <w:tc>
          <w:tcPr>
            <w:tcW w:w="1020" w:type="dxa"/>
            <w:vAlign w:val="bottom"/>
            <w:tcBorders>
              <w:right w:val="single" w:sz="8" w:color="auto"/>
            </w:tcBorders>
          </w:tcPr>
          <w:p>
            <w:pPr>
              <w:jc w:val="center"/>
              <w:ind w:left="146"/>
              <w:spacing w:after="0"/>
              <w:rPr>
                <w:sz w:val="20"/>
                <w:szCs w:val="20"/>
                <w:color w:val="auto"/>
              </w:rPr>
            </w:pPr>
            <w:r>
              <w:rPr>
                <w:rFonts w:ascii="Arial" w:cs="Arial" w:eastAsia="Arial" w:hAnsi="Arial"/>
                <w:sz w:val="11"/>
                <w:szCs w:val="11"/>
                <w:color w:val="auto"/>
                <w:w w:val="97"/>
              </w:rPr>
              <w:t>(229.3)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-65.8%</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right w:val="single" w:sz="8" w:color="auto"/>
            </w:tcBorders>
            <w:vMerge w:val="continue"/>
          </w:tcPr>
          <w:p>
            <w:pPr>
              <w:spacing w:after="0"/>
              <w:rPr>
                <w:sz w:val="7"/>
                <w:szCs w:val="7"/>
                <w:color w:val="auto"/>
              </w:rPr>
            </w:pPr>
          </w:p>
        </w:tc>
        <w:tc>
          <w:tcPr>
            <w:tcW w:w="27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Reinsurance Results</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7"/>
              </w:rPr>
              <w:t>(15.8)</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auto"/>
                <w:w w:val="97"/>
              </w:rPr>
              <w:t>(7.6)</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(28.9)</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6"/>
              </w:rPr>
              <w:t>281.1%</w:t>
            </w: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86"/>
              <w:spacing w:after="0"/>
              <w:rPr>
                <w:sz w:val="20"/>
                <w:szCs w:val="20"/>
                <w:color w:val="auto"/>
              </w:rPr>
            </w:pPr>
            <w:r>
              <w:rPr>
                <w:rFonts w:ascii="Arial" w:cs="Arial" w:eastAsia="Arial" w:hAnsi="Arial"/>
                <w:sz w:val="11"/>
                <w:szCs w:val="11"/>
                <w:color w:val="auto"/>
                <w:w w:val="96"/>
              </w:rPr>
              <w:t>83.4%</w:t>
            </w:r>
          </w:p>
        </w:tc>
        <w:tc>
          <w:tcPr>
            <w:tcW w:w="660" w:type="dxa"/>
            <w:vAlign w:val="bottom"/>
            <w:vMerge w:val="restart"/>
          </w:tcPr>
          <w:p>
            <w:pPr>
              <w:jc w:val="center"/>
              <w:ind w:left="126"/>
              <w:spacing w:after="0"/>
              <w:rPr>
                <w:sz w:val="20"/>
                <w:szCs w:val="20"/>
                <w:color w:val="auto"/>
              </w:rPr>
            </w:pPr>
            <w:r>
              <w:rPr>
                <w:rFonts w:ascii="Arial" w:cs="Arial" w:eastAsia="Arial" w:hAnsi="Arial"/>
                <w:sz w:val="11"/>
                <w:szCs w:val="11"/>
                <w:color w:val="auto"/>
                <w:w w:val="97"/>
              </w:rPr>
              <w:t>(66.1)</w:t>
            </w:r>
          </w:p>
        </w:tc>
        <w:tc>
          <w:tcPr>
            <w:tcW w:w="1020" w:type="dxa"/>
            <w:vAlign w:val="bottom"/>
            <w:tcBorders>
              <w:right w:val="single" w:sz="8" w:color="auto"/>
            </w:tcBorders>
            <w:vMerge w:val="restart"/>
          </w:tcPr>
          <w:p>
            <w:pPr>
              <w:jc w:val="center"/>
              <w:ind w:left="126"/>
              <w:spacing w:after="0"/>
              <w:rPr>
                <w:sz w:val="20"/>
                <w:szCs w:val="20"/>
                <w:color w:val="auto"/>
              </w:rPr>
            </w:pPr>
            <w:r>
              <w:rPr>
                <w:rFonts w:ascii="Arial" w:cs="Arial" w:eastAsia="Arial" w:hAnsi="Arial"/>
                <w:sz w:val="11"/>
                <w:szCs w:val="11"/>
                <w:color w:val="auto"/>
                <w:w w:val="97"/>
              </w:rPr>
              <w:t>(49.8)</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-24.7%</w:t>
            </w:r>
          </w:p>
        </w:tc>
        <w:tc>
          <w:tcPr>
            <w:tcW w:w="0" w:type="dxa"/>
            <w:vAlign w:val="bottom"/>
          </w:tcPr>
          <w:p>
            <w:pPr>
              <w:spacing w:after="0"/>
              <w:rPr>
                <w:sz w:val="1"/>
                <w:szCs w:val="1"/>
                <w:color w:val="auto"/>
              </w:rPr>
            </w:pPr>
          </w:p>
        </w:tc>
      </w:tr>
      <w:tr>
        <w:trPr>
          <w:trHeight w:val="96"/>
        </w:trPr>
        <w:tc>
          <w:tcPr>
            <w:tcW w:w="900" w:type="dxa"/>
            <w:vAlign w:val="bottom"/>
            <w:tcBorders>
              <w:left w:val="single" w:sz="8" w:color="auto"/>
              <w:right w:val="single" w:sz="8" w:color="auto"/>
            </w:tcBorders>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90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Insurance Underwriting Result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203.4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244.3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259.9</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6.4%</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jc w:val="center"/>
              <w:ind w:right="186"/>
              <w:spacing w:after="0"/>
              <w:rPr>
                <w:sz w:val="20"/>
                <w:szCs w:val="20"/>
                <w:color w:val="auto"/>
              </w:rPr>
            </w:pPr>
            <w:r>
              <w:rPr>
                <w:rFonts w:ascii="Arial" w:cs="Arial" w:eastAsia="Arial" w:hAnsi="Arial"/>
                <w:sz w:val="11"/>
                <w:szCs w:val="11"/>
                <w:b w:val="1"/>
                <w:bCs w:val="1"/>
                <w:color w:val="auto"/>
                <w:w w:val="96"/>
              </w:rPr>
              <w:t>27.8%</w:t>
            </w:r>
          </w:p>
        </w:tc>
        <w:tc>
          <w:tcPr>
            <w:tcW w:w="660" w:type="dxa"/>
            <w:vAlign w:val="bottom"/>
            <w:tcBorders>
              <w:bottom w:val="single" w:sz="8" w:color="auto"/>
            </w:tcBorders>
          </w:tcPr>
          <w:p>
            <w:pPr>
              <w:jc w:val="center"/>
              <w:ind w:left="126"/>
              <w:spacing w:after="0"/>
              <w:rPr>
                <w:sz w:val="20"/>
                <w:szCs w:val="20"/>
                <w:color w:val="auto"/>
              </w:rPr>
            </w:pPr>
            <w:r>
              <w:rPr>
                <w:rFonts w:ascii="Arial" w:cs="Arial" w:eastAsia="Arial" w:hAnsi="Arial"/>
                <w:sz w:val="11"/>
                <w:szCs w:val="11"/>
                <w:b w:val="1"/>
                <w:bCs w:val="1"/>
                <w:color w:val="auto"/>
              </w:rPr>
              <w:t>610.0</w:t>
            </w:r>
          </w:p>
        </w:tc>
        <w:tc>
          <w:tcPr>
            <w:tcW w:w="1020" w:type="dxa"/>
            <w:vAlign w:val="bottom"/>
            <w:tcBorders>
              <w:bottom w:val="single" w:sz="8" w:color="auto"/>
              <w:right w:val="single" w:sz="8" w:color="auto"/>
            </w:tcBorders>
          </w:tcPr>
          <w:p>
            <w:pPr>
              <w:jc w:val="center"/>
              <w:ind w:left="126"/>
              <w:spacing w:after="0"/>
              <w:rPr>
                <w:sz w:val="20"/>
                <w:szCs w:val="20"/>
                <w:color w:val="auto"/>
              </w:rPr>
            </w:pPr>
            <w:r>
              <w:rPr>
                <w:rFonts w:ascii="Arial" w:cs="Arial" w:eastAsia="Arial" w:hAnsi="Arial"/>
                <w:sz w:val="11"/>
                <w:szCs w:val="11"/>
                <w:b w:val="1"/>
                <w:bCs w:val="1"/>
                <w:color w:val="auto"/>
              </w:rPr>
              <w:t>711.4</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16.6%</w:t>
            </w:r>
          </w:p>
        </w:tc>
        <w:tc>
          <w:tcPr>
            <w:tcW w:w="0" w:type="dxa"/>
            <w:vAlign w:val="bottom"/>
          </w:tcPr>
          <w:p>
            <w:pPr>
              <w:spacing w:after="0"/>
              <w:rPr>
                <w:sz w:val="1"/>
                <w:szCs w:val="1"/>
                <w:color w:val="auto"/>
              </w:rPr>
            </w:pPr>
          </w:p>
        </w:tc>
      </w:tr>
      <w:tr>
        <w:trPr>
          <w:trHeight w:val="162"/>
        </w:trPr>
        <w:tc>
          <w:tcPr>
            <w:tcW w:w="900" w:type="dxa"/>
            <w:vAlign w:val="bottom"/>
            <w:tcBorders>
              <w:left w:val="single" w:sz="8" w:color="auto"/>
              <w:right w:val="single" w:sz="8" w:color="auto"/>
            </w:tcBorders>
          </w:tcPr>
          <w:p>
            <w:pPr>
              <w:spacing w:after="0"/>
              <w:rPr>
                <w:sz w:val="14"/>
                <w:szCs w:val="14"/>
                <w:color w:val="auto"/>
              </w:rPr>
            </w:pPr>
          </w:p>
        </w:tc>
        <w:tc>
          <w:tcPr>
            <w:tcW w:w="27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Insurance Service Income</w:t>
            </w:r>
          </w:p>
        </w:tc>
        <w:tc>
          <w:tcPr>
            <w:tcW w:w="740" w:type="dxa"/>
            <w:vAlign w:val="bottom"/>
          </w:tcPr>
          <w:p>
            <w:pPr>
              <w:jc w:val="center"/>
              <w:spacing w:after="0"/>
              <w:rPr>
                <w:sz w:val="20"/>
                <w:szCs w:val="20"/>
                <w:color w:val="auto"/>
              </w:rPr>
            </w:pPr>
            <w:r>
              <w:rPr>
                <w:rFonts w:ascii="Arial" w:cs="Arial" w:eastAsia="Arial" w:hAnsi="Arial"/>
                <w:sz w:val="11"/>
                <w:szCs w:val="11"/>
                <w:color w:val="auto"/>
                <w:w w:val="93"/>
              </w:rPr>
              <w:t>23.5</w:t>
            </w:r>
          </w:p>
        </w:tc>
        <w:tc>
          <w:tcPr>
            <w:tcW w:w="880" w:type="dxa"/>
            <w:vAlign w:val="bottom"/>
          </w:tcPr>
          <w:p>
            <w:pPr>
              <w:jc w:val="center"/>
              <w:spacing w:after="0"/>
              <w:rPr>
                <w:sz w:val="20"/>
                <w:szCs w:val="20"/>
                <w:color w:val="auto"/>
              </w:rPr>
            </w:pPr>
            <w:r>
              <w:rPr>
                <w:rFonts w:ascii="Arial" w:cs="Arial" w:eastAsia="Arial" w:hAnsi="Arial"/>
                <w:sz w:val="11"/>
                <w:szCs w:val="11"/>
                <w:color w:val="auto"/>
                <w:w w:val="93"/>
              </w:rPr>
              <w:t>13.3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14.8</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11.7%</w:t>
            </w:r>
          </w:p>
        </w:tc>
        <w:tc>
          <w:tcPr>
            <w:tcW w:w="220" w:type="dxa"/>
            <w:vAlign w:val="bottom"/>
          </w:tcPr>
          <w:p>
            <w:pPr>
              <w:spacing w:after="0"/>
              <w:rPr>
                <w:sz w:val="14"/>
                <w:szCs w:val="14"/>
                <w:color w:val="auto"/>
              </w:rPr>
            </w:pPr>
          </w:p>
        </w:tc>
        <w:tc>
          <w:tcPr>
            <w:tcW w:w="580" w:type="dxa"/>
            <w:vAlign w:val="bottom"/>
            <w:tcBorders>
              <w:right w:val="single" w:sz="8" w:color="auto"/>
            </w:tcBorders>
          </w:tcPr>
          <w:p>
            <w:pPr>
              <w:jc w:val="center"/>
              <w:ind w:right="186"/>
              <w:spacing w:after="0"/>
              <w:rPr>
                <w:sz w:val="20"/>
                <w:szCs w:val="20"/>
                <w:color w:val="auto"/>
              </w:rPr>
            </w:pPr>
            <w:r>
              <w:rPr>
                <w:rFonts w:ascii="Arial" w:cs="Arial" w:eastAsia="Arial" w:hAnsi="Arial"/>
                <w:sz w:val="11"/>
                <w:szCs w:val="11"/>
                <w:color w:val="auto"/>
                <w:w w:val="97"/>
              </w:rPr>
              <w:t>-37.0%</w:t>
            </w:r>
          </w:p>
        </w:tc>
        <w:tc>
          <w:tcPr>
            <w:tcW w:w="660" w:type="dxa"/>
            <w:vAlign w:val="bottom"/>
          </w:tcPr>
          <w:p>
            <w:pPr>
              <w:jc w:val="center"/>
              <w:ind w:left="126"/>
              <w:spacing w:after="0"/>
              <w:rPr>
                <w:sz w:val="20"/>
                <w:szCs w:val="20"/>
                <w:color w:val="auto"/>
              </w:rPr>
            </w:pPr>
            <w:r>
              <w:rPr>
                <w:rFonts w:ascii="Arial" w:cs="Arial" w:eastAsia="Arial" w:hAnsi="Arial"/>
                <w:sz w:val="11"/>
                <w:szCs w:val="11"/>
                <w:color w:val="auto"/>
                <w:w w:val="93"/>
              </w:rPr>
              <w:t>73.9</w:t>
            </w:r>
          </w:p>
        </w:tc>
        <w:tc>
          <w:tcPr>
            <w:tcW w:w="1020" w:type="dxa"/>
            <w:vAlign w:val="bottom"/>
            <w:tcBorders>
              <w:right w:val="single" w:sz="8" w:color="auto"/>
            </w:tcBorders>
          </w:tcPr>
          <w:p>
            <w:pPr>
              <w:jc w:val="center"/>
              <w:ind w:left="126"/>
              <w:spacing w:after="0"/>
              <w:rPr>
                <w:sz w:val="20"/>
                <w:szCs w:val="20"/>
                <w:color w:val="auto"/>
              </w:rPr>
            </w:pPr>
            <w:r>
              <w:rPr>
                <w:rFonts w:ascii="Arial" w:cs="Arial" w:eastAsia="Arial" w:hAnsi="Arial"/>
                <w:sz w:val="11"/>
                <w:szCs w:val="11"/>
                <w:color w:val="auto"/>
                <w:w w:val="93"/>
              </w:rPr>
              <w:t>45.4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-38.5%</w:t>
            </w:r>
          </w:p>
        </w:tc>
        <w:tc>
          <w:tcPr>
            <w:tcW w:w="0" w:type="dxa"/>
            <w:vAlign w:val="bottom"/>
          </w:tcPr>
          <w:p>
            <w:pPr>
              <w:spacing w:after="0"/>
              <w:rPr>
                <w:sz w:val="1"/>
                <w:szCs w:val="1"/>
                <w:color w:val="auto"/>
              </w:rPr>
            </w:pPr>
          </w:p>
        </w:tc>
      </w:tr>
      <w:tr>
        <w:trPr>
          <w:trHeight w:val="180"/>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Crediseguros</w:t>
            </w:r>
          </w:p>
        </w:tc>
        <w:tc>
          <w:tcPr>
            <w:tcW w:w="27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Insurance Service Expenses</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(7.1)</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(4.2)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-48.3%</w:t>
            </w:r>
          </w:p>
        </w:tc>
        <w:tc>
          <w:tcPr>
            <w:tcW w:w="220" w:type="dxa"/>
            <w:vAlign w:val="bottom"/>
          </w:tcPr>
          <w:p>
            <w:pPr>
              <w:spacing w:after="0"/>
              <w:rPr>
                <w:sz w:val="15"/>
                <w:szCs w:val="15"/>
                <w:color w:val="auto"/>
              </w:rPr>
            </w:pPr>
          </w:p>
        </w:tc>
        <w:tc>
          <w:tcPr>
            <w:tcW w:w="580" w:type="dxa"/>
            <w:vAlign w:val="bottom"/>
            <w:tcBorders>
              <w:right w:val="single" w:sz="8" w:color="auto"/>
            </w:tcBorders>
          </w:tcPr>
          <w:p>
            <w:pPr>
              <w:jc w:val="center"/>
              <w:ind w:right="186"/>
              <w:spacing w:after="0"/>
              <w:rPr>
                <w:sz w:val="20"/>
                <w:szCs w:val="20"/>
                <w:color w:val="auto"/>
              </w:rPr>
            </w:pPr>
            <w:r>
              <w:rPr>
                <w:rFonts w:ascii="Arial" w:cs="Arial" w:eastAsia="Arial" w:hAnsi="Arial"/>
                <w:sz w:val="11"/>
                <w:szCs w:val="11"/>
                <w:color w:val="auto"/>
                <w:w w:val="97"/>
              </w:rPr>
              <w:t>-69.6%</w:t>
            </w:r>
          </w:p>
        </w:tc>
        <w:tc>
          <w:tcPr>
            <w:tcW w:w="660" w:type="dxa"/>
            <w:vAlign w:val="bottom"/>
          </w:tcPr>
          <w:p>
            <w:pPr>
              <w:jc w:val="center"/>
              <w:ind w:left="126"/>
              <w:spacing w:after="0"/>
              <w:rPr>
                <w:sz w:val="20"/>
                <w:szCs w:val="20"/>
                <w:color w:val="auto"/>
              </w:rPr>
            </w:pPr>
            <w:r>
              <w:rPr>
                <w:rFonts w:ascii="Arial" w:cs="Arial" w:eastAsia="Arial" w:hAnsi="Arial"/>
                <w:sz w:val="11"/>
                <w:szCs w:val="11"/>
                <w:color w:val="auto"/>
                <w:w w:val="97"/>
              </w:rPr>
              <w:t>(12.7)</w:t>
            </w:r>
          </w:p>
        </w:tc>
        <w:tc>
          <w:tcPr>
            <w:tcW w:w="1020" w:type="dxa"/>
            <w:vAlign w:val="bottom"/>
            <w:tcBorders>
              <w:right w:val="single" w:sz="8" w:color="auto"/>
            </w:tcBorders>
          </w:tcPr>
          <w:p>
            <w:pPr>
              <w:jc w:val="center"/>
              <w:ind w:left="126"/>
              <w:spacing w:after="0"/>
              <w:rPr>
                <w:sz w:val="20"/>
                <w:szCs w:val="20"/>
                <w:color w:val="auto"/>
              </w:rPr>
            </w:pPr>
            <w:r>
              <w:rPr>
                <w:rFonts w:ascii="Arial" w:cs="Arial" w:eastAsia="Arial" w:hAnsi="Arial"/>
                <w:sz w:val="11"/>
                <w:szCs w:val="11"/>
                <w:color w:val="auto"/>
                <w:w w:val="97"/>
              </w:rPr>
              <w:t>(12.2)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-4.3%</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right w:val="single" w:sz="8" w:color="auto"/>
            </w:tcBorders>
            <w:vMerge w:val="continue"/>
          </w:tcPr>
          <w:p>
            <w:pPr>
              <w:spacing w:after="0"/>
              <w:rPr>
                <w:sz w:val="7"/>
                <w:szCs w:val="7"/>
                <w:color w:val="auto"/>
              </w:rPr>
            </w:pPr>
          </w:p>
        </w:tc>
        <w:tc>
          <w:tcPr>
            <w:tcW w:w="27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Reinsurance Results</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7"/>
              </w:rPr>
              <w:t>(11.2)</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auto"/>
                <w:w w:val="97"/>
              </w:rPr>
              <w:t>(3.8)</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(2.9)</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-24.1%</w:t>
            </w: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86"/>
              <w:spacing w:after="0"/>
              <w:rPr>
                <w:sz w:val="20"/>
                <w:szCs w:val="20"/>
                <w:color w:val="auto"/>
              </w:rPr>
            </w:pPr>
            <w:r>
              <w:rPr>
                <w:rFonts w:ascii="Arial" w:cs="Arial" w:eastAsia="Arial" w:hAnsi="Arial"/>
                <w:sz w:val="11"/>
                <w:szCs w:val="11"/>
                <w:color w:val="auto"/>
                <w:w w:val="97"/>
              </w:rPr>
              <w:t>-74.3%</w:t>
            </w:r>
          </w:p>
        </w:tc>
        <w:tc>
          <w:tcPr>
            <w:tcW w:w="660" w:type="dxa"/>
            <w:vAlign w:val="bottom"/>
            <w:vMerge w:val="restart"/>
          </w:tcPr>
          <w:p>
            <w:pPr>
              <w:jc w:val="center"/>
              <w:ind w:left="126"/>
              <w:spacing w:after="0"/>
              <w:rPr>
                <w:sz w:val="20"/>
                <w:szCs w:val="20"/>
                <w:color w:val="auto"/>
              </w:rPr>
            </w:pPr>
            <w:r>
              <w:rPr>
                <w:rFonts w:ascii="Arial" w:cs="Arial" w:eastAsia="Arial" w:hAnsi="Arial"/>
                <w:sz w:val="11"/>
                <w:szCs w:val="11"/>
                <w:color w:val="auto"/>
                <w:w w:val="97"/>
              </w:rPr>
              <w:t>(29.8)</w:t>
            </w:r>
          </w:p>
        </w:tc>
        <w:tc>
          <w:tcPr>
            <w:tcW w:w="1020" w:type="dxa"/>
            <w:vAlign w:val="bottom"/>
            <w:tcBorders>
              <w:right w:val="single" w:sz="8" w:color="auto"/>
            </w:tcBorders>
            <w:vMerge w:val="restart"/>
          </w:tcPr>
          <w:p>
            <w:pPr>
              <w:jc w:val="center"/>
              <w:ind w:left="146"/>
              <w:spacing w:after="0"/>
              <w:rPr>
                <w:sz w:val="20"/>
                <w:szCs w:val="20"/>
                <w:color w:val="auto"/>
              </w:rPr>
            </w:pPr>
            <w:r>
              <w:rPr>
                <w:rFonts w:ascii="Arial" w:cs="Arial" w:eastAsia="Arial" w:hAnsi="Arial"/>
                <w:sz w:val="11"/>
                <w:szCs w:val="11"/>
                <w:color w:val="auto"/>
                <w:w w:val="97"/>
              </w:rPr>
              <w:t>(9.5)</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-68.0%</w:t>
            </w:r>
          </w:p>
        </w:tc>
        <w:tc>
          <w:tcPr>
            <w:tcW w:w="0" w:type="dxa"/>
            <w:vAlign w:val="bottom"/>
          </w:tcPr>
          <w:p>
            <w:pPr>
              <w:spacing w:after="0"/>
              <w:rPr>
                <w:sz w:val="1"/>
                <w:szCs w:val="1"/>
                <w:color w:val="auto"/>
              </w:rPr>
            </w:pPr>
          </w:p>
        </w:tc>
      </w:tr>
      <w:tr>
        <w:trPr>
          <w:trHeight w:val="96"/>
        </w:trPr>
        <w:tc>
          <w:tcPr>
            <w:tcW w:w="900" w:type="dxa"/>
            <w:vAlign w:val="bottom"/>
            <w:tcBorders>
              <w:left w:val="single" w:sz="8" w:color="auto"/>
              <w:right w:val="single" w:sz="8" w:color="auto"/>
            </w:tcBorders>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90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Insurance Underwriting Result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5.2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5.3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9.8</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85.5%</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jc w:val="center"/>
              <w:ind w:right="186"/>
              <w:spacing w:after="0"/>
              <w:rPr>
                <w:sz w:val="20"/>
                <w:szCs w:val="20"/>
                <w:color w:val="auto"/>
              </w:rPr>
            </w:pPr>
            <w:r>
              <w:rPr>
                <w:rFonts w:ascii="Arial" w:cs="Arial" w:eastAsia="Arial" w:hAnsi="Arial"/>
                <w:sz w:val="11"/>
                <w:szCs w:val="11"/>
                <w:b w:val="1"/>
                <w:bCs w:val="1"/>
                <w:color w:val="auto"/>
                <w:w w:val="96"/>
              </w:rPr>
              <w:t>90.2%</w:t>
            </w:r>
          </w:p>
        </w:tc>
        <w:tc>
          <w:tcPr>
            <w:tcW w:w="660" w:type="dxa"/>
            <w:vAlign w:val="bottom"/>
            <w:tcBorders>
              <w:bottom w:val="single" w:sz="8" w:color="auto"/>
            </w:tcBorders>
          </w:tcPr>
          <w:p>
            <w:pPr>
              <w:jc w:val="center"/>
              <w:ind w:left="126"/>
              <w:spacing w:after="0"/>
              <w:rPr>
                <w:sz w:val="20"/>
                <w:szCs w:val="20"/>
                <w:color w:val="auto"/>
              </w:rPr>
            </w:pPr>
            <w:r>
              <w:rPr>
                <w:rFonts w:ascii="Arial" w:cs="Arial" w:eastAsia="Arial" w:hAnsi="Arial"/>
                <w:sz w:val="11"/>
                <w:szCs w:val="11"/>
                <w:b w:val="1"/>
                <w:bCs w:val="1"/>
                <w:color w:val="auto"/>
                <w:w w:val="93"/>
              </w:rPr>
              <w:t>31.3</w:t>
            </w:r>
          </w:p>
        </w:tc>
        <w:tc>
          <w:tcPr>
            <w:tcW w:w="1020" w:type="dxa"/>
            <w:vAlign w:val="bottom"/>
            <w:tcBorders>
              <w:bottom w:val="single" w:sz="8" w:color="auto"/>
              <w:right w:val="single" w:sz="8" w:color="auto"/>
            </w:tcBorders>
          </w:tcPr>
          <w:p>
            <w:pPr>
              <w:jc w:val="center"/>
              <w:ind w:left="126"/>
              <w:spacing w:after="0"/>
              <w:rPr>
                <w:sz w:val="20"/>
                <w:szCs w:val="20"/>
                <w:color w:val="auto"/>
              </w:rPr>
            </w:pPr>
            <w:r>
              <w:rPr>
                <w:rFonts w:ascii="Arial" w:cs="Arial" w:eastAsia="Arial" w:hAnsi="Arial"/>
                <w:sz w:val="11"/>
                <w:szCs w:val="11"/>
                <w:b w:val="1"/>
                <w:bCs w:val="1"/>
                <w:color w:val="auto"/>
                <w:w w:val="93"/>
              </w:rPr>
              <w:t>23.7</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-24.2%</w:t>
            </w:r>
          </w:p>
        </w:tc>
        <w:tc>
          <w:tcPr>
            <w:tcW w:w="0" w:type="dxa"/>
            <w:vAlign w:val="bottom"/>
          </w:tcPr>
          <w:p>
            <w:pPr>
              <w:spacing w:after="0"/>
              <w:rPr>
                <w:sz w:val="1"/>
                <w:szCs w:val="1"/>
                <w:color w:val="auto"/>
              </w:rPr>
            </w:pPr>
          </w:p>
        </w:tc>
      </w:tr>
      <w:tr>
        <w:trPr>
          <w:trHeight w:val="162"/>
        </w:trPr>
        <w:tc>
          <w:tcPr>
            <w:tcW w:w="900" w:type="dxa"/>
            <w:vAlign w:val="bottom"/>
            <w:tcBorders>
              <w:left w:val="single" w:sz="8" w:color="auto"/>
              <w:right w:val="single" w:sz="8" w:color="auto"/>
            </w:tcBorders>
          </w:tcPr>
          <w:p>
            <w:pPr>
              <w:spacing w:after="0"/>
              <w:rPr>
                <w:sz w:val="14"/>
                <w:szCs w:val="14"/>
                <w:color w:val="auto"/>
              </w:rPr>
            </w:pPr>
          </w:p>
        </w:tc>
        <w:tc>
          <w:tcPr>
            <w:tcW w:w="27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Insurance Service Income</w:t>
            </w:r>
          </w:p>
        </w:tc>
        <w:tc>
          <w:tcPr>
            <w:tcW w:w="740" w:type="dxa"/>
            <w:vAlign w:val="bottom"/>
          </w:tcPr>
          <w:p>
            <w:pPr>
              <w:jc w:val="center"/>
              <w:spacing w:after="0"/>
              <w:rPr>
                <w:sz w:val="20"/>
                <w:szCs w:val="20"/>
                <w:color w:val="auto"/>
              </w:rPr>
            </w:pPr>
            <w:r>
              <w:rPr>
                <w:rFonts w:ascii="Arial" w:cs="Arial" w:eastAsia="Arial" w:hAnsi="Arial"/>
                <w:sz w:val="11"/>
                <w:szCs w:val="11"/>
                <w:color w:val="auto"/>
              </w:rPr>
              <w:t>0.0</w:t>
            </w:r>
          </w:p>
        </w:tc>
        <w:tc>
          <w:tcPr>
            <w:tcW w:w="880" w:type="dxa"/>
            <w:vAlign w:val="bottom"/>
          </w:tcPr>
          <w:p>
            <w:pPr>
              <w:jc w:val="center"/>
              <w:spacing w:after="0"/>
              <w:rPr>
                <w:sz w:val="20"/>
                <w:szCs w:val="20"/>
                <w:color w:val="auto"/>
              </w:rPr>
            </w:pPr>
            <w:r>
              <w:rPr>
                <w:rFonts w:ascii="Arial" w:cs="Arial" w:eastAsia="Arial" w:hAnsi="Arial"/>
                <w:sz w:val="11"/>
                <w:szCs w:val="11"/>
                <w:color w:val="auto"/>
              </w:rPr>
              <w:t>383.3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401.1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4.6%</w:t>
            </w:r>
          </w:p>
        </w:tc>
        <w:tc>
          <w:tcPr>
            <w:tcW w:w="220" w:type="dxa"/>
            <w:vAlign w:val="bottom"/>
          </w:tcPr>
          <w:p>
            <w:pPr>
              <w:spacing w:after="0"/>
              <w:rPr>
                <w:sz w:val="14"/>
                <w:szCs w:val="14"/>
                <w:color w:val="auto"/>
              </w:rPr>
            </w:pPr>
          </w:p>
        </w:tc>
        <w:tc>
          <w:tcPr>
            <w:tcW w:w="580" w:type="dxa"/>
            <w:vAlign w:val="bottom"/>
            <w:tcBorders>
              <w:right w:val="single" w:sz="8" w:color="auto"/>
            </w:tcBorders>
          </w:tcPr>
          <w:p>
            <w:pPr>
              <w:jc w:val="center"/>
              <w:ind w:right="186"/>
              <w:spacing w:after="0"/>
              <w:rPr>
                <w:sz w:val="20"/>
                <w:szCs w:val="20"/>
                <w:color w:val="auto"/>
              </w:rPr>
            </w:pPr>
            <w:r>
              <w:rPr>
                <w:rFonts w:ascii="Arial" w:cs="Arial" w:eastAsia="Arial" w:hAnsi="Arial"/>
                <w:sz w:val="11"/>
                <w:szCs w:val="11"/>
                <w:color w:val="auto"/>
                <w:w w:val="97"/>
              </w:rPr>
              <w:t>n.a.</w:t>
            </w:r>
          </w:p>
        </w:tc>
        <w:tc>
          <w:tcPr>
            <w:tcW w:w="660" w:type="dxa"/>
            <w:vAlign w:val="bottom"/>
          </w:tcPr>
          <w:p>
            <w:pPr>
              <w:jc w:val="center"/>
              <w:ind w:left="126"/>
              <w:spacing w:after="0"/>
              <w:rPr>
                <w:sz w:val="20"/>
                <w:szCs w:val="20"/>
                <w:color w:val="auto"/>
              </w:rPr>
            </w:pPr>
            <w:r>
              <w:rPr>
                <w:rFonts w:ascii="Arial" w:cs="Arial" w:eastAsia="Arial" w:hAnsi="Arial"/>
                <w:sz w:val="11"/>
                <w:szCs w:val="11"/>
                <w:color w:val="auto"/>
              </w:rPr>
              <w:t>0.0</w:t>
            </w:r>
          </w:p>
        </w:tc>
        <w:tc>
          <w:tcPr>
            <w:tcW w:w="1020" w:type="dxa"/>
            <w:vAlign w:val="bottom"/>
            <w:tcBorders>
              <w:right w:val="single" w:sz="8" w:color="auto"/>
            </w:tcBorders>
          </w:tcPr>
          <w:p>
            <w:pPr>
              <w:jc w:val="center"/>
              <w:ind w:left="126"/>
              <w:spacing w:after="0"/>
              <w:rPr>
                <w:sz w:val="20"/>
                <w:szCs w:val="20"/>
                <w:color w:val="auto"/>
              </w:rPr>
            </w:pPr>
            <w:r>
              <w:rPr>
                <w:rFonts w:ascii="Arial" w:cs="Arial" w:eastAsia="Arial" w:hAnsi="Arial"/>
                <w:sz w:val="11"/>
                <w:szCs w:val="11"/>
                <w:color w:val="auto"/>
              </w:rPr>
              <w:t>914.5</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n.a.</w:t>
            </w:r>
          </w:p>
        </w:tc>
        <w:tc>
          <w:tcPr>
            <w:tcW w:w="0" w:type="dxa"/>
            <w:vAlign w:val="bottom"/>
          </w:tcPr>
          <w:p>
            <w:pPr>
              <w:spacing w:after="0"/>
              <w:rPr>
                <w:sz w:val="1"/>
                <w:szCs w:val="1"/>
                <w:color w:val="auto"/>
              </w:rPr>
            </w:pPr>
          </w:p>
        </w:tc>
      </w:tr>
      <w:tr>
        <w:trPr>
          <w:trHeight w:val="180"/>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EPS</w:t>
            </w:r>
          </w:p>
        </w:tc>
        <w:tc>
          <w:tcPr>
            <w:tcW w:w="27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Insurance Service Expenses</w:t>
            </w:r>
          </w:p>
        </w:tc>
        <w:tc>
          <w:tcPr>
            <w:tcW w:w="740" w:type="dxa"/>
            <w:vAlign w:val="bottom"/>
          </w:tcPr>
          <w:p>
            <w:pPr>
              <w:jc w:val="center"/>
              <w:spacing w:after="0"/>
              <w:rPr>
                <w:sz w:val="20"/>
                <w:szCs w:val="20"/>
                <w:color w:val="auto"/>
              </w:rPr>
            </w:pPr>
            <w:r>
              <w:rPr>
                <w:rFonts w:ascii="Arial" w:cs="Arial" w:eastAsia="Arial" w:hAnsi="Arial"/>
                <w:sz w:val="11"/>
                <w:szCs w:val="11"/>
                <w:color w:val="auto"/>
              </w:rPr>
              <w:t>0.0</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(357.3)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(369.5)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3.4%</w:t>
            </w:r>
          </w:p>
        </w:tc>
        <w:tc>
          <w:tcPr>
            <w:tcW w:w="220" w:type="dxa"/>
            <w:vAlign w:val="bottom"/>
          </w:tcPr>
          <w:p>
            <w:pPr>
              <w:spacing w:after="0"/>
              <w:rPr>
                <w:sz w:val="15"/>
                <w:szCs w:val="15"/>
                <w:color w:val="auto"/>
              </w:rPr>
            </w:pPr>
          </w:p>
        </w:tc>
        <w:tc>
          <w:tcPr>
            <w:tcW w:w="580" w:type="dxa"/>
            <w:vAlign w:val="bottom"/>
            <w:tcBorders>
              <w:right w:val="single" w:sz="8" w:color="auto"/>
            </w:tcBorders>
          </w:tcPr>
          <w:p>
            <w:pPr>
              <w:jc w:val="center"/>
              <w:ind w:right="186"/>
              <w:spacing w:after="0"/>
              <w:rPr>
                <w:sz w:val="20"/>
                <w:szCs w:val="20"/>
                <w:color w:val="auto"/>
              </w:rPr>
            </w:pPr>
            <w:r>
              <w:rPr>
                <w:rFonts w:ascii="Arial" w:cs="Arial" w:eastAsia="Arial" w:hAnsi="Arial"/>
                <w:sz w:val="11"/>
                <w:szCs w:val="11"/>
                <w:color w:val="auto"/>
                <w:w w:val="97"/>
              </w:rPr>
              <w:t>n.a.</w:t>
            </w:r>
          </w:p>
        </w:tc>
        <w:tc>
          <w:tcPr>
            <w:tcW w:w="660" w:type="dxa"/>
            <w:vAlign w:val="bottom"/>
          </w:tcPr>
          <w:p>
            <w:pPr>
              <w:jc w:val="center"/>
              <w:ind w:left="126"/>
              <w:spacing w:after="0"/>
              <w:rPr>
                <w:sz w:val="20"/>
                <w:szCs w:val="20"/>
                <w:color w:val="auto"/>
              </w:rPr>
            </w:pPr>
            <w:r>
              <w:rPr>
                <w:rFonts w:ascii="Arial" w:cs="Arial" w:eastAsia="Arial" w:hAnsi="Arial"/>
                <w:sz w:val="11"/>
                <w:szCs w:val="11"/>
                <w:color w:val="auto"/>
              </w:rPr>
              <w:t>0.0</w:t>
            </w:r>
          </w:p>
        </w:tc>
        <w:tc>
          <w:tcPr>
            <w:tcW w:w="1020" w:type="dxa"/>
            <w:vAlign w:val="bottom"/>
            <w:tcBorders>
              <w:right w:val="single" w:sz="8" w:color="auto"/>
            </w:tcBorders>
          </w:tcPr>
          <w:p>
            <w:pPr>
              <w:jc w:val="center"/>
              <w:ind w:left="146"/>
              <w:spacing w:after="0"/>
              <w:rPr>
                <w:sz w:val="20"/>
                <w:szCs w:val="20"/>
                <w:color w:val="auto"/>
              </w:rPr>
            </w:pPr>
            <w:r>
              <w:rPr>
                <w:rFonts w:ascii="Arial" w:cs="Arial" w:eastAsia="Arial" w:hAnsi="Arial"/>
                <w:sz w:val="11"/>
                <w:szCs w:val="11"/>
                <w:color w:val="auto"/>
                <w:w w:val="97"/>
              </w:rPr>
              <w:t>(849.7)</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n.a.</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right w:val="single" w:sz="8" w:color="auto"/>
            </w:tcBorders>
            <w:vMerge w:val="continue"/>
          </w:tcPr>
          <w:p>
            <w:pPr>
              <w:spacing w:after="0"/>
              <w:rPr>
                <w:sz w:val="7"/>
                <w:szCs w:val="7"/>
                <w:color w:val="auto"/>
              </w:rPr>
            </w:pPr>
          </w:p>
        </w:tc>
        <w:tc>
          <w:tcPr>
            <w:tcW w:w="27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Reinsurance Results</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rPr>
              <w:t>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auto"/>
                <w:w w:val="97"/>
              </w:rPr>
              <w:t>(1.3)</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1.7</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-233.9%</w:t>
            </w: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86"/>
              <w:spacing w:after="0"/>
              <w:rPr>
                <w:sz w:val="20"/>
                <w:szCs w:val="20"/>
                <w:color w:val="auto"/>
              </w:rPr>
            </w:pPr>
            <w:r>
              <w:rPr>
                <w:rFonts w:ascii="Arial" w:cs="Arial" w:eastAsia="Arial" w:hAnsi="Arial"/>
                <w:sz w:val="11"/>
                <w:szCs w:val="11"/>
                <w:color w:val="auto"/>
                <w:w w:val="97"/>
              </w:rPr>
              <w:t>n.a.</w:t>
            </w:r>
          </w:p>
        </w:tc>
        <w:tc>
          <w:tcPr>
            <w:tcW w:w="660" w:type="dxa"/>
            <w:vAlign w:val="bottom"/>
            <w:vMerge w:val="restart"/>
          </w:tcPr>
          <w:p>
            <w:pPr>
              <w:jc w:val="center"/>
              <w:ind w:left="126"/>
              <w:spacing w:after="0"/>
              <w:rPr>
                <w:sz w:val="20"/>
                <w:szCs w:val="20"/>
                <w:color w:val="auto"/>
              </w:rPr>
            </w:pPr>
            <w:r>
              <w:rPr>
                <w:rFonts w:ascii="Arial" w:cs="Arial" w:eastAsia="Arial" w:hAnsi="Arial"/>
                <w:sz w:val="11"/>
                <w:szCs w:val="11"/>
                <w:color w:val="auto"/>
              </w:rPr>
              <w:t>0.0</w:t>
            </w:r>
          </w:p>
        </w:tc>
        <w:tc>
          <w:tcPr>
            <w:tcW w:w="1020" w:type="dxa"/>
            <w:vAlign w:val="bottom"/>
            <w:tcBorders>
              <w:right w:val="single" w:sz="8" w:color="auto"/>
            </w:tcBorders>
            <w:vMerge w:val="restart"/>
          </w:tcPr>
          <w:p>
            <w:pPr>
              <w:jc w:val="center"/>
              <w:ind w:left="126"/>
              <w:spacing w:after="0"/>
              <w:rPr>
                <w:sz w:val="20"/>
                <w:szCs w:val="20"/>
                <w:color w:val="auto"/>
              </w:rPr>
            </w:pPr>
            <w:r>
              <w:rPr>
                <w:rFonts w:ascii="Arial" w:cs="Arial" w:eastAsia="Arial" w:hAnsi="Arial"/>
                <w:sz w:val="11"/>
                <w:szCs w:val="11"/>
                <w:color w:val="auto"/>
              </w:rPr>
              <w:t>0.0</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n.a.</w:t>
            </w:r>
          </w:p>
        </w:tc>
        <w:tc>
          <w:tcPr>
            <w:tcW w:w="0" w:type="dxa"/>
            <w:vAlign w:val="bottom"/>
          </w:tcPr>
          <w:p>
            <w:pPr>
              <w:spacing w:after="0"/>
              <w:rPr>
                <w:sz w:val="1"/>
                <w:szCs w:val="1"/>
                <w:color w:val="auto"/>
              </w:rPr>
            </w:pPr>
          </w:p>
        </w:tc>
      </w:tr>
      <w:tr>
        <w:trPr>
          <w:trHeight w:val="96"/>
        </w:trPr>
        <w:tc>
          <w:tcPr>
            <w:tcW w:w="900" w:type="dxa"/>
            <w:vAlign w:val="bottom"/>
            <w:tcBorders>
              <w:left w:val="single" w:sz="8" w:color="auto"/>
              <w:right w:val="single" w:sz="8" w:color="auto"/>
            </w:tcBorders>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90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Insurance Underwriting Result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0.0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24.7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33.3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34.6%</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jc w:val="center"/>
              <w:ind w:right="186"/>
              <w:spacing w:after="0"/>
              <w:rPr>
                <w:sz w:val="20"/>
                <w:szCs w:val="20"/>
                <w:color w:val="auto"/>
              </w:rPr>
            </w:pPr>
            <w:r>
              <w:rPr>
                <w:rFonts w:ascii="Arial" w:cs="Arial" w:eastAsia="Arial" w:hAnsi="Arial"/>
                <w:sz w:val="11"/>
                <w:szCs w:val="11"/>
                <w:b w:val="1"/>
                <w:bCs w:val="1"/>
                <w:color w:val="auto"/>
                <w:w w:val="94"/>
              </w:rPr>
              <w:t>n.a.</w:t>
            </w:r>
          </w:p>
        </w:tc>
        <w:tc>
          <w:tcPr>
            <w:tcW w:w="660" w:type="dxa"/>
            <w:vAlign w:val="bottom"/>
            <w:tcBorders>
              <w:bottom w:val="single" w:sz="8" w:color="auto"/>
            </w:tcBorders>
          </w:tcPr>
          <w:p>
            <w:pPr>
              <w:jc w:val="center"/>
              <w:ind w:left="126"/>
              <w:spacing w:after="0"/>
              <w:rPr>
                <w:sz w:val="20"/>
                <w:szCs w:val="20"/>
                <w:color w:val="auto"/>
              </w:rPr>
            </w:pPr>
            <w:r>
              <w:rPr>
                <w:rFonts w:ascii="Arial" w:cs="Arial" w:eastAsia="Arial" w:hAnsi="Arial"/>
                <w:sz w:val="11"/>
                <w:szCs w:val="11"/>
                <w:b w:val="1"/>
                <w:bCs w:val="1"/>
                <w:color w:val="auto"/>
              </w:rPr>
              <w:t>0.0</w:t>
            </w:r>
          </w:p>
        </w:tc>
        <w:tc>
          <w:tcPr>
            <w:tcW w:w="1020" w:type="dxa"/>
            <w:vAlign w:val="bottom"/>
            <w:tcBorders>
              <w:bottom w:val="single" w:sz="8" w:color="auto"/>
              <w:right w:val="single" w:sz="8" w:color="auto"/>
            </w:tcBorders>
          </w:tcPr>
          <w:p>
            <w:pPr>
              <w:jc w:val="center"/>
              <w:ind w:left="126"/>
              <w:spacing w:after="0"/>
              <w:rPr>
                <w:sz w:val="20"/>
                <w:szCs w:val="20"/>
                <w:color w:val="auto"/>
              </w:rPr>
            </w:pPr>
            <w:r>
              <w:rPr>
                <w:rFonts w:ascii="Arial" w:cs="Arial" w:eastAsia="Arial" w:hAnsi="Arial"/>
                <w:sz w:val="11"/>
                <w:szCs w:val="11"/>
                <w:b w:val="1"/>
                <w:bCs w:val="1"/>
                <w:color w:val="auto"/>
                <w:w w:val="93"/>
              </w:rPr>
              <w:t>64.8</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n.a.</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color w:val="auto"/>
        </w:rPr>
        <w:t>QoQ, the Insurance Underwriting Result increased 10.7%, driven by growth in income from Insurance Services (+2.3%) and a more favorable Reinsurance Result (-19.3%). The positive impact of both these drivers was attenuated by growth in Insurance Service Expenses (+1.1%).</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YoY and YTD, the Insurance Underwriting Result increased 33.1% and 20.5%, respectively. This evolution was fueled by growth in Insurance Service Income (+28.9% and +21.4%) and by a more favorable Reinsurance Result (-42.4% and -37.2%). These impacts were partially attenuated by an increase in Insurance Service Expenses (+45.1% and +38.3%).</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P%C Insurance</w:t>
      </w:r>
    </w:p>
    <w:p>
      <w:pPr>
        <w:spacing w:after="0" w:line="174" w:lineRule="exact"/>
        <w:rPr>
          <w:sz w:val="20"/>
          <w:szCs w:val="20"/>
          <w:color w:val="auto"/>
        </w:rPr>
      </w:pPr>
    </w:p>
    <w:p>
      <w:pPr>
        <w:ind w:left="1640"/>
        <w:spacing w:after="0"/>
        <w:tabs>
          <w:tab w:leader="none" w:pos="6880" w:val="left"/>
        </w:tabs>
        <w:rPr>
          <w:sz w:val="20"/>
          <w:szCs w:val="20"/>
          <w:color w:val="auto"/>
        </w:rPr>
      </w:pPr>
      <w:r>
        <w:rPr>
          <w:rFonts w:ascii="Arial" w:cs="Arial" w:eastAsia="Arial" w:hAnsi="Arial"/>
          <w:sz w:val="16"/>
          <w:szCs w:val="16"/>
          <w:b w:val="1"/>
          <w:bCs w:val="1"/>
          <w:color w:val="auto"/>
        </w:rPr>
        <w:t>Insurance Service Income</w:t>
      </w:r>
      <w:r>
        <w:rPr>
          <w:sz w:val="20"/>
          <w:szCs w:val="20"/>
          <w:color w:val="auto"/>
        </w:rPr>
        <w:tab/>
      </w:r>
      <w:r>
        <w:rPr>
          <w:rFonts w:ascii="Arial" w:cs="Arial" w:eastAsia="Arial" w:hAnsi="Arial"/>
          <w:sz w:val="14"/>
          <w:szCs w:val="14"/>
          <w:b w:val="1"/>
          <w:bCs w:val="1"/>
          <w:color w:val="auto"/>
        </w:rPr>
        <w:t>Insurance Service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112395</wp:posOffset>
            </wp:positionV>
            <wp:extent cx="5975985" cy="18370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75985" cy="183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80" w:firstLine="6"/>
        <w:spacing w:after="0" w:line="279" w:lineRule="auto"/>
        <w:tabs>
          <w:tab w:leader="none" w:pos="162" w:val="left"/>
        </w:tabs>
        <w:numPr>
          <w:ilvl w:val="0"/>
          <w:numId w:val="36"/>
        </w:numPr>
        <w:rPr>
          <w:rFonts w:ascii="Arial" w:cs="Arial" w:eastAsia="Arial" w:hAnsi="Arial"/>
          <w:sz w:val="11"/>
          <w:szCs w:val="11"/>
          <w:color w:val="auto"/>
        </w:rPr>
      </w:pPr>
      <w:r>
        <w:rPr>
          <w:rFonts w:ascii="Arial" w:cs="Arial" w:eastAsia="Arial" w:hAnsi="Arial"/>
          <w:sz w:val="11"/>
          <w:szCs w:val="11"/>
          <w:color w:val="auto"/>
        </w:rPr>
        <w:t>As of 1Q25, the business previously known as “P &amp; C Risks” has been reclassified into two separate categories: Personal Lines and Commercial Lines to better reflect the nature of insured risks. Historical figures have been adjusted for comparability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514350</wp:posOffset>
            </wp:positionV>
            <wp:extent cx="670750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468630</wp:posOffset>
            </wp:positionH>
            <wp:positionV relativeFrom="paragraph">
              <wp:posOffset>64770</wp:posOffset>
            </wp:positionV>
            <wp:extent cx="5785485" cy="3581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85485" cy="358140"/>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sectPr>
      </w:pPr>
    </w:p>
    <w:bookmarkStart w:id="38" w:name="page39"/>
    <w:bookmarkEnd w:id="38"/>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1752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07505" cy="17526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07. Results for Insurance Underwriting and Medical Services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QoQ, the Insurance Underwriting Result increased 5.2% on the back of the following dynamics:</w:t>
      </w:r>
    </w:p>
    <w:p>
      <w:pPr>
        <w:spacing w:after="0" w:line="10" w:lineRule="exact"/>
        <w:rPr>
          <w:sz w:val="20"/>
          <w:szCs w:val="20"/>
          <w:color w:val="auto"/>
        </w:rPr>
      </w:pPr>
    </w:p>
    <w:p>
      <w:pPr>
        <w:ind w:left="560" w:right="20" w:hanging="278"/>
        <w:spacing w:after="0" w:line="234" w:lineRule="auto"/>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Insurance Service Income rose slightly by 2.1%, driven mainly by (i) Commercial Lines and Medical Assistance, which registered an increase in premiums for seasonal renewals, and (ii) Vehicles, due to a reduction in reserves set aside for current risks (RRC).</w:t>
      </w:r>
    </w:p>
    <w:p>
      <w:pPr>
        <w:spacing w:after="0" w:line="1" w:lineRule="exact"/>
        <w:rPr>
          <w:rFonts w:ascii="Arial" w:cs="Arial" w:eastAsia="Arial" w:hAnsi="Arial"/>
          <w:sz w:val="16"/>
          <w:szCs w:val="16"/>
          <w:color w:val="auto"/>
        </w:rPr>
      </w:pPr>
    </w:p>
    <w:p>
      <w:pPr>
        <w:ind w:left="560" w:right="20" w:hanging="278"/>
        <w:spacing w:after="0" w:line="234" w:lineRule="auto"/>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Insurance Service Expenses rose 7.1%, driven primarily by Commercial Lines, which reported an increase in claims in the Fire and Transportation lines.</w:t>
      </w:r>
    </w:p>
    <w:p>
      <w:pPr>
        <w:spacing w:after="0" w:line="1" w:lineRule="exact"/>
        <w:rPr>
          <w:rFonts w:ascii="Arial" w:cs="Arial" w:eastAsia="Arial" w:hAnsi="Arial"/>
          <w:sz w:val="16"/>
          <w:szCs w:val="16"/>
          <w:color w:val="auto"/>
        </w:rPr>
      </w:pPr>
    </w:p>
    <w:p>
      <w:pPr>
        <w:ind w:left="560" w:hanging="278"/>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Reinsurance Result improved, fueled by an increase in claims recovered from the reinsurer in Commercial Lines.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YoY, the Insurance Underwriting Result increased 24.3% through the following dynamics:</w:t>
      </w:r>
    </w:p>
    <w:p>
      <w:pPr>
        <w:spacing w:after="0" w:line="10" w:lineRule="exact"/>
        <w:rPr>
          <w:sz w:val="20"/>
          <w:szCs w:val="20"/>
          <w:color w:val="auto"/>
        </w:rPr>
      </w:pPr>
    </w:p>
    <w:p>
      <w:pPr>
        <w:jc w:val="both"/>
        <w:ind w:left="560" w:hanging="278"/>
        <w:spacing w:after="0" w:line="234" w:lineRule="auto"/>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Insurance Service Income rose 4.0%, attributable primarily to (i) Commercial lines, which reported an increase in the release of reserves for current risks, (ii) Personal Lines, where the card protection product registered higher sales through the Bancassurance and Alliances channel, and (iii) Soat, which registered a drop in reserves set aside for current risks.</w:t>
      </w:r>
    </w:p>
    <w:p>
      <w:pPr>
        <w:spacing w:after="0" w:line="1" w:lineRule="exact"/>
        <w:rPr>
          <w:rFonts w:ascii="Arial" w:cs="Arial" w:eastAsia="Arial" w:hAnsi="Arial"/>
          <w:sz w:val="16"/>
          <w:szCs w:val="16"/>
          <w:color w:val="auto"/>
        </w:rPr>
      </w:pPr>
    </w:p>
    <w:p>
      <w:pPr>
        <w:ind w:left="560" w:hanging="278"/>
        <w:spacing w:after="0" w:line="234" w:lineRule="auto"/>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Insurance Service Expenses increased 14.7%, driven by the same dynamics in play QoQ.</w:t>
      </w:r>
    </w:p>
    <w:p>
      <w:pPr>
        <w:ind w:left="560" w:hanging="278"/>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Reinsurance Result improved, fueled by the same drivers that drove the QoQ result.</w:t>
      </w:r>
    </w:p>
    <w:p>
      <w:pPr>
        <w:spacing w:after="0" w:line="150" w:lineRule="exact"/>
        <w:rPr>
          <w:sz w:val="20"/>
          <w:szCs w:val="20"/>
          <w:color w:val="auto"/>
        </w:rPr>
      </w:pPr>
    </w:p>
    <w:p>
      <w:pPr>
        <w:jc w:val="both"/>
        <w:ind w:left="300" w:right="20"/>
        <w:spacing w:after="0" w:line="248" w:lineRule="auto"/>
        <w:rPr>
          <w:sz w:val="20"/>
          <w:szCs w:val="20"/>
          <w:color w:val="auto"/>
        </w:rPr>
      </w:pPr>
      <w:r>
        <w:rPr>
          <w:rFonts w:ascii="Arial" w:cs="Arial" w:eastAsia="Arial" w:hAnsi="Arial"/>
          <w:sz w:val="16"/>
          <w:szCs w:val="16"/>
          <w:color w:val="auto"/>
        </w:rPr>
        <w:t>YTD, the Insurance Underwriting Result increased 22.8% on the tails of (i) a more favorable Reinsurance Result, which reflects an increase in claims recovered from the reinsurer in the Commercial Lines and Personal Lines, and (ii) an increase in Insurance Service Income, which rose on the back of higher premiums in Commercial Lines, Personal Lines and Vehicles.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111125</wp:posOffset>
            </wp:positionV>
            <wp:extent cx="5350510" cy="16998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50510" cy="169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QoQ, the Insurance Underwriting Result increased 6.4% through the following dynamics:</w:t>
      </w:r>
    </w:p>
    <w:p>
      <w:pPr>
        <w:spacing w:after="0" w:line="10" w:lineRule="exact"/>
        <w:rPr>
          <w:sz w:val="20"/>
          <w:szCs w:val="20"/>
          <w:color w:val="auto"/>
        </w:rPr>
      </w:pPr>
    </w:p>
    <w:p>
      <w:pPr>
        <w:ind w:left="580" w:right="400" w:hanging="298"/>
        <w:spacing w:after="0" w:line="234"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Insurance Service Income dropped 1.3%, due primarily to (i) D&amp;S, which reported a decrease in premiums regularized under the SISCO VII contract, and (ii) Group Life, which registered a decrease in premiums through Collective Life.</w:t>
      </w:r>
    </w:p>
    <w:p>
      <w:pPr>
        <w:spacing w:after="0" w:line="1" w:lineRule="exact"/>
        <w:rPr>
          <w:rFonts w:ascii="Arial" w:cs="Arial" w:eastAsia="Arial" w:hAnsi="Arial"/>
          <w:sz w:val="16"/>
          <w:szCs w:val="16"/>
          <w:color w:val="auto"/>
        </w:rPr>
      </w:pPr>
    </w:p>
    <w:p>
      <w:pPr>
        <w:ind w:left="580" w:right="520" w:hanging="298"/>
        <w:spacing w:after="0" w:line="234"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Insurance Service Expenses dropped 52.0%, due primarily to (i) D&amp;S, which reported an increase in releases of reserves for claims under SISCO VII, and (ii) Group Life, which registered a decrease in D &amp; S claims.</w:t>
      </w:r>
    </w:p>
    <w:p>
      <w:pPr>
        <w:spacing w:after="0" w:line="1" w:lineRule="exact"/>
        <w:rPr>
          <w:rFonts w:ascii="Arial" w:cs="Arial" w:eastAsia="Arial" w:hAnsi="Arial"/>
          <w:sz w:val="16"/>
          <w:szCs w:val="16"/>
          <w:color w:val="auto"/>
        </w:rPr>
      </w:pPr>
    </w:p>
    <w:p>
      <w:pPr>
        <w:ind w:left="580" w:hanging="298"/>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Reinsurance Result deteriorated due to the evolution of D&amp;S, which reported a reserves release for claims recovered from the reinsurer.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YoY, the Insurance Underwriting Result increased 27.8% through the following dynamics:</w:t>
      </w:r>
    </w:p>
    <w:p>
      <w:pPr>
        <w:spacing w:after="0" w:line="10" w:lineRule="exact"/>
        <w:rPr>
          <w:sz w:val="20"/>
          <w:szCs w:val="20"/>
          <w:color w:val="auto"/>
        </w:rPr>
      </w:pPr>
    </w:p>
    <w:p>
      <w:pPr>
        <w:jc w:val="both"/>
        <w:ind w:left="560" w:right="20" w:hanging="278"/>
        <w:spacing w:after="0" w:line="239"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Insurance Service Income dropped 27.9%; this evolution was driven primarily by D&amp;S and reflects the fact that Company was not awarded tranches of the SISCO VIII contract (versus tranches awarded perceived under SISCO VII). The aforementioned was partially attenuated by Credit Life, which reported growth in premiums allotted to the period through the Bancassurance and Alliance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640080</wp:posOffset>
            </wp:positionV>
            <wp:extent cx="670750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99060</wp:posOffset>
            </wp:positionV>
            <wp:extent cx="5869305" cy="449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69305" cy="449580"/>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sectPr>
      </w:pPr>
    </w:p>
    <w:bookmarkStart w:id="39" w:name="page40"/>
    <w:bookmarkEnd w:id="39"/>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1752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07505" cy="17526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340" w:hanging="262"/>
        <w:spacing w:after="0"/>
        <w:tabs>
          <w:tab w:leader="none" w:pos="340" w:val="left"/>
        </w:tabs>
        <w:numPr>
          <w:ilvl w:val="0"/>
          <w:numId w:val="41"/>
        </w:numPr>
        <w:rPr>
          <w:rFonts w:ascii="Arial" w:cs="Arial" w:eastAsia="Arial" w:hAnsi="Arial"/>
          <w:sz w:val="16"/>
          <w:szCs w:val="16"/>
          <w:b w:val="1"/>
          <w:bCs w:val="1"/>
          <w:color w:val="FFFFFF"/>
        </w:rPr>
      </w:pPr>
      <w:r>
        <w:rPr>
          <w:rFonts w:ascii="Arial" w:cs="Arial" w:eastAsia="Arial" w:hAnsi="Arial"/>
          <w:sz w:val="16"/>
          <w:szCs w:val="16"/>
          <w:b w:val="1"/>
          <w:bCs w:val="1"/>
          <w:color w:val="FFFFFF"/>
        </w:rPr>
        <w:t>Results for Insurance Underwriting and Medical Services</w:t>
      </w:r>
    </w:p>
    <w:p>
      <w:pPr>
        <w:spacing w:after="0" w:line="250" w:lineRule="exact"/>
        <w:rPr>
          <w:rFonts w:ascii="Arial" w:cs="Arial" w:eastAsia="Arial" w:hAnsi="Arial"/>
          <w:sz w:val="16"/>
          <w:szCs w:val="16"/>
          <w:b w:val="1"/>
          <w:bCs w:val="1"/>
          <w:color w:val="FFFFFF"/>
        </w:rPr>
      </w:pPr>
    </w:p>
    <w:p>
      <w:pPr>
        <w:ind w:left="580" w:hanging="298"/>
        <w:spacing w:after="0" w:line="243" w:lineRule="auto"/>
        <w:tabs>
          <w:tab w:leader="none" w:pos="5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Insurance Service Expenses fell 83.8%, fueled mainly by (i) D&amp;S, given that no tranches of the SISCO VII were awarded to the Company, and (ii) Credit Life, due to a decrease in claims through the Bancassurance Channel.</w:t>
      </w:r>
    </w:p>
    <w:p>
      <w:pPr>
        <w:spacing w:after="0" w:line="1" w:lineRule="exact"/>
        <w:rPr>
          <w:rFonts w:ascii="Arial" w:cs="Arial" w:eastAsia="Arial" w:hAnsi="Arial"/>
          <w:sz w:val="16"/>
          <w:szCs w:val="16"/>
          <w:color w:val="auto"/>
        </w:rPr>
      </w:pPr>
    </w:p>
    <w:p>
      <w:pPr>
        <w:ind w:left="580" w:hanging="298"/>
        <w:spacing w:after="0" w:line="234" w:lineRule="auto"/>
        <w:tabs>
          <w:tab w:leader="none" w:pos="5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Reinsurance Result deteriorated, driven mainly by D&amp;S and via the same drivers that drove the QoQ result.</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YTD, the Insurance Underwriting Result rose 16.6%. This evolution was spurred primarily by a drop in Insurance Service Income in D&amp;S and secondarily, in Individual Life. Lastly, an increase in Insurance Service Income in Credit Life, which was fueled by growth in new premiums distributed through Bancassurance and Alliances, also contributed to an improvement in the underwriting result.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 for Medical Services</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In March 2025, Credicorp completed its acquisition of the remaining 50% stake in Empresas Banmédica under the joint venture with Pacífico Compañía de Seguros y Reaseguros S.A. ("Pacifico Seguros") set forth in December 2014. This transaction allowed Credicorp, through its subsidiaries Pacifico Seguros y Grupo Crédito S.A., to assume fully ownership of Pacífico S.A. Entidad Prestadora de Salud ("Pacifico EPS"), which manages corporate healthcare for employees, medical services, and private medical insurance in Peru. This acquisition strengthens Credicorp’s capacity to create a more sustainable and inclusive economy by improving access to health insurance and services and bolstering efforts to expand financial inclusion.</w:t>
      </w:r>
    </w:p>
    <w:p>
      <w:pPr>
        <w:spacing w:after="0" w:line="116"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Consequently, as of March 2025, the EPS business’s result is primarily consolidated in Credicorp’s Insurance Underwriting Result line while the Medical Services business is reported in a new account named “Medical Services Result”. It is important to note that in 1Q25, only the month of March was included.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YTD, the Result for Medical Services contributed S/ 290M.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2382520</wp:posOffset>
            </wp:positionV>
            <wp:extent cx="670750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111125</wp:posOffset>
            </wp:positionV>
            <wp:extent cx="5892165" cy="2179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92165" cy="2179955"/>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sectPr>
      </w:pPr>
    </w:p>
    <w:bookmarkStart w:id="40" w:name="page41"/>
    <w:bookmarkEnd w:id="40"/>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08 </w:t>
      </w:r>
      <w:r>
        <w:rPr>
          <w:rFonts w:ascii="Arial" w:cs="Arial" w:eastAsia="Arial" w:hAnsi="Arial"/>
          <w:sz w:val="28"/>
          <w:szCs w:val="28"/>
          <w:color w:val="E93BAC"/>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6707505" cy="7467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07505" cy="746760"/>
                    </a:xfrm>
                    <a:prstGeom prst="rect">
                      <a:avLst/>
                    </a:prstGeom>
                    <a:noFill/>
                  </pic:spPr>
                </pic:pic>
              </a:graphicData>
            </a:graphic>
          </wp:anchor>
        </w:drawing>
      </w:r>
    </w:p>
    <w:p>
      <w:pPr>
        <w:spacing w:after="0" w:line="224" w:lineRule="exact"/>
        <w:rPr>
          <w:sz w:val="20"/>
          <w:szCs w:val="20"/>
          <w:color w:val="auto"/>
        </w:rPr>
      </w:pPr>
    </w:p>
    <w:p>
      <w:pPr>
        <w:jc w:val="both"/>
        <w:ind w:left="200" w:right="220"/>
        <w:spacing w:after="0"/>
        <w:rPr>
          <w:sz w:val="20"/>
          <w:szCs w:val="20"/>
          <w:color w:val="auto"/>
        </w:rPr>
      </w:pPr>
      <w:r>
        <w:rPr>
          <w:rFonts w:ascii="Arial" w:cs="Arial" w:eastAsia="Arial" w:hAnsi="Arial"/>
          <w:sz w:val="16"/>
          <w:szCs w:val="16"/>
          <w:color w:val="FFFFFF"/>
        </w:rPr>
        <w:t>Operating expenses rose 12.8% YTD, driven mainly by core businesses at BCP Stand-alone and innovation initiatives at the Credicorp level. Core business expenses at BCP Stand-alone increased due to: (i) an uptick in the employee salaries and benefits line, which reflects an increase in provisioning for variable compensation and an increase in headcount; and (ii) an uptick in administrative expenses, mainly through BCP Stand-alone, which reflects an increase in cloud use among increasingly digitalized clients, and via Pacifico, which reflects the consolidation of 100% of the operations formerly held under the joint venture with Empresas Banmedica. Expenses for initiatives in the innovation portfolio at the Credicorp level increased 16.1%.</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Operating Expenses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5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3"/>
                <w:szCs w:val="13"/>
                <w:b w:val="1"/>
                <w:bCs w:val="1"/>
                <w:color w:val="FFFFFF"/>
              </w:rPr>
              <w:t>Operating expenses</w:t>
            </w:r>
          </w:p>
        </w:tc>
        <w:tc>
          <w:tcPr>
            <w:tcW w:w="940" w:type="dxa"/>
            <w:vAlign w:val="bottom"/>
            <w:tcBorders>
              <w:top w:val="single" w:sz="8" w:color="auto"/>
            </w:tcBorders>
            <w:shd w:val="clear" w:color="auto" w:fill="33CCCC"/>
          </w:tcPr>
          <w:p>
            <w:pPr>
              <w:spacing w:after="0"/>
              <w:rPr>
                <w:sz w:val="14"/>
                <w:szCs w:val="14"/>
                <w:color w:val="auto"/>
              </w:rPr>
            </w:pPr>
          </w:p>
        </w:tc>
        <w:tc>
          <w:tcPr>
            <w:tcW w:w="900" w:type="dxa"/>
            <w:vAlign w:val="bottom"/>
            <w:tcBorders>
              <w:top w:val="single" w:sz="8" w:color="auto"/>
            </w:tcBorders>
            <w:shd w:val="clear" w:color="auto" w:fill="33CCCC"/>
          </w:tcPr>
          <w:p>
            <w:pPr>
              <w:jc w:val="right"/>
              <w:ind w:right="280"/>
              <w:spacing w:after="0"/>
              <w:rPr>
                <w:sz w:val="20"/>
                <w:szCs w:val="20"/>
                <w:color w:val="auto"/>
              </w:rPr>
            </w:pPr>
            <w:r>
              <w:rPr>
                <w:rFonts w:ascii="Arial" w:cs="Arial" w:eastAsia="Arial" w:hAnsi="Arial"/>
                <w:sz w:val="12"/>
                <w:szCs w:val="12"/>
                <w:b w:val="1"/>
                <w:bCs w:val="1"/>
                <w:color w:val="FFFFFF"/>
              </w:rPr>
              <w:t>Quarter</w:t>
            </w:r>
          </w:p>
        </w:tc>
        <w:tc>
          <w:tcPr>
            <w:tcW w:w="740" w:type="dxa"/>
            <w:vAlign w:val="bottom"/>
            <w:tcBorders>
              <w:top w:val="single" w:sz="8" w:color="auto"/>
              <w:right w:val="single" w:sz="8" w:color="auto"/>
            </w:tcBorders>
            <w:shd w:val="clear" w:color="auto" w:fill="33CCCC"/>
          </w:tcPr>
          <w:p>
            <w:pPr>
              <w:spacing w:after="0"/>
              <w:rPr>
                <w:sz w:val="14"/>
                <w:szCs w:val="14"/>
                <w:color w:val="auto"/>
              </w:rPr>
            </w:pPr>
          </w:p>
        </w:tc>
        <w:tc>
          <w:tcPr>
            <w:tcW w:w="1700" w:type="dxa"/>
            <w:vAlign w:val="bottom"/>
            <w:tcBorders>
              <w:top w:val="single" w:sz="8" w:color="auto"/>
              <w:right w:val="single" w:sz="8" w:color="auto"/>
            </w:tcBorders>
            <w:gridSpan w:val="2"/>
            <w:shd w:val="clear" w:color="auto" w:fill="33CCCC"/>
          </w:tcPr>
          <w:p>
            <w:pPr>
              <w:ind w:left="540"/>
              <w:spacing w:after="0"/>
              <w:rPr>
                <w:sz w:val="20"/>
                <w:szCs w:val="20"/>
                <w:color w:val="auto"/>
              </w:rPr>
            </w:pPr>
            <w:r>
              <w:rPr>
                <w:rFonts w:ascii="Arial" w:cs="Arial" w:eastAsia="Arial" w:hAnsi="Arial"/>
                <w:sz w:val="12"/>
                <w:szCs w:val="12"/>
                <w:b w:val="1"/>
                <w:bCs w:val="1"/>
                <w:color w:val="FFFFFF"/>
              </w:rPr>
              <w:t>% change</w:t>
            </w:r>
          </w:p>
        </w:tc>
        <w:tc>
          <w:tcPr>
            <w:tcW w:w="1020" w:type="dxa"/>
            <w:vAlign w:val="bottom"/>
            <w:tcBorders>
              <w:top w:val="single" w:sz="8" w:color="auto"/>
            </w:tcBorders>
            <w:shd w:val="clear" w:color="auto" w:fill="33CCCC"/>
          </w:tcPr>
          <w:p>
            <w:pPr>
              <w:jc w:val="right"/>
              <w:spacing w:after="0"/>
              <w:rPr>
                <w:sz w:val="20"/>
                <w:szCs w:val="20"/>
                <w:color w:val="auto"/>
              </w:rPr>
            </w:pPr>
            <w:r>
              <w:rPr>
                <w:rFonts w:ascii="Arial" w:cs="Arial" w:eastAsia="Arial" w:hAnsi="Arial"/>
                <w:sz w:val="12"/>
                <w:szCs w:val="12"/>
                <w:b w:val="1"/>
                <w:bCs w:val="1"/>
                <w:color w:val="FFFFFF"/>
              </w:rPr>
              <w:t>Up to</w:t>
            </w:r>
          </w:p>
        </w:tc>
        <w:tc>
          <w:tcPr>
            <w:tcW w:w="680" w:type="dxa"/>
            <w:vAlign w:val="bottom"/>
            <w:tcBorders>
              <w:top w:val="single" w:sz="8" w:color="auto"/>
              <w:right w:val="single" w:sz="8" w:color="auto"/>
            </w:tcBorders>
            <w:shd w:val="clear" w:color="auto" w:fill="33CCCC"/>
          </w:tcPr>
          <w:p>
            <w:pPr>
              <w:spacing w:after="0"/>
              <w:rPr>
                <w:sz w:val="14"/>
                <w:szCs w:val="14"/>
                <w:color w:val="auto"/>
              </w:rPr>
            </w:pPr>
          </w:p>
        </w:tc>
        <w:tc>
          <w:tcPr>
            <w:tcW w:w="10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56"/>
        </w:trPr>
        <w:tc>
          <w:tcPr>
            <w:tcW w:w="352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3"/>
                <w:szCs w:val="13"/>
                <w:b w:val="1"/>
                <w:bCs w:val="1"/>
                <w:color w:val="FFFFFF"/>
              </w:rPr>
              <w:t>S/000</w:t>
            </w:r>
          </w:p>
        </w:tc>
        <w:tc>
          <w:tcPr>
            <w:tcW w:w="940" w:type="dxa"/>
            <w:vAlign w:val="bottom"/>
            <w:tcBorders>
              <w:bottom w:val="single" w:sz="8" w:color="auto"/>
            </w:tcBorders>
            <w:shd w:val="clear" w:color="auto" w:fill="33CCCC"/>
          </w:tcPr>
          <w:p>
            <w:pPr>
              <w:jc w:val="right"/>
              <w:ind w:right="320"/>
              <w:spacing w:after="0"/>
              <w:rPr>
                <w:sz w:val="20"/>
                <w:szCs w:val="20"/>
                <w:color w:val="auto"/>
              </w:rPr>
            </w:pPr>
            <w:r>
              <w:rPr>
                <w:rFonts w:ascii="Arial" w:cs="Arial" w:eastAsia="Arial" w:hAnsi="Arial"/>
                <w:sz w:val="12"/>
                <w:szCs w:val="12"/>
                <w:b w:val="1"/>
                <w:bCs w:val="1"/>
                <w:color w:val="FFFFFF"/>
              </w:rPr>
              <w:t>3Q24</w:t>
            </w:r>
          </w:p>
        </w:tc>
        <w:tc>
          <w:tcPr>
            <w:tcW w:w="900" w:type="dxa"/>
            <w:vAlign w:val="bottom"/>
            <w:tcBorders>
              <w:bottom w:val="single" w:sz="8" w:color="auto"/>
            </w:tcBorders>
            <w:shd w:val="clear" w:color="auto" w:fill="33CCCC"/>
          </w:tcPr>
          <w:p>
            <w:pPr>
              <w:jc w:val="right"/>
              <w:ind w:right="360"/>
              <w:spacing w:after="0"/>
              <w:rPr>
                <w:sz w:val="20"/>
                <w:szCs w:val="20"/>
                <w:color w:val="auto"/>
              </w:rPr>
            </w:pPr>
            <w:r>
              <w:rPr>
                <w:rFonts w:ascii="Arial" w:cs="Arial" w:eastAsia="Arial" w:hAnsi="Arial"/>
                <w:sz w:val="12"/>
                <w:szCs w:val="12"/>
                <w:b w:val="1"/>
                <w:bCs w:val="1"/>
                <w:color w:val="FFFFFF"/>
              </w:rPr>
              <w:t>2Q25</w:t>
            </w:r>
          </w:p>
        </w:tc>
        <w:tc>
          <w:tcPr>
            <w:tcW w:w="740" w:type="dxa"/>
            <w:vAlign w:val="bottom"/>
            <w:tcBorders>
              <w:bottom w:val="single" w:sz="8" w:color="auto"/>
              <w:right w:val="single" w:sz="8" w:color="auto"/>
            </w:tcBorders>
            <w:shd w:val="clear" w:color="auto" w:fill="33CCCC"/>
          </w:tcPr>
          <w:p>
            <w:pPr>
              <w:jc w:val="right"/>
              <w:ind w:right="240"/>
              <w:spacing w:after="0"/>
              <w:rPr>
                <w:sz w:val="20"/>
                <w:szCs w:val="20"/>
                <w:color w:val="auto"/>
              </w:rPr>
            </w:pPr>
            <w:r>
              <w:rPr>
                <w:rFonts w:ascii="Arial" w:cs="Arial" w:eastAsia="Arial" w:hAnsi="Arial"/>
                <w:sz w:val="12"/>
                <w:szCs w:val="12"/>
                <w:b w:val="1"/>
                <w:bCs w:val="1"/>
                <w:color w:val="FFFFFF"/>
              </w:rPr>
              <w:t>3Q25</w:t>
            </w:r>
          </w:p>
        </w:tc>
        <w:tc>
          <w:tcPr>
            <w:tcW w:w="84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12"/>
                <w:szCs w:val="12"/>
                <w:b w:val="1"/>
                <w:bCs w:val="1"/>
                <w:color w:val="FFFFFF"/>
              </w:rPr>
              <w:t>QoQ</w:t>
            </w:r>
          </w:p>
        </w:tc>
        <w:tc>
          <w:tcPr>
            <w:tcW w:w="860" w:type="dxa"/>
            <w:vAlign w:val="bottom"/>
            <w:tcBorders>
              <w:bottom w:val="single" w:sz="8" w:color="auto"/>
              <w:right w:val="single" w:sz="8" w:color="auto"/>
            </w:tcBorders>
            <w:shd w:val="clear" w:color="auto" w:fill="33CCCC"/>
          </w:tcPr>
          <w:p>
            <w:pPr>
              <w:ind w:left="300"/>
              <w:spacing w:after="0"/>
              <w:rPr>
                <w:sz w:val="20"/>
                <w:szCs w:val="20"/>
                <w:color w:val="auto"/>
              </w:rPr>
            </w:pPr>
            <w:r>
              <w:rPr>
                <w:rFonts w:ascii="Arial" w:cs="Arial" w:eastAsia="Arial" w:hAnsi="Arial"/>
                <w:sz w:val="12"/>
                <w:szCs w:val="12"/>
                <w:b w:val="1"/>
                <w:bCs w:val="1"/>
                <w:color w:val="FFFFFF"/>
              </w:rPr>
              <w:t>YoY</w:t>
            </w:r>
          </w:p>
        </w:tc>
        <w:tc>
          <w:tcPr>
            <w:tcW w:w="1020" w:type="dxa"/>
            <w:vAlign w:val="bottom"/>
            <w:tcBorders>
              <w:bottom w:val="single" w:sz="8" w:color="auto"/>
            </w:tcBorders>
            <w:shd w:val="clear" w:color="auto" w:fill="33CCCC"/>
          </w:tcPr>
          <w:p>
            <w:pPr>
              <w:jc w:val="right"/>
              <w:ind w:right="340"/>
              <w:spacing w:after="0"/>
              <w:rPr>
                <w:sz w:val="20"/>
                <w:szCs w:val="20"/>
                <w:color w:val="auto"/>
              </w:rPr>
            </w:pPr>
            <w:r>
              <w:rPr>
                <w:rFonts w:ascii="Arial" w:cs="Arial" w:eastAsia="Arial" w:hAnsi="Arial"/>
                <w:sz w:val="12"/>
                <w:szCs w:val="12"/>
                <w:b w:val="1"/>
                <w:bCs w:val="1"/>
                <w:color w:val="FFFFFF"/>
              </w:rPr>
              <w:t>Sep 24</w:t>
            </w:r>
          </w:p>
        </w:tc>
        <w:tc>
          <w:tcPr>
            <w:tcW w:w="680" w:type="dxa"/>
            <w:vAlign w:val="bottom"/>
            <w:tcBorders>
              <w:bottom w:val="single" w:sz="8" w:color="auto"/>
              <w:right w:val="single" w:sz="8" w:color="auto"/>
            </w:tcBorders>
            <w:shd w:val="clear" w:color="auto" w:fill="33CCCC"/>
          </w:tcPr>
          <w:p>
            <w:pPr>
              <w:jc w:val="right"/>
              <w:ind w:right="200"/>
              <w:spacing w:after="0"/>
              <w:rPr>
                <w:sz w:val="20"/>
                <w:szCs w:val="20"/>
                <w:color w:val="auto"/>
              </w:rPr>
            </w:pPr>
            <w:r>
              <w:rPr>
                <w:rFonts w:ascii="Arial" w:cs="Arial" w:eastAsia="Arial" w:hAnsi="Arial"/>
                <w:sz w:val="12"/>
                <w:szCs w:val="12"/>
                <w:b w:val="1"/>
                <w:bCs w:val="1"/>
                <w:color w:val="FFFFFF"/>
              </w:rPr>
              <w:t>Sep 25</w:t>
            </w:r>
          </w:p>
        </w:tc>
        <w:tc>
          <w:tcPr>
            <w:tcW w:w="10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Sep 25 / Sep 24</w:t>
            </w:r>
          </w:p>
        </w:tc>
      </w:tr>
      <w:tr>
        <w:trPr>
          <w:trHeight w:val="147"/>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Salaries and employees benefits</w:t>
            </w: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1,155,966</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1,304,466</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1,341,137</w:t>
            </w:r>
          </w:p>
        </w:tc>
        <w:tc>
          <w:tcPr>
            <w:tcW w:w="840" w:type="dxa"/>
            <w:vAlign w:val="bottom"/>
          </w:tcPr>
          <w:p>
            <w:pPr>
              <w:jc w:val="center"/>
              <w:spacing w:after="0"/>
              <w:rPr>
                <w:sz w:val="20"/>
                <w:szCs w:val="20"/>
                <w:color w:val="auto"/>
              </w:rPr>
            </w:pPr>
            <w:r>
              <w:rPr>
                <w:rFonts w:ascii="Arial" w:cs="Arial" w:eastAsia="Arial" w:hAnsi="Arial"/>
                <w:sz w:val="12"/>
                <w:szCs w:val="12"/>
                <w:color w:val="auto"/>
                <w:w w:val="94"/>
              </w:rPr>
              <w:t>2.8%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16.0%</w:t>
            </w:r>
          </w:p>
        </w:tc>
        <w:tc>
          <w:tcPr>
            <w:tcW w:w="1020" w:type="dxa"/>
            <w:vAlign w:val="bottom"/>
          </w:tcPr>
          <w:p>
            <w:pPr>
              <w:jc w:val="right"/>
              <w:ind w:right="140"/>
              <w:spacing w:after="0"/>
              <w:rPr>
                <w:sz w:val="20"/>
                <w:szCs w:val="20"/>
                <w:color w:val="auto"/>
              </w:rPr>
            </w:pPr>
            <w:r>
              <w:rPr>
                <w:rFonts w:ascii="Arial" w:cs="Arial" w:eastAsia="Arial" w:hAnsi="Arial"/>
                <w:sz w:val="12"/>
                <w:szCs w:val="12"/>
                <w:color w:val="auto"/>
              </w:rPr>
              <w:t>3,404,858</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4,007,293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17.7%</w:t>
            </w:r>
          </w:p>
        </w:tc>
      </w:tr>
      <w:tr>
        <w:trPr>
          <w:trHeight w:val="156"/>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Administrative and general expenses</w:t>
            </w: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971,449</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965,994</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1,068,459</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10.6%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10.0%</w:t>
            </w:r>
          </w:p>
        </w:tc>
        <w:tc>
          <w:tcPr>
            <w:tcW w:w="1020" w:type="dxa"/>
            <w:vAlign w:val="bottom"/>
          </w:tcPr>
          <w:p>
            <w:pPr>
              <w:jc w:val="right"/>
              <w:ind w:right="140"/>
              <w:spacing w:after="0"/>
              <w:rPr>
                <w:sz w:val="20"/>
                <w:szCs w:val="20"/>
                <w:color w:val="auto"/>
              </w:rPr>
            </w:pPr>
            <w:r>
              <w:rPr>
                <w:rFonts w:ascii="Arial" w:cs="Arial" w:eastAsia="Arial" w:hAnsi="Arial"/>
                <w:sz w:val="12"/>
                <w:szCs w:val="12"/>
                <w:color w:val="auto"/>
              </w:rPr>
              <w:t>2,740,755</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2,904,287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6.0%</w:t>
            </w:r>
          </w:p>
        </w:tc>
      </w:tr>
      <w:tr>
        <w:trPr>
          <w:trHeight w:val="156"/>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Depreciation and amortization</w:t>
            </w: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179,495</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212,662</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219,800</w:t>
            </w:r>
          </w:p>
        </w:tc>
        <w:tc>
          <w:tcPr>
            <w:tcW w:w="840" w:type="dxa"/>
            <w:vAlign w:val="bottom"/>
          </w:tcPr>
          <w:p>
            <w:pPr>
              <w:jc w:val="center"/>
              <w:spacing w:after="0"/>
              <w:rPr>
                <w:sz w:val="20"/>
                <w:szCs w:val="20"/>
                <w:color w:val="auto"/>
              </w:rPr>
            </w:pPr>
            <w:r>
              <w:rPr>
                <w:rFonts w:ascii="Arial" w:cs="Arial" w:eastAsia="Arial" w:hAnsi="Arial"/>
                <w:sz w:val="12"/>
                <w:szCs w:val="12"/>
                <w:color w:val="auto"/>
                <w:w w:val="94"/>
              </w:rPr>
              <w:t>3.4%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22.5%</w:t>
            </w:r>
          </w:p>
        </w:tc>
        <w:tc>
          <w:tcPr>
            <w:tcW w:w="1020" w:type="dxa"/>
            <w:vAlign w:val="bottom"/>
          </w:tcPr>
          <w:p>
            <w:pPr>
              <w:jc w:val="right"/>
              <w:ind w:right="140"/>
              <w:spacing w:after="0"/>
              <w:rPr>
                <w:sz w:val="20"/>
                <w:szCs w:val="20"/>
                <w:color w:val="auto"/>
              </w:rPr>
            </w:pPr>
            <w:r>
              <w:rPr>
                <w:rFonts w:ascii="Arial" w:cs="Arial" w:eastAsia="Arial" w:hAnsi="Arial"/>
                <w:sz w:val="12"/>
                <w:szCs w:val="12"/>
                <w:color w:val="auto"/>
              </w:rPr>
              <w:t>526,845</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636,228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20.8%</w:t>
            </w:r>
          </w:p>
        </w:tc>
      </w:tr>
      <w:tr>
        <w:trPr>
          <w:trHeight w:val="157"/>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Association in participation</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6,414</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371</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65</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-82.5%</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-99.0%</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24,461</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7,235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-70.4%</w:t>
            </w:r>
          </w:p>
        </w:tc>
      </w:tr>
      <w:tr>
        <w:trPr>
          <w:trHeight w:val="148"/>
        </w:trPr>
        <w:tc>
          <w:tcPr>
            <w:tcW w:w="352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1"/>
                <w:szCs w:val="11"/>
                <w:b w:val="1"/>
                <w:bCs w:val="1"/>
                <w:color w:val="auto"/>
              </w:rPr>
              <w:t xml:space="preserve">Operating expenses </w:t>
            </w:r>
            <w:r>
              <w:rPr>
                <w:rFonts w:ascii="Arial" w:cs="Arial" w:eastAsia="Arial" w:hAnsi="Arial"/>
                <w:sz w:val="17"/>
                <w:szCs w:val="17"/>
                <w:b w:val="1"/>
                <w:bCs w:val="1"/>
                <w:color w:val="auto"/>
                <w:vertAlign w:val="superscript"/>
              </w:rPr>
              <w:t>(1)</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2,313,324</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2,483,493</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2,629,461</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5.9%</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13.7%</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6,696,919</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7,555,043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12.8%</w:t>
            </w:r>
          </w:p>
        </w:tc>
      </w:tr>
    </w:tbl>
    <w:p>
      <w:pPr>
        <w:spacing w:after="0" w:line="157"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The analysis of expenses is based on YTD movements to eliminate the effects of seasonality between quarters. YTD, Operating Expenses rose 12.8%, driven mainly by:</w:t>
      </w:r>
    </w:p>
    <w:p>
      <w:pPr>
        <w:spacing w:after="0" w:line="126" w:lineRule="exact"/>
        <w:rPr>
          <w:sz w:val="20"/>
          <w:szCs w:val="20"/>
          <w:color w:val="auto"/>
        </w:rPr>
      </w:pPr>
    </w:p>
    <w:p>
      <w:pPr>
        <w:ind w:left="300" w:right="40" w:hanging="294"/>
        <w:spacing w:after="0" w:line="278" w:lineRule="auto"/>
        <w:tabs>
          <w:tab w:leader="none" w:pos="3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Growth in the Employee Salaries and Benefits line, which was driven mainly by (i) BCP Stand-alone, fueled primarily by an increase in provisions for variable compensation and secondarily by an increase in headcount for new projects, and (ii) Pacifico, on the back of growth in compensation.</w:t>
      </w:r>
    </w:p>
    <w:p>
      <w:pPr>
        <w:spacing w:after="0" w:line="1" w:lineRule="exact"/>
        <w:rPr>
          <w:rFonts w:ascii="Arial" w:cs="Arial" w:eastAsia="Arial" w:hAnsi="Arial"/>
          <w:sz w:val="14"/>
          <w:szCs w:val="14"/>
          <w:color w:val="auto"/>
        </w:rPr>
      </w:pPr>
    </w:p>
    <w:p>
      <w:pPr>
        <w:jc w:val="both"/>
        <w:ind w:left="300" w:right="40" w:hanging="294"/>
        <w:spacing w:after="0" w:line="238" w:lineRule="auto"/>
        <w:tabs>
          <w:tab w:leader="none" w:pos="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 increase in Administrative Expenses, which was fueled by BCP Stand-alone and Pacifico. At BCP Stand-alone, an increase was reported in transactions through digital channels, which triggered an upswing in expenses for cloud use and other IT-related services. At Pacifico, growth in this line was driven primarily by the full consolidation of Empresas Banmedica operations following Credicorp’s acquisition in March 2025 of this company’s 50% share in a joint venture with Pacífico Compañía de Seguros Reaseguros S.A.</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Administrative Expenses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6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Administrative and General Expenses</w:t>
            </w:r>
          </w:p>
        </w:tc>
        <w:tc>
          <w:tcPr>
            <w:tcW w:w="840" w:type="dxa"/>
            <w:vAlign w:val="bottom"/>
            <w:tcBorders>
              <w:top w:val="single" w:sz="8" w:color="auto"/>
            </w:tcBorders>
            <w:shd w:val="clear" w:color="auto" w:fill="33CCCC"/>
          </w:tcPr>
          <w:p>
            <w:pPr>
              <w:spacing w:after="0"/>
              <w:rPr>
                <w:sz w:val="14"/>
                <w:szCs w:val="14"/>
                <w:color w:val="auto"/>
              </w:rPr>
            </w:pPr>
          </w:p>
        </w:tc>
        <w:tc>
          <w:tcPr>
            <w:tcW w:w="840" w:type="dxa"/>
            <w:vAlign w:val="bottom"/>
            <w:tcBorders>
              <w:top w:val="single" w:sz="8" w:color="auto"/>
            </w:tcBorders>
            <w:shd w:val="clear" w:color="auto" w:fill="33CCCC"/>
          </w:tcPr>
          <w:p>
            <w:pPr>
              <w:ind w:left="220"/>
              <w:spacing w:after="0"/>
              <w:rPr>
                <w:sz w:val="20"/>
                <w:szCs w:val="20"/>
                <w:color w:val="auto"/>
              </w:rPr>
            </w:pPr>
            <w:r>
              <w:rPr>
                <w:rFonts w:ascii="Arial" w:cs="Arial" w:eastAsia="Arial" w:hAnsi="Arial"/>
                <w:sz w:val="12"/>
                <w:szCs w:val="12"/>
                <w:b w:val="1"/>
                <w:bCs w:val="1"/>
                <w:color w:val="FFFFFF"/>
              </w:rPr>
              <w:t>Quarter</w:t>
            </w:r>
          </w:p>
        </w:tc>
        <w:tc>
          <w:tcPr>
            <w:tcW w:w="920" w:type="dxa"/>
            <w:vAlign w:val="bottom"/>
            <w:tcBorders>
              <w:top w:val="single" w:sz="8" w:color="auto"/>
              <w:right w:val="single" w:sz="8" w:color="auto"/>
            </w:tcBorders>
            <w:shd w:val="clear" w:color="auto" w:fill="33CCCC"/>
          </w:tcPr>
          <w:p>
            <w:pPr>
              <w:spacing w:after="0"/>
              <w:rPr>
                <w:sz w:val="14"/>
                <w:szCs w:val="14"/>
                <w:color w:val="auto"/>
              </w:rPr>
            </w:pPr>
          </w:p>
        </w:tc>
        <w:tc>
          <w:tcPr>
            <w:tcW w:w="1720" w:type="dxa"/>
            <w:vAlign w:val="bottom"/>
            <w:tcBorders>
              <w:top w:val="single" w:sz="8" w:color="auto"/>
              <w:right w:val="single" w:sz="8" w:color="auto"/>
            </w:tcBorders>
            <w:gridSpan w:val="2"/>
            <w:shd w:val="clear" w:color="auto" w:fill="33CCCC"/>
          </w:tcPr>
          <w:p>
            <w:pPr>
              <w:ind w:left="560"/>
              <w:spacing w:after="0"/>
              <w:rPr>
                <w:sz w:val="20"/>
                <w:szCs w:val="20"/>
                <w:color w:val="auto"/>
              </w:rPr>
            </w:pPr>
            <w:r>
              <w:rPr>
                <w:rFonts w:ascii="Arial" w:cs="Arial" w:eastAsia="Arial" w:hAnsi="Arial"/>
                <w:sz w:val="12"/>
                <w:szCs w:val="12"/>
                <w:b w:val="1"/>
                <w:bCs w:val="1"/>
                <w:color w:val="FFFFFF"/>
              </w:rPr>
              <w:t>% change</w:t>
            </w:r>
          </w:p>
        </w:tc>
        <w:tc>
          <w:tcPr>
            <w:tcW w:w="680" w:type="dxa"/>
            <w:vAlign w:val="bottom"/>
            <w:tcBorders>
              <w:top w:val="single" w:sz="8" w:color="auto"/>
            </w:tcBorders>
            <w:shd w:val="clear" w:color="auto" w:fill="33CCCC"/>
          </w:tcPr>
          <w:p>
            <w:pPr>
              <w:spacing w:after="0"/>
              <w:rPr>
                <w:sz w:val="14"/>
                <w:szCs w:val="14"/>
                <w:color w:val="auto"/>
              </w:rPr>
            </w:pPr>
          </w:p>
        </w:tc>
        <w:tc>
          <w:tcPr>
            <w:tcW w:w="1040" w:type="dxa"/>
            <w:vAlign w:val="bottom"/>
            <w:tcBorders>
              <w:top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Up to</w:t>
            </w:r>
          </w:p>
        </w:tc>
        <w:tc>
          <w:tcPr>
            <w:tcW w:w="9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56"/>
        </w:trPr>
        <w:tc>
          <w:tcPr>
            <w:tcW w:w="362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S/000</w:t>
            </w:r>
          </w:p>
        </w:tc>
        <w:tc>
          <w:tcPr>
            <w:tcW w:w="8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3Q24</w:t>
            </w:r>
          </w:p>
        </w:tc>
        <w:tc>
          <w:tcPr>
            <w:tcW w:w="8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2Q25</w:t>
            </w:r>
          </w:p>
        </w:tc>
        <w:tc>
          <w:tcPr>
            <w:tcW w:w="9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3Q25</w:t>
            </w:r>
          </w:p>
        </w:tc>
        <w:tc>
          <w:tcPr>
            <w:tcW w:w="84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12"/>
                <w:szCs w:val="12"/>
                <w:b w:val="1"/>
                <w:bCs w:val="1"/>
                <w:color w:val="FFFFFF"/>
              </w:rPr>
              <w:t>QoQ</w:t>
            </w:r>
          </w:p>
        </w:tc>
        <w:tc>
          <w:tcPr>
            <w:tcW w:w="880" w:type="dxa"/>
            <w:vAlign w:val="bottom"/>
            <w:tcBorders>
              <w:bottom w:val="single" w:sz="8" w:color="auto"/>
              <w:right w:val="single" w:sz="8" w:color="auto"/>
            </w:tcBorders>
            <w:shd w:val="clear" w:color="auto" w:fill="33CCCC"/>
          </w:tcPr>
          <w:p>
            <w:pPr>
              <w:ind w:left="320"/>
              <w:spacing w:after="0"/>
              <w:rPr>
                <w:sz w:val="20"/>
                <w:szCs w:val="20"/>
                <w:color w:val="auto"/>
              </w:rPr>
            </w:pPr>
            <w:r>
              <w:rPr>
                <w:rFonts w:ascii="Arial" w:cs="Arial" w:eastAsia="Arial" w:hAnsi="Arial"/>
                <w:sz w:val="12"/>
                <w:szCs w:val="12"/>
                <w:b w:val="1"/>
                <w:bCs w:val="1"/>
                <w:color w:val="FFFFFF"/>
              </w:rPr>
              <w:t>YoY</w:t>
            </w:r>
          </w:p>
        </w:tc>
        <w:tc>
          <w:tcPr>
            <w:tcW w:w="680" w:type="dxa"/>
            <w:vAlign w:val="bottom"/>
            <w:tcBorders>
              <w:bottom w:val="single" w:sz="8" w:color="auto"/>
            </w:tcBorders>
            <w:shd w:val="clear" w:color="auto" w:fill="33CCCC"/>
          </w:tcPr>
          <w:p>
            <w:pPr>
              <w:ind w:left="200"/>
              <w:spacing w:after="0"/>
              <w:rPr>
                <w:sz w:val="20"/>
                <w:szCs w:val="20"/>
                <w:color w:val="auto"/>
              </w:rPr>
            </w:pPr>
            <w:r>
              <w:rPr>
                <w:rFonts w:ascii="Arial" w:cs="Arial" w:eastAsia="Arial" w:hAnsi="Arial"/>
                <w:sz w:val="12"/>
                <w:szCs w:val="12"/>
                <w:b w:val="1"/>
                <w:bCs w:val="1"/>
                <w:color w:val="FFFFFF"/>
              </w:rPr>
              <w:t>Sep 24</w:t>
            </w:r>
          </w:p>
        </w:tc>
        <w:tc>
          <w:tcPr>
            <w:tcW w:w="1040" w:type="dxa"/>
            <w:vAlign w:val="bottom"/>
            <w:tcBorders>
              <w:bottom w:val="single" w:sz="8" w:color="auto"/>
              <w:right w:val="single" w:sz="8" w:color="auto"/>
            </w:tcBorders>
            <w:shd w:val="clear" w:color="auto" w:fill="33CCCC"/>
          </w:tcPr>
          <w:p>
            <w:pPr>
              <w:ind w:left="380"/>
              <w:spacing w:after="0"/>
              <w:rPr>
                <w:sz w:val="20"/>
                <w:szCs w:val="20"/>
                <w:color w:val="auto"/>
              </w:rPr>
            </w:pPr>
            <w:r>
              <w:rPr>
                <w:rFonts w:ascii="Arial" w:cs="Arial" w:eastAsia="Arial" w:hAnsi="Arial"/>
                <w:sz w:val="12"/>
                <w:szCs w:val="12"/>
                <w:b w:val="1"/>
                <w:bCs w:val="1"/>
                <w:color w:val="FFFFFF"/>
              </w:rPr>
              <w:t>Sep 25</w:t>
            </w:r>
          </w:p>
        </w:tc>
        <w:tc>
          <w:tcPr>
            <w:tcW w:w="9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Sep 25 / Sep 24</w:t>
            </w:r>
          </w:p>
        </w:tc>
      </w:tr>
      <w:tr>
        <w:trPr>
          <w:trHeight w:val="147"/>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IT expenses and IT third-party services</w:t>
            </w:r>
          </w:p>
        </w:tc>
        <w:tc>
          <w:tcPr>
            <w:tcW w:w="840" w:type="dxa"/>
            <w:vAlign w:val="bottom"/>
          </w:tcPr>
          <w:p>
            <w:pPr>
              <w:jc w:val="center"/>
              <w:spacing w:after="0"/>
              <w:rPr>
                <w:sz w:val="20"/>
                <w:szCs w:val="20"/>
                <w:color w:val="auto"/>
              </w:rPr>
            </w:pPr>
            <w:r>
              <w:rPr>
                <w:rFonts w:ascii="Arial" w:cs="Arial" w:eastAsia="Arial" w:hAnsi="Arial"/>
                <w:sz w:val="12"/>
                <w:szCs w:val="12"/>
                <w:color w:val="auto"/>
                <w:w w:val="96"/>
              </w:rPr>
              <w:t>287,372</w:t>
            </w:r>
          </w:p>
        </w:tc>
        <w:tc>
          <w:tcPr>
            <w:tcW w:w="840" w:type="dxa"/>
            <w:vAlign w:val="bottom"/>
          </w:tcPr>
          <w:p>
            <w:pPr>
              <w:jc w:val="center"/>
              <w:spacing w:after="0"/>
              <w:rPr>
                <w:sz w:val="20"/>
                <w:szCs w:val="20"/>
                <w:color w:val="auto"/>
              </w:rPr>
            </w:pPr>
            <w:r>
              <w:rPr>
                <w:rFonts w:ascii="Arial" w:cs="Arial" w:eastAsia="Arial" w:hAnsi="Arial"/>
                <w:sz w:val="12"/>
                <w:szCs w:val="12"/>
                <w:color w:val="auto"/>
              </w:rPr>
              <w:t>324,083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336,894</w:t>
            </w:r>
          </w:p>
        </w:tc>
        <w:tc>
          <w:tcPr>
            <w:tcW w:w="840" w:type="dxa"/>
            <w:vAlign w:val="bottom"/>
          </w:tcPr>
          <w:p>
            <w:pPr>
              <w:jc w:val="center"/>
              <w:spacing w:after="0"/>
              <w:rPr>
                <w:sz w:val="20"/>
                <w:szCs w:val="20"/>
                <w:color w:val="auto"/>
              </w:rPr>
            </w:pPr>
            <w:r>
              <w:rPr>
                <w:rFonts w:ascii="Arial" w:cs="Arial" w:eastAsia="Arial" w:hAnsi="Arial"/>
                <w:sz w:val="12"/>
                <w:szCs w:val="12"/>
                <w:color w:val="auto"/>
                <w:w w:val="94"/>
              </w:rPr>
              <w:t>4.0%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17.2%</w:t>
            </w:r>
          </w:p>
        </w:tc>
        <w:tc>
          <w:tcPr>
            <w:tcW w:w="680" w:type="dxa"/>
            <w:vAlign w:val="bottom"/>
          </w:tcPr>
          <w:p>
            <w:pPr>
              <w:jc w:val="center"/>
              <w:ind w:left="100"/>
              <w:spacing w:after="0"/>
              <w:rPr>
                <w:sz w:val="20"/>
                <w:szCs w:val="20"/>
                <w:color w:val="auto"/>
              </w:rPr>
            </w:pPr>
            <w:r>
              <w:rPr>
                <w:rFonts w:ascii="Arial" w:cs="Arial" w:eastAsia="Arial" w:hAnsi="Arial"/>
                <w:sz w:val="12"/>
                <w:szCs w:val="12"/>
                <w:color w:val="auto"/>
              </w:rPr>
              <w:t>865,274</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rPr>
              <w:t>963,006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11.3%</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Advertising</w:t>
            </w:r>
          </w:p>
        </w:tc>
        <w:tc>
          <w:tcPr>
            <w:tcW w:w="840" w:type="dxa"/>
            <w:vAlign w:val="bottom"/>
          </w:tcPr>
          <w:p>
            <w:pPr>
              <w:jc w:val="center"/>
              <w:spacing w:after="0"/>
              <w:rPr>
                <w:sz w:val="20"/>
                <w:szCs w:val="20"/>
                <w:color w:val="auto"/>
              </w:rPr>
            </w:pPr>
            <w:r>
              <w:rPr>
                <w:rFonts w:ascii="Arial" w:cs="Arial" w:eastAsia="Arial" w:hAnsi="Arial"/>
                <w:sz w:val="12"/>
                <w:szCs w:val="12"/>
                <w:color w:val="auto"/>
                <w:w w:val="96"/>
              </w:rPr>
              <w:t>123,174</w:t>
            </w:r>
          </w:p>
        </w:tc>
        <w:tc>
          <w:tcPr>
            <w:tcW w:w="840" w:type="dxa"/>
            <w:vAlign w:val="bottom"/>
          </w:tcPr>
          <w:p>
            <w:pPr>
              <w:jc w:val="center"/>
              <w:spacing w:after="0"/>
              <w:rPr>
                <w:sz w:val="20"/>
                <w:szCs w:val="20"/>
                <w:color w:val="auto"/>
              </w:rPr>
            </w:pPr>
            <w:r>
              <w:rPr>
                <w:rFonts w:ascii="Arial" w:cs="Arial" w:eastAsia="Arial" w:hAnsi="Arial"/>
                <w:sz w:val="12"/>
                <w:szCs w:val="12"/>
                <w:color w:val="auto"/>
              </w:rPr>
              <w:t>112,027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133,510</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19.2%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8.4%</w:t>
            </w:r>
          </w:p>
        </w:tc>
        <w:tc>
          <w:tcPr>
            <w:tcW w:w="680" w:type="dxa"/>
            <w:vAlign w:val="bottom"/>
          </w:tcPr>
          <w:p>
            <w:pPr>
              <w:jc w:val="center"/>
              <w:ind w:left="100"/>
              <w:spacing w:after="0"/>
              <w:rPr>
                <w:sz w:val="20"/>
                <w:szCs w:val="20"/>
                <w:color w:val="auto"/>
              </w:rPr>
            </w:pPr>
            <w:r>
              <w:rPr>
                <w:rFonts w:ascii="Arial" w:cs="Arial" w:eastAsia="Arial" w:hAnsi="Arial"/>
                <w:sz w:val="12"/>
                <w:szCs w:val="12"/>
                <w:color w:val="auto"/>
              </w:rPr>
              <w:t>314,914</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rPr>
              <w:t>330,927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5.1%</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Taxes and contributions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90,080</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86,321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90,710</w:t>
            </w:r>
          </w:p>
        </w:tc>
        <w:tc>
          <w:tcPr>
            <w:tcW w:w="840" w:type="dxa"/>
            <w:vAlign w:val="bottom"/>
          </w:tcPr>
          <w:p>
            <w:pPr>
              <w:jc w:val="center"/>
              <w:spacing w:after="0"/>
              <w:rPr>
                <w:sz w:val="20"/>
                <w:szCs w:val="20"/>
                <w:color w:val="auto"/>
              </w:rPr>
            </w:pPr>
            <w:r>
              <w:rPr>
                <w:rFonts w:ascii="Arial" w:cs="Arial" w:eastAsia="Arial" w:hAnsi="Arial"/>
                <w:sz w:val="12"/>
                <w:szCs w:val="12"/>
                <w:color w:val="auto"/>
                <w:w w:val="94"/>
              </w:rPr>
              <w:t>5.1%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0.7%</w:t>
            </w:r>
          </w:p>
        </w:tc>
        <w:tc>
          <w:tcPr>
            <w:tcW w:w="680" w:type="dxa"/>
            <w:vAlign w:val="bottom"/>
          </w:tcPr>
          <w:p>
            <w:pPr>
              <w:jc w:val="center"/>
              <w:ind w:left="100"/>
              <w:spacing w:after="0"/>
              <w:rPr>
                <w:sz w:val="20"/>
                <w:szCs w:val="20"/>
                <w:color w:val="auto"/>
              </w:rPr>
            </w:pPr>
            <w:r>
              <w:rPr>
                <w:rFonts w:ascii="Arial" w:cs="Arial" w:eastAsia="Arial" w:hAnsi="Arial"/>
                <w:sz w:val="12"/>
                <w:szCs w:val="12"/>
                <w:color w:val="auto"/>
              </w:rPr>
              <w:t>277,415</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rPr>
              <w:t>260,378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-6.1%</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Audit Services, Consulting and professional fees</w:t>
            </w:r>
          </w:p>
        </w:tc>
        <w:tc>
          <w:tcPr>
            <w:tcW w:w="840" w:type="dxa"/>
            <w:vAlign w:val="bottom"/>
          </w:tcPr>
          <w:p>
            <w:pPr>
              <w:jc w:val="center"/>
              <w:spacing w:after="0"/>
              <w:rPr>
                <w:sz w:val="20"/>
                <w:szCs w:val="20"/>
                <w:color w:val="auto"/>
              </w:rPr>
            </w:pPr>
            <w:r>
              <w:rPr>
                <w:rFonts w:ascii="Arial" w:cs="Arial" w:eastAsia="Arial" w:hAnsi="Arial"/>
                <w:sz w:val="12"/>
                <w:szCs w:val="12"/>
                <w:color w:val="auto"/>
                <w:w w:val="96"/>
              </w:rPr>
              <w:t>101,570</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92,086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120,177</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30.5%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18.3%</w:t>
            </w:r>
          </w:p>
        </w:tc>
        <w:tc>
          <w:tcPr>
            <w:tcW w:w="680" w:type="dxa"/>
            <w:vAlign w:val="bottom"/>
          </w:tcPr>
          <w:p>
            <w:pPr>
              <w:jc w:val="center"/>
              <w:ind w:left="100"/>
              <w:spacing w:after="0"/>
              <w:rPr>
                <w:sz w:val="20"/>
                <w:szCs w:val="20"/>
                <w:color w:val="auto"/>
              </w:rPr>
            </w:pPr>
            <w:r>
              <w:rPr>
                <w:rFonts w:ascii="Arial" w:cs="Arial" w:eastAsia="Arial" w:hAnsi="Arial"/>
                <w:sz w:val="12"/>
                <w:szCs w:val="12"/>
                <w:color w:val="auto"/>
              </w:rPr>
              <w:t>236,407</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rPr>
              <w:t>283,335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19.9%</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Transport and communications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62,568</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58,391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64,565</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10.6%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3.2%</w:t>
            </w:r>
          </w:p>
        </w:tc>
        <w:tc>
          <w:tcPr>
            <w:tcW w:w="680" w:type="dxa"/>
            <w:vAlign w:val="bottom"/>
          </w:tcPr>
          <w:p>
            <w:pPr>
              <w:jc w:val="center"/>
              <w:ind w:left="100"/>
              <w:spacing w:after="0"/>
              <w:rPr>
                <w:sz w:val="20"/>
                <w:szCs w:val="20"/>
                <w:color w:val="auto"/>
              </w:rPr>
            </w:pPr>
            <w:r>
              <w:rPr>
                <w:rFonts w:ascii="Arial" w:cs="Arial" w:eastAsia="Arial" w:hAnsi="Arial"/>
                <w:sz w:val="12"/>
                <w:szCs w:val="12"/>
                <w:color w:val="auto"/>
              </w:rPr>
              <w:t>176,857</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rPr>
              <w:t>175,766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-0.6%</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Repair and maintenance</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36,316</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37,886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43,719</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15.4%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20.4%</w:t>
            </w:r>
          </w:p>
        </w:tc>
        <w:tc>
          <w:tcPr>
            <w:tcW w:w="680" w:type="dxa"/>
            <w:vAlign w:val="bottom"/>
          </w:tcPr>
          <w:p>
            <w:pPr>
              <w:jc w:val="center"/>
              <w:ind w:left="100"/>
              <w:spacing w:after="0"/>
              <w:rPr>
                <w:sz w:val="20"/>
                <w:szCs w:val="20"/>
                <w:color w:val="auto"/>
              </w:rPr>
            </w:pPr>
            <w:r>
              <w:rPr>
                <w:rFonts w:ascii="Arial" w:cs="Arial" w:eastAsia="Arial" w:hAnsi="Arial"/>
                <w:sz w:val="12"/>
                <w:szCs w:val="12"/>
                <w:color w:val="auto"/>
              </w:rPr>
              <w:t>103,552</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rPr>
              <w:t>113,240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9.4%</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Agents' Fees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29,957</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28,067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27,807</w:t>
            </w:r>
          </w:p>
        </w:tc>
        <w:tc>
          <w:tcPr>
            <w:tcW w:w="840" w:type="dxa"/>
            <w:vAlign w:val="bottom"/>
          </w:tcPr>
          <w:p>
            <w:pPr>
              <w:jc w:val="center"/>
              <w:spacing w:after="0"/>
              <w:rPr>
                <w:sz w:val="20"/>
                <w:szCs w:val="20"/>
                <w:color w:val="auto"/>
              </w:rPr>
            </w:pPr>
            <w:r>
              <w:rPr>
                <w:rFonts w:ascii="Arial" w:cs="Arial" w:eastAsia="Arial" w:hAnsi="Arial"/>
                <w:sz w:val="12"/>
                <w:szCs w:val="12"/>
                <w:color w:val="auto"/>
                <w:w w:val="95"/>
              </w:rPr>
              <w:t>-0.9%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-7.2%</w:t>
            </w:r>
          </w:p>
        </w:tc>
        <w:tc>
          <w:tcPr>
            <w:tcW w:w="680" w:type="dxa"/>
            <w:vAlign w:val="bottom"/>
          </w:tcPr>
          <w:p>
            <w:pPr>
              <w:jc w:val="center"/>
              <w:ind w:left="80"/>
              <w:spacing w:after="0"/>
              <w:rPr>
                <w:sz w:val="20"/>
                <w:szCs w:val="20"/>
                <w:color w:val="auto"/>
              </w:rPr>
            </w:pPr>
            <w:r>
              <w:rPr>
                <w:rFonts w:ascii="Arial" w:cs="Arial" w:eastAsia="Arial" w:hAnsi="Arial"/>
                <w:sz w:val="12"/>
                <w:szCs w:val="12"/>
                <w:color w:val="auto"/>
              </w:rPr>
              <w:t>86,720</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97"/>
              </w:rPr>
              <w:t>81,976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-5.5%</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Services by third-party</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36,689</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26,634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27,766</w:t>
            </w:r>
          </w:p>
        </w:tc>
        <w:tc>
          <w:tcPr>
            <w:tcW w:w="840" w:type="dxa"/>
            <w:vAlign w:val="bottom"/>
          </w:tcPr>
          <w:p>
            <w:pPr>
              <w:jc w:val="center"/>
              <w:spacing w:after="0"/>
              <w:rPr>
                <w:sz w:val="20"/>
                <w:szCs w:val="20"/>
                <w:color w:val="auto"/>
              </w:rPr>
            </w:pPr>
            <w:r>
              <w:rPr>
                <w:rFonts w:ascii="Arial" w:cs="Arial" w:eastAsia="Arial" w:hAnsi="Arial"/>
                <w:sz w:val="12"/>
                <w:szCs w:val="12"/>
                <w:color w:val="auto"/>
                <w:w w:val="94"/>
              </w:rPr>
              <w:t>4.3%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-24.3%</w:t>
            </w:r>
          </w:p>
        </w:tc>
        <w:tc>
          <w:tcPr>
            <w:tcW w:w="680" w:type="dxa"/>
            <w:vAlign w:val="bottom"/>
          </w:tcPr>
          <w:p>
            <w:pPr>
              <w:jc w:val="center"/>
              <w:ind w:left="100"/>
              <w:spacing w:after="0"/>
              <w:rPr>
                <w:sz w:val="20"/>
                <w:szCs w:val="20"/>
                <w:color w:val="auto"/>
              </w:rPr>
            </w:pPr>
            <w:r>
              <w:rPr>
                <w:rFonts w:ascii="Arial" w:cs="Arial" w:eastAsia="Arial" w:hAnsi="Arial"/>
                <w:sz w:val="12"/>
                <w:szCs w:val="12"/>
                <w:color w:val="auto"/>
              </w:rPr>
              <w:t>101,054</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97"/>
              </w:rPr>
              <w:t>75,836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-25.0%</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Leases of low value and short-term</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26,378</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34,937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34,858</w:t>
            </w:r>
          </w:p>
        </w:tc>
        <w:tc>
          <w:tcPr>
            <w:tcW w:w="840" w:type="dxa"/>
            <w:vAlign w:val="bottom"/>
          </w:tcPr>
          <w:p>
            <w:pPr>
              <w:jc w:val="center"/>
              <w:spacing w:after="0"/>
              <w:rPr>
                <w:sz w:val="20"/>
                <w:szCs w:val="20"/>
                <w:color w:val="auto"/>
              </w:rPr>
            </w:pPr>
            <w:r>
              <w:rPr>
                <w:rFonts w:ascii="Arial" w:cs="Arial" w:eastAsia="Arial" w:hAnsi="Arial"/>
                <w:sz w:val="12"/>
                <w:szCs w:val="12"/>
                <w:color w:val="auto"/>
                <w:w w:val="95"/>
              </w:rPr>
              <w:t>-0.2%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32.1%</w:t>
            </w:r>
          </w:p>
        </w:tc>
        <w:tc>
          <w:tcPr>
            <w:tcW w:w="680" w:type="dxa"/>
            <w:vAlign w:val="bottom"/>
          </w:tcPr>
          <w:p>
            <w:pPr>
              <w:jc w:val="center"/>
              <w:ind w:left="80"/>
              <w:spacing w:after="0"/>
              <w:rPr>
                <w:sz w:val="20"/>
                <w:szCs w:val="20"/>
                <w:color w:val="auto"/>
              </w:rPr>
            </w:pPr>
            <w:r>
              <w:rPr>
                <w:rFonts w:ascii="Arial" w:cs="Arial" w:eastAsia="Arial" w:hAnsi="Arial"/>
                <w:sz w:val="12"/>
                <w:szCs w:val="12"/>
                <w:color w:val="auto"/>
              </w:rPr>
              <w:t>87,845</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rPr>
              <w:t>102,972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17.2%</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Miscellaneous supplies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23,552</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18,192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16,993</w:t>
            </w:r>
          </w:p>
        </w:tc>
        <w:tc>
          <w:tcPr>
            <w:tcW w:w="840" w:type="dxa"/>
            <w:vAlign w:val="bottom"/>
          </w:tcPr>
          <w:p>
            <w:pPr>
              <w:jc w:val="center"/>
              <w:spacing w:after="0"/>
              <w:rPr>
                <w:sz w:val="20"/>
                <w:szCs w:val="20"/>
                <w:color w:val="auto"/>
              </w:rPr>
            </w:pPr>
            <w:r>
              <w:rPr>
                <w:rFonts w:ascii="Arial" w:cs="Arial" w:eastAsia="Arial" w:hAnsi="Arial"/>
                <w:sz w:val="12"/>
                <w:szCs w:val="12"/>
                <w:color w:val="auto"/>
                <w:w w:val="95"/>
              </w:rPr>
              <w:t>-6.6%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-27.8%</w:t>
            </w:r>
          </w:p>
        </w:tc>
        <w:tc>
          <w:tcPr>
            <w:tcW w:w="680" w:type="dxa"/>
            <w:vAlign w:val="bottom"/>
          </w:tcPr>
          <w:p>
            <w:pPr>
              <w:jc w:val="center"/>
              <w:ind w:left="80"/>
              <w:spacing w:after="0"/>
              <w:rPr>
                <w:sz w:val="20"/>
                <w:szCs w:val="20"/>
                <w:color w:val="auto"/>
              </w:rPr>
            </w:pPr>
            <w:r>
              <w:rPr>
                <w:rFonts w:ascii="Arial" w:cs="Arial" w:eastAsia="Arial" w:hAnsi="Arial"/>
                <w:sz w:val="12"/>
                <w:szCs w:val="12"/>
                <w:color w:val="auto"/>
              </w:rPr>
              <w:t>66,905</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97"/>
              </w:rPr>
              <w:t>54,568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-18.4%</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Security and protection</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16,909</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16,940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16,888</w:t>
            </w:r>
          </w:p>
        </w:tc>
        <w:tc>
          <w:tcPr>
            <w:tcW w:w="840" w:type="dxa"/>
            <w:vAlign w:val="bottom"/>
          </w:tcPr>
          <w:p>
            <w:pPr>
              <w:jc w:val="center"/>
              <w:spacing w:after="0"/>
              <w:rPr>
                <w:sz w:val="20"/>
                <w:szCs w:val="20"/>
                <w:color w:val="auto"/>
              </w:rPr>
            </w:pPr>
            <w:r>
              <w:rPr>
                <w:rFonts w:ascii="Arial" w:cs="Arial" w:eastAsia="Arial" w:hAnsi="Arial"/>
                <w:sz w:val="12"/>
                <w:szCs w:val="12"/>
                <w:color w:val="auto"/>
                <w:w w:val="95"/>
              </w:rPr>
              <w:t>-0.3%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-0.1%</w:t>
            </w:r>
          </w:p>
        </w:tc>
        <w:tc>
          <w:tcPr>
            <w:tcW w:w="680" w:type="dxa"/>
            <w:vAlign w:val="bottom"/>
          </w:tcPr>
          <w:p>
            <w:pPr>
              <w:jc w:val="center"/>
              <w:ind w:left="80"/>
              <w:spacing w:after="0"/>
              <w:rPr>
                <w:sz w:val="20"/>
                <w:szCs w:val="20"/>
                <w:color w:val="auto"/>
              </w:rPr>
            </w:pPr>
            <w:r>
              <w:rPr>
                <w:rFonts w:ascii="Arial" w:cs="Arial" w:eastAsia="Arial" w:hAnsi="Arial"/>
                <w:sz w:val="12"/>
                <w:szCs w:val="12"/>
                <w:color w:val="auto"/>
              </w:rPr>
              <w:t>49,356</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97"/>
              </w:rPr>
              <w:t>50,774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2.9%</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Subscriptions and quotes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18,349</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19,773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20,774</w:t>
            </w:r>
          </w:p>
        </w:tc>
        <w:tc>
          <w:tcPr>
            <w:tcW w:w="840" w:type="dxa"/>
            <w:vAlign w:val="bottom"/>
          </w:tcPr>
          <w:p>
            <w:pPr>
              <w:jc w:val="center"/>
              <w:spacing w:after="0"/>
              <w:rPr>
                <w:sz w:val="20"/>
                <w:szCs w:val="20"/>
                <w:color w:val="auto"/>
              </w:rPr>
            </w:pPr>
            <w:r>
              <w:rPr>
                <w:rFonts w:ascii="Arial" w:cs="Arial" w:eastAsia="Arial" w:hAnsi="Arial"/>
                <w:sz w:val="12"/>
                <w:szCs w:val="12"/>
                <w:color w:val="auto"/>
                <w:w w:val="94"/>
              </w:rPr>
              <w:t>5.1%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13.2%</w:t>
            </w:r>
          </w:p>
        </w:tc>
        <w:tc>
          <w:tcPr>
            <w:tcW w:w="680" w:type="dxa"/>
            <w:vAlign w:val="bottom"/>
          </w:tcPr>
          <w:p>
            <w:pPr>
              <w:jc w:val="center"/>
              <w:ind w:left="80"/>
              <w:spacing w:after="0"/>
              <w:rPr>
                <w:sz w:val="20"/>
                <w:szCs w:val="20"/>
                <w:color w:val="auto"/>
              </w:rPr>
            </w:pPr>
            <w:r>
              <w:rPr>
                <w:rFonts w:ascii="Arial" w:cs="Arial" w:eastAsia="Arial" w:hAnsi="Arial"/>
                <w:sz w:val="12"/>
                <w:szCs w:val="12"/>
                <w:color w:val="auto"/>
              </w:rPr>
              <w:t>59,741</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97"/>
              </w:rPr>
              <w:t>58,877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-1.4%</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Electricity and water</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11,857</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12,513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11,390</w:t>
            </w:r>
          </w:p>
        </w:tc>
        <w:tc>
          <w:tcPr>
            <w:tcW w:w="840" w:type="dxa"/>
            <w:vAlign w:val="bottom"/>
          </w:tcPr>
          <w:p>
            <w:pPr>
              <w:jc w:val="center"/>
              <w:spacing w:after="0"/>
              <w:rPr>
                <w:sz w:val="20"/>
                <w:szCs w:val="20"/>
                <w:color w:val="auto"/>
              </w:rPr>
            </w:pPr>
            <w:r>
              <w:rPr>
                <w:rFonts w:ascii="Arial" w:cs="Arial" w:eastAsia="Arial" w:hAnsi="Arial"/>
                <w:sz w:val="12"/>
                <w:szCs w:val="12"/>
                <w:color w:val="auto"/>
                <w:w w:val="95"/>
              </w:rPr>
              <w:t>-9.0%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-3.9%</w:t>
            </w:r>
          </w:p>
        </w:tc>
        <w:tc>
          <w:tcPr>
            <w:tcW w:w="680" w:type="dxa"/>
            <w:vAlign w:val="bottom"/>
          </w:tcPr>
          <w:p>
            <w:pPr>
              <w:jc w:val="center"/>
              <w:ind w:left="80"/>
              <w:spacing w:after="0"/>
              <w:rPr>
                <w:sz w:val="20"/>
                <w:szCs w:val="20"/>
                <w:color w:val="auto"/>
              </w:rPr>
            </w:pPr>
            <w:r>
              <w:rPr>
                <w:rFonts w:ascii="Arial" w:cs="Arial" w:eastAsia="Arial" w:hAnsi="Arial"/>
                <w:sz w:val="12"/>
                <w:szCs w:val="12"/>
                <w:color w:val="auto"/>
              </w:rPr>
              <w:t>37,207</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97"/>
              </w:rPr>
              <w:t>34,178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-8.1%</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Electronic processing</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7,578</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7,762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8,935</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15.1%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17.9%</w:t>
            </w:r>
          </w:p>
        </w:tc>
        <w:tc>
          <w:tcPr>
            <w:tcW w:w="680" w:type="dxa"/>
            <w:vAlign w:val="bottom"/>
          </w:tcPr>
          <w:p>
            <w:pPr>
              <w:jc w:val="center"/>
              <w:ind w:left="80"/>
              <w:spacing w:after="0"/>
              <w:rPr>
                <w:sz w:val="20"/>
                <w:szCs w:val="20"/>
                <w:color w:val="auto"/>
              </w:rPr>
            </w:pPr>
            <w:r>
              <w:rPr>
                <w:rFonts w:ascii="Arial" w:cs="Arial" w:eastAsia="Arial" w:hAnsi="Arial"/>
                <w:sz w:val="12"/>
                <w:szCs w:val="12"/>
                <w:color w:val="auto"/>
              </w:rPr>
              <w:t>21,342</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97"/>
              </w:rPr>
              <w:t>24,332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14.0%</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Insurance</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28,296</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16,441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34,401</w:t>
            </w:r>
          </w:p>
        </w:tc>
        <w:tc>
          <w:tcPr>
            <w:tcW w:w="840" w:type="dxa"/>
            <w:vAlign w:val="bottom"/>
          </w:tcPr>
          <w:p>
            <w:pPr>
              <w:jc w:val="center"/>
              <w:spacing w:after="0"/>
              <w:rPr>
                <w:sz w:val="20"/>
                <w:szCs w:val="20"/>
                <w:color w:val="auto"/>
              </w:rPr>
            </w:pPr>
            <w:r>
              <w:rPr>
                <w:rFonts w:ascii="Arial" w:cs="Arial" w:eastAsia="Arial" w:hAnsi="Arial"/>
                <w:sz w:val="12"/>
                <w:szCs w:val="12"/>
                <w:color w:val="auto"/>
              </w:rPr>
              <w:t>109.2%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21.6%</w:t>
            </w:r>
          </w:p>
        </w:tc>
        <w:tc>
          <w:tcPr>
            <w:tcW w:w="680" w:type="dxa"/>
            <w:vAlign w:val="bottom"/>
          </w:tcPr>
          <w:p>
            <w:pPr>
              <w:jc w:val="center"/>
              <w:ind w:left="80"/>
              <w:spacing w:after="0"/>
              <w:rPr>
                <w:sz w:val="20"/>
                <w:szCs w:val="20"/>
                <w:color w:val="auto"/>
              </w:rPr>
            </w:pPr>
            <w:r>
              <w:rPr>
                <w:rFonts w:ascii="Arial" w:cs="Arial" w:eastAsia="Arial" w:hAnsi="Arial"/>
                <w:sz w:val="12"/>
                <w:szCs w:val="12"/>
                <w:color w:val="auto"/>
              </w:rPr>
              <w:t>40,838</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97"/>
              </w:rPr>
              <w:t>62,561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53.2%</w:t>
            </w:r>
          </w:p>
        </w:tc>
      </w:tr>
      <w:tr>
        <w:trPr>
          <w:trHeight w:val="156"/>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Cleaning</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5,761</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7,014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6,474</w:t>
            </w:r>
          </w:p>
        </w:tc>
        <w:tc>
          <w:tcPr>
            <w:tcW w:w="840" w:type="dxa"/>
            <w:vAlign w:val="bottom"/>
          </w:tcPr>
          <w:p>
            <w:pPr>
              <w:jc w:val="center"/>
              <w:spacing w:after="0"/>
              <w:rPr>
                <w:sz w:val="20"/>
                <w:szCs w:val="20"/>
                <w:color w:val="auto"/>
              </w:rPr>
            </w:pPr>
            <w:r>
              <w:rPr>
                <w:rFonts w:ascii="Arial" w:cs="Arial" w:eastAsia="Arial" w:hAnsi="Arial"/>
                <w:sz w:val="12"/>
                <w:szCs w:val="12"/>
                <w:color w:val="auto"/>
                <w:w w:val="95"/>
              </w:rPr>
              <w:t>-7.7%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12.4%</w:t>
            </w:r>
          </w:p>
        </w:tc>
        <w:tc>
          <w:tcPr>
            <w:tcW w:w="680" w:type="dxa"/>
            <w:vAlign w:val="bottom"/>
          </w:tcPr>
          <w:p>
            <w:pPr>
              <w:jc w:val="center"/>
              <w:ind w:left="80"/>
              <w:spacing w:after="0"/>
              <w:rPr>
                <w:sz w:val="20"/>
                <w:szCs w:val="20"/>
                <w:color w:val="auto"/>
              </w:rPr>
            </w:pPr>
            <w:r>
              <w:rPr>
                <w:rFonts w:ascii="Arial" w:cs="Arial" w:eastAsia="Arial" w:hAnsi="Arial"/>
                <w:sz w:val="12"/>
                <w:szCs w:val="12"/>
                <w:color w:val="auto"/>
              </w:rPr>
              <w:t>17,134</w:t>
            </w:r>
          </w:p>
        </w:tc>
        <w:tc>
          <w:tcPr>
            <w:tcW w:w="1040" w:type="dxa"/>
            <w:vAlign w:val="bottom"/>
            <w:tcBorders>
              <w:right w:val="single" w:sz="8" w:color="auto"/>
            </w:tcBorders>
          </w:tcPr>
          <w:p>
            <w:pPr>
              <w:jc w:val="center"/>
              <w:ind w:left="60"/>
              <w:spacing w:after="0"/>
              <w:rPr>
                <w:sz w:val="20"/>
                <w:szCs w:val="20"/>
                <w:color w:val="auto"/>
              </w:rPr>
            </w:pPr>
            <w:r>
              <w:rPr>
                <w:rFonts w:ascii="Arial" w:cs="Arial" w:eastAsia="Arial" w:hAnsi="Arial"/>
                <w:sz w:val="12"/>
                <w:szCs w:val="12"/>
                <w:color w:val="auto"/>
                <w:w w:val="97"/>
              </w:rPr>
              <w:t>20,046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17.0%</w:t>
            </w:r>
          </w:p>
        </w:tc>
      </w:tr>
      <w:tr>
        <w:trPr>
          <w:trHeight w:val="157"/>
        </w:trPr>
        <w:tc>
          <w:tcPr>
            <w:tcW w:w="3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Others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65,043</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66,927</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72,598</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8.5%</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11.6%</w:t>
            </w:r>
          </w:p>
        </w:tc>
        <w:tc>
          <w:tcPr>
            <w:tcW w:w="680" w:type="dxa"/>
            <w:vAlign w:val="bottom"/>
            <w:tcBorders>
              <w:bottom w:val="single" w:sz="8" w:color="auto"/>
            </w:tcBorders>
          </w:tcPr>
          <w:p>
            <w:pPr>
              <w:jc w:val="center"/>
              <w:ind w:left="100"/>
              <w:spacing w:after="0"/>
              <w:rPr>
                <w:sz w:val="20"/>
                <w:szCs w:val="20"/>
                <w:color w:val="auto"/>
              </w:rPr>
            </w:pPr>
            <w:r>
              <w:rPr>
                <w:rFonts w:ascii="Arial" w:cs="Arial" w:eastAsia="Arial" w:hAnsi="Arial"/>
                <w:sz w:val="12"/>
                <w:szCs w:val="12"/>
                <w:color w:val="auto"/>
              </w:rPr>
              <w:t>198,194</w:t>
            </w:r>
          </w:p>
        </w:tc>
        <w:tc>
          <w:tcPr>
            <w:tcW w:w="1040" w:type="dxa"/>
            <w:vAlign w:val="bottom"/>
            <w:tcBorders>
              <w:bottom w:val="single" w:sz="8" w:color="auto"/>
              <w:right w:val="single" w:sz="8" w:color="auto"/>
            </w:tcBorders>
          </w:tcPr>
          <w:p>
            <w:pPr>
              <w:jc w:val="center"/>
              <w:ind w:left="60"/>
              <w:spacing w:after="0"/>
              <w:rPr>
                <w:sz w:val="20"/>
                <w:szCs w:val="20"/>
                <w:color w:val="auto"/>
              </w:rPr>
            </w:pPr>
            <w:r>
              <w:rPr>
                <w:rFonts w:ascii="Arial" w:cs="Arial" w:eastAsia="Arial" w:hAnsi="Arial"/>
                <w:sz w:val="12"/>
                <w:szCs w:val="12"/>
                <w:color w:val="auto"/>
              </w:rPr>
              <w:t>211,515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6.7%</w:t>
            </w:r>
          </w:p>
        </w:tc>
      </w:tr>
      <w:tr>
        <w:trPr>
          <w:trHeight w:val="148"/>
        </w:trPr>
        <w:tc>
          <w:tcPr>
            <w:tcW w:w="3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971,449</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965,994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1,068,459</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10.6%</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10.0%</w:t>
            </w:r>
          </w:p>
        </w:tc>
        <w:tc>
          <w:tcPr>
            <w:tcW w:w="680" w:type="dxa"/>
            <w:vAlign w:val="bottom"/>
            <w:tcBorders>
              <w:bottom w:val="single" w:sz="8" w:color="auto"/>
            </w:tcBorders>
          </w:tcPr>
          <w:p>
            <w:pPr>
              <w:jc w:val="center"/>
              <w:ind w:left="100"/>
              <w:spacing w:after="0"/>
              <w:rPr>
                <w:sz w:val="20"/>
                <w:szCs w:val="20"/>
                <w:color w:val="auto"/>
              </w:rPr>
            </w:pPr>
            <w:r>
              <w:rPr>
                <w:rFonts w:ascii="Arial" w:cs="Arial" w:eastAsia="Arial" w:hAnsi="Arial"/>
                <w:sz w:val="12"/>
                <w:szCs w:val="12"/>
                <w:b w:val="1"/>
                <w:bCs w:val="1"/>
                <w:color w:val="auto"/>
                <w:w w:val="97"/>
              </w:rPr>
              <w:t>2,740,755</w:t>
            </w:r>
          </w:p>
        </w:tc>
        <w:tc>
          <w:tcPr>
            <w:tcW w:w="1040" w:type="dxa"/>
            <w:vAlign w:val="bottom"/>
            <w:tcBorders>
              <w:bottom w:val="single" w:sz="8" w:color="auto"/>
              <w:right w:val="single" w:sz="8" w:color="auto"/>
            </w:tcBorders>
          </w:tcPr>
          <w:p>
            <w:pPr>
              <w:jc w:val="center"/>
              <w:ind w:left="60"/>
              <w:spacing w:after="0"/>
              <w:rPr>
                <w:sz w:val="20"/>
                <w:szCs w:val="20"/>
                <w:color w:val="auto"/>
              </w:rPr>
            </w:pPr>
            <w:r>
              <w:rPr>
                <w:rFonts w:ascii="Arial" w:cs="Arial" w:eastAsia="Arial" w:hAnsi="Arial"/>
                <w:sz w:val="12"/>
                <w:szCs w:val="12"/>
                <w:b w:val="1"/>
                <w:bCs w:val="1"/>
                <w:color w:val="auto"/>
                <w:w w:val="97"/>
              </w:rPr>
              <w:t>2,904,287</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6.0%</w:t>
            </w:r>
          </w:p>
        </w:tc>
      </w:tr>
    </w:tbl>
    <w:p>
      <w:pPr>
        <w:spacing w:after="0" w:line="157" w:lineRule="exact"/>
        <w:rPr>
          <w:sz w:val="20"/>
          <w:szCs w:val="20"/>
          <w:color w:val="auto"/>
        </w:rPr>
      </w:pPr>
    </w:p>
    <w:p>
      <w:pPr>
        <w:ind w:right="420"/>
        <w:spacing w:after="0" w:line="334" w:lineRule="auto"/>
        <w:rPr>
          <w:sz w:val="20"/>
          <w:szCs w:val="20"/>
          <w:color w:val="auto"/>
        </w:rPr>
      </w:pPr>
      <w:r>
        <w:rPr>
          <w:rFonts w:ascii="Arial" w:cs="Arial" w:eastAsia="Arial" w:hAnsi="Arial"/>
          <w:sz w:val="14"/>
          <w:szCs w:val="14"/>
          <w:color w:val="auto"/>
        </w:rPr>
        <w:t>YTD, administrative expenses rose 6.0%. Growth in operating expenses was fueled mainly by BCP Stand-alone and, to a lesser extent, by Pacifico, which reported higher expenses for IT, system outsourcing, Auditing and Consulting, and professional fees for digital transformation initiatives.</w:t>
      </w:r>
    </w:p>
    <w:p>
      <w:pPr>
        <w:spacing w:after="0" w:line="104" w:lineRule="exact"/>
        <w:rPr>
          <w:sz w:val="20"/>
          <w:szCs w:val="20"/>
          <w:color w:val="auto"/>
        </w:rPr>
      </w:pPr>
    </w:p>
    <w:p>
      <w:pPr>
        <w:ind w:firstLine="6"/>
        <w:spacing w:after="0" w:line="189" w:lineRule="auto"/>
        <w:tabs>
          <w:tab w:leader="none" w:pos="75" w:val="left"/>
        </w:tabs>
        <w:numPr>
          <w:ilvl w:val="0"/>
          <w:numId w:val="43"/>
        </w:numPr>
        <w:rPr>
          <w:rFonts w:ascii="Arial" w:cs="Arial" w:eastAsia="Arial" w:hAnsi="Arial"/>
          <w:sz w:val="17"/>
          <w:szCs w:val="17"/>
          <w:color w:val="auto"/>
          <w:vertAlign w:val="superscript"/>
        </w:rPr>
      </w:pPr>
      <w:r>
        <w:rPr>
          <w:rFonts w:ascii="Arial" w:cs="Arial" w:eastAsia="Arial" w:hAnsi="Arial"/>
          <w:sz w:val="10"/>
          <w:szCs w:val="10"/>
          <w:color w:val="auto"/>
        </w:rPr>
        <w:t>On the heels of Credicorp’s acquisition of the 50% stake held by Empresas Banmedica in the joint venture with Pacifico Compañia de Seguros y Reaseguros S.A., the holding began consolidating all expenses relative to this operation in March 2025. Accordingly, all expenses that were previously reported in the Association in Participation are now consolidated on a line-by-line basis for each line account presented in the consolidated financial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697865</wp:posOffset>
            </wp:positionV>
            <wp:extent cx="670750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72390</wp:posOffset>
            </wp:positionV>
            <wp:extent cx="5899785" cy="533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99785" cy="533400"/>
                    </a:xfrm>
                    <a:prstGeom prst="rect">
                      <a:avLst/>
                    </a:prstGeom>
                    <a:noFill/>
                  </pic:spPr>
                </pic:pic>
              </a:graphicData>
            </a:graphic>
          </wp:anchor>
        </w:drawing>
      </w:r>
    </w:p>
    <w:p>
      <w:pPr>
        <w:sectPr>
          <w:pgSz w:w="11900" w:h="16840" w:orient="portrait"/>
          <w:cols w:equalWidth="0" w:num="1">
            <w:col w:w="10600"/>
          </w:cols>
          <w:pgMar w:left="660" w:top="931" w:right="640" w:bottom="1440" w:gutter="0" w:footer="0" w:header="0"/>
        </w:sectPr>
      </w:pPr>
    </w:p>
    <w:bookmarkStart w:id="41" w:name="page42"/>
    <w:bookmarkEnd w:id="41"/>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FFFFFF"/>
        </w:rPr>
        <w:t>08. Operating Expenses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 for Core Businesses and the Innovation Portfolio</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600" w:type="dxa"/>
            <w:vAlign w:val="bottom"/>
            <w:tcBorders>
              <w:top w:val="single" w:sz="8" w:color="auto"/>
              <w:left w:val="single" w:sz="8" w:color="auto"/>
              <w:right w:val="single" w:sz="8" w:color="auto"/>
            </w:tcBorders>
            <w:shd w:val="clear" w:color="auto" w:fill="33CCCC"/>
          </w:tcPr>
          <w:p>
            <w:pPr>
              <w:ind w:left="20"/>
              <w:spacing w:after="0" w:line="168" w:lineRule="exact"/>
              <w:rPr>
                <w:sz w:val="20"/>
                <w:szCs w:val="20"/>
                <w:color w:val="auto"/>
              </w:rPr>
            </w:pPr>
            <w:r>
              <w:rPr>
                <w:rFonts w:ascii="Arial" w:cs="Arial" w:eastAsia="Arial" w:hAnsi="Arial"/>
                <w:sz w:val="12"/>
                <w:szCs w:val="12"/>
                <w:b w:val="1"/>
                <w:bCs w:val="1"/>
                <w:color w:val="FFFFFF"/>
              </w:rPr>
              <w:t xml:space="preserve">Operating Expenses </w:t>
            </w:r>
            <w:r>
              <w:rPr>
                <w:rFonts w:ascii="Arial" w:cs="Arial" w:eastAsia="Arial" w:hAnsi="Arial"/>
                <w:sz w:val="19"/>
                <w:szCs w:val="19"/>
                <w:b w:val="1"/>
                <w:bCs w:val="1"/>
                <w:color w:val="FFFFFF"/>
                <w:vertAlign w:val="superscript"/>
              </w:rPr>
              <w:t>(1)</w:t>
            </w:r>
          </w:p>
        </w:tc>
        <w:tc>
          <w:tcPr>
            <w:tcW w:w="1060" w:type="dxa"/>
            <w:vAlign w:val="bottom"/>
            <w:tcBorders>
              <w:top w:val="single" w:sz="8" w:color="auto"/>
            </w:tcBorders>
            <w:shd w:val="clear" w:color="auto" w:fill="33CCCC"/>
          </w:tcPr>
          <w:p>
            <w:pPr>
              <w:spacing w:after="0"/>
              <w:rPr>
                <w:sz w:val="14"/>
                <w:szCs w:val="14"/>
                <w:color w:val="auto"/>
              </w:rPr>
            </w:pPr>
          </w:p>
        </w:tc>
        <w:tc>
          <w:tcPr>
            <w:tcW w:w="960" w:type="dxa"/>
            <w:vAlign w:val="bottom"/>
            <w:tcBorders>
              <w:top w:val="single" w:sz="8" w:color="auto"/>
            </w:tcBorders>
            <w:shd w:val="clear" w:color="auto" w:fill="33CCCC"/>
          </w:tcPr>
          <w:p>
            <w:pPr>
              <w:jc w:val="right"/>
              <w:ind w:right="360"/>
              <w:spacing w:after="0"/>
              <w:rPr>
                <w:sz w:val="20"/>
                <w:szCs w:val="20"/>
                <w:color w:val="auto"/>
              </w:rPr>
            </w:pPr>
            <w:r>
              <w:rPr>
                <w:rFonts w:ascii="Arial" w:cs="Arial" w:eastAsia="Arial" w:hAnsi="Arial"/>
                <w:sz w:val="12"/>
                <w:szCs w:val="12"/>
                <w:b w:val="1"/>
                <w:bCs w:val="1"/>
                <w:color w:val="FFFFFF"/>
              </w:rPr>
              <w:t>Quarter</w:t>
            </w:r>
          </w:p>
        </w:tc>
        <w:tc>
          <w:tcPr>
            <w:tcW w:w="800" w:type="dxa"/>
            <w:vAlign w:val="bottom"/>
            <w:tcBorders>
              <w:top w:val="single" w:sz="8" w:color="auto"/>
              <w:right w:val="single" w:sz="8" w:color="auto"/>
            </w:tcBorders>
            <w:shd w:val="clear" w:color="auto" w:fill="33CCCC"/>
          </w:tcPr>
          <w:p>
            <w:pPr>
              <w:spacing w:after="0"/>
              <w:rPr>
                <w:sz w:val="14"/>
                <w:szCs w:val="14"/>
                <w:color w:val="auto"/>
              </w:rPr>
            </w:pPr>
          </w:p>
        </w:tc>
        <w:tc>
          <w:tcPr>
            <w:tcW w:w="620" w:type="dxa"/>
            <w:vAlign w:val="bottom"/>
            <w:tcBorders>
              <w:top w:val="single" w:sz="8" w:color="auto"/>
            </w:tcBorders>
            <w:shd w:val="clear" w:color="auto" w:fill="33CCCC"/>
          </w:tcPr>
          <w:p>
            <w:pPr>
              <w:spacing w:after="0"/>
              <w:rPr>
                <w:sz w:val="14"/>
                <w:szCs w:val="14"/>
                <w:color w:val="auto"/>
              </w:rPr>
            </w:pPr>
          </w:p>
        </w:tc>
        <w:tc>
          <w:tcPr>
            <w:tcW w:w="1280" w:type="dxa"/>
            <w:vAlign w:val="bottom"/>
            <w:tcBorders>
              <w:top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 change</w:t>
            </w:r>
          </w:p>
        </w:tc>
        <w:tc>
          <w:tcPr>
            <w:tcW w:w="1160" w:type="dxa"/>
            <w:vAlign w:val="bottom"/>
            <w:tcBorders>
              <w:top w:val="single" w:sz="8" w:color="auto"/>
            </w:tcBorders>
            <w:shd w:val="clear" w:color="auto" w:fill="33CCCC"/>
          </w:tcPr>
          <w:p>
            <w:pPr>
              <w:jc w:val="right"/>
              <w:spacing w:after="0"/>
              <w:rPr>
                <w:sz w:val="20"/>
                <w:szCs w:val="20"/>
                <w:color w:val="auto"/>
              </w:rPr>
            </w:pPr>
            <w:r>
              <w:rPr>
                <w:rFonts w:ascii="Arial" w:cs="Arial" w:eastAsia="Arial" w:hAnsi="Arial"/>
                <w:sz w:val="12"/>
                <w:szCs w:val="12"/>
                <w:b w:val="1"/>
                <w:bCs w:val="1"/>
                <w:color w:val="FFFFFF"/>
              </w:rPr>
              <w:t>Up to</w:t>
            </w:r>
          </w:p>
        </w:tc>
        <w:tc>
          <w:tcPr>
            <w:tcW w:w="760" w:type="dxa"/>
            <w:vAlign w:val="bottom"/>
            <w:tcBorders>
              <w:top w:val="single" w:sz="8" w:color="auto"/>
              <w:right w:val="single" w:sz="8" w:color="auto"/>
            </w:tcBorders>
            <w:shd w:val="clear" w:color="auto" w:fill="33CCCC"/>
          </w:tcPr>
          <w:p>
            <w:pPr>
              <w:spacing w:after="0"/>
              <w:rPr>
                <w:sz w:val="14"/>
                <w:szCs w:val="14"/>
                <w:color w:val="auto"/>
              </w:rPr>
            </w:pPr>
          </w:p>
        </w:tc>
        <w:tc>
          <w:tcPr>
            <w:tcW w:w="134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56"/>
        </w:trPr>
        <w:tc>
          <w:tcPr>
            <w:tcW w:w="260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S/ 000</w:t>
            </w:r>
          </w:p>
        </w:tc>
        <w:tc>
          <w:tcPr>
            <w:tcW w:w="1060" w:type="dxa"/>
            <w:vAlign w:val="bottom"/>
            <w:shd w:val="clear" w:color="auto" w:fill="33CCCC"/>
          </w:tcPr>
          <w:p>
            <w:pPr>
              <w:jc w:val="right"/>
              <w:ind w:right="400"/>
              <w:spacing w:after="0"/>
              <w:rPr>
                <w:sz w:val="20"/>
                <w:szCs w:val="20"/>
                <w:color w:val="auto"/>
              </w:rPr>
            </w:pPr>
            <w:r>
              <w:rPr>
                <w:rFonts w:ascii="Arial" w:cs="Arial" w:eastAsia="Arial" w:hAnsi="Arial"/>
                <w:sz w:val="12"/>
                <w:szCs w:val="12"/>
                <w:b w:val="1"/>
                <w:bCs w:val="1"/>
                <w:color w:val="FFFFFF"/>
              </w:rPr>
              <w:t>3Q24</w:t>
            </w:r>
          </w:p>
        </w:tc>
        <w:tc>
          <w:tcPr>
            <w:tcW w:w="960" w:type="dxa"/>
            <w:vAlign w:val="bottom"/>
            <w:shd w:val="clear" w:color="auto" w:fill="33CCCC"/>
          </w:tcPr>
          <w:p>
            <w:pPr>
              <w:jc w:val="right"/>
              <w:ind w:right="420"/>
              <w:spacing w:after="0"/>
              <w:rPr>
                <w:sz w:val="20"/>
                <w:szCs w:val="20"/>
                <w:color w:val="auto"/>
              </w:rPr>
            </w:pPr>
            <w:r>
              <w:rPr>
                <w:rFonts w:ascii="Arial" w:cs="Arial" w:eastAsia="Arial" w:hAnsi="Arial"/>
                <w:sz w:val="12"/>
                <w:szCs w:val="12"/>
                <w:b w:val="1"/>
                <w:bCs w:val="1"/>
                <w:color w:val="FFFFFF"/>
              </w:rPr>
              <w:t>2Q25</w:t>
            </w:r>
          </w:p>
        </w:tc>
        <w:tc>
          <w:tcPr>
            <w:tcW w:w="800" w:type="dxa"/>
            <w:vAlign w:val="bottom"/>
            <w:tcBorders>
              <w:right w:val="single" w:sz="8" w:color="auto"/>
            </w:tcBorders>
            <w:shd w:val="clear" w:color="auto" w:fill="33CCCC"/>
          </w:tcPr>
          <w:p>
            <w:pPr>
              <w:jc w:val="right"/>
              <w:ind w:right="280"/>
              <w:spacing w:after="0"/>
              <w:rPr>
                <w:sz w:val="20"/>
                <w:szCs w:val="20"/>
                <w:color w:val="auto"/>
              </w:rPr>
            </w:pPr>
            <w:r>
              <w:rPr>
                <w:rFonts w:ascii="Arial" w:cs="Arial" w:eastAsia="Arial" w:hAnsi="Arial"/>
                <w:sz w:val="12"/>
                <w:szCs w:val="12"/>
                <w:b w:val="1"/>
                <w:bCs w:val="1"/>
                <w:color w:val="FFFFFF"/>
              </w:rPr>
              <w:t>3Q25</w:t>
            </w:r>
          </w:p>
        </w:tc>
        <w:tc>
          <w:tcPr>
            <w:tcW w:w="620" w:type="dxa"/>
            <w:vAlign w:val="bottom"/>
            <w:shd w:val="clear" w:color="auto" w:fill="33CCCC"/>
          </w:tcPr>
          <w:p>
            <w:pPr>
              <w:ind w:left="320"/>
              <w:spacing w:after="0"/>
              <w:rPr>
                <w:sz w:val="20"/>
                <w:szCs w:val="20"/>
                <w:color w:val="auto"/>
              </w:rPr>
            </w:pPr>
            <w:r>
              <w:rPr>
                <w:rFonts w:ascii="Arial" w:cs="Arial" w:eastAsia="Arial" w:hAnsi="Arial"/>
                <w:sz w:val="12"/>
                <w:szCs w:val="12"/>
                <w:b w:val="1"/>
                <w:bCs w:val="1"/>
                <w:color w:val="FFFFFF"/>
              </w:rPr>
              <w:t>QoQ</w:t>
            </w:r>
          </w:p>
        </w:tc>
        <w:tc>
          <w:tcPr>
            <w:tcW w:w="1280" w:type="dxa"/>
            <w:vAlign w:val="bottom"/>
            <w:tcBorders>
              <w:right w:val="single" w:sz="8" w:color="auto"/>
            </w:tcBorders>
            <w:shd w:val="clear" w:color="auto" w:fill="33CCCC"/>
          </w:tcPr>
          <w:p>
            <w:pPr>
              <w:jc w:val="center"/>
              <w:ind w:left="220"/>
              <w:spacing w:after="0"/>
              <w:rPr>
                <w:sz w:val="20"/>
                <w:szCs w:val="20"/>
                <w:color w:val="auto"/>
              </w:rPr>
            </w:pPr>
            <w:r>
              <w:rPr>
                <w:rFonts w:ascii="Arial" w:cs="Arial" w:eastAsia="Arial" w:hAnsi="Arial"/>
                <w:sz w:val="12"/>
                <w:szCs w:val="12"/>
                <w:b w:val="1"/>
                <w:bCs w:val="1"/>
                <w:color w:val="FFFFFF"/>
              </w:rPr>
              <w:t>YoY</w:t>
            </w:r>
          </w:p>
        </w:tc>
        <w:tc>
          <w:tcPr>
            <w:tcW w:w="1160" w:type="dxa"/>
            <w:vAlign w:val="bottom"/>
            <w:shd w:val="clear" w:color="auto" w:fill="33CCCC"/>
          </w:tcPr>
          <w:p>
            <w:pPr>
              <w:jc w:val="right"/>
              <w:ind w:right="420"/>
              <w:spacing w:after="0"/>
              <w:rPr>
                <w:sz w:val="20"/>
                <w:szCs w:val="20"/>
                <w:color w:val="auto"/>
              </w:rPr>
            </w:pPr>
            <w:r>
              <w:rPr>
                <w:rFonts w:ascii="Arial" w:cs="Arial" w:eastAsia="Arial" w:hAnsi="Arial"/>
                <w:sz w:val="12"/>
                <w:szCs w:val="12"/>
                <w:b w:val="1"/>
                <w:bCs w:val="1"/>
                <w:color w:val="FFFFFF"/>
              </w:rPr>
              <w:t>Sep 24</w:t>
            </w:r>
          </w:p>
        </w:tc>
        <w:tc>
          <w:tcPr>
            <w:tcW w:w="760" w:type="dxa"/>
            <w:vAlign w:val="bottom"/>
            <w:tcBorders>
              <w:right w:val="single" w:sz="8" w:color="auto"/>
            </w:tcBorders>
            <w:shd w:val="clear" w:color="auto" w:fill="33CCCC"/>
          </w:tcPr>
          <w:p>
            <w:pPr>
              <w:jc w:val="right"/>
              <w:ind w:right="240"/>
              <w:spacing w:after="0"/>
              <w:rPr>
                <w:sz w:val="20"/>
                <w:szCs w:val="20"/>
                <w:color w:val="auto"/>
              </w:rPr>
            </w:pPr>
            <w:r>
              <w:rPr>
                <w:rFonts w:ascii="Arial" w:cs="Arial" w:eastAsia="Arial" w:hAnsi="Arial"/>
                <w:sz w:val="12"/>
                <w:szCs w:val="12"/>
                <w:b w:val="1"/>
                <w:bCs w:val="1"/>
                <w:color w:val="FFFFFF"/>
              </w:rPr>
              <w:t>Sep 25</w:t>
            </w:r>
          </w:p>
        </w:tc>
        <w:tc>
          <w:tcPr>
            <w:tcW w:w="1340" w:type="dxa"/>
            <w:vAlign w:val="bottom"/>
            <w:tcBorders>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Sep 25 / Sep 24</w:t>
            </w:r>
          </w:p>
        </w:tc>
      </w:tr>
      <w:tr>
        <w:trPr>
          <w:trHeight w:val="145"/>
        </w:trPr>
        <w:tc>
          <w:tcPr>
            <w:tcW w:w="2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Operating Expenses Ex Innovation</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2,024,870</w:t>
            </w:r>
          </w:p>
        </w:tc>
        <w:tc>
          <w:tcPr>
            <w:tcW w:w="960" w:type="dxa"/>
            <w:vAlign w:val="bottom"/>
          </w:tcPr>
          <w:p>
            <w:pPr>
              <w:jc w:val="right"/>
              <w:ind w:right="100"/>
              <w:spacing w:after="0"/>
              <w:rPr>
                <w:sz w:val="20"/>
                <w:szCs w:val="20"/>
                <w:color w:val="auto"/>
              </w:rPr>
            </w:pPr>
            <w:r>
              <w:rPr>
                <w:rFonts w:ascii="Arial" w:cs="Arial" w:eastAsia="Arial" w:hAnsi="Arial"/>
                <w:sz w:val="12"/>
                <w:szCs w:val="12"/>
                <w:color w:val="auto"/>
              </w:rPr>
              <w:t>2,168,180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2,284,842</w:t>
            </w:r>
          </w:p>
        </w:tc>
        <w:tc>
          <w:tcPr>
            <w:tcW w:w="620" w:type="dxa"/>
            <w:vAlign w:val="bottom"/>
          </w:tcPr>
          <w:p>
            <w:pPr>
              <w:ind w:left="320"/>
              <w:spacing w:after="0"/>
              <w:rPr>
                <w:sz w:val="20"/>
                <w:szCs w:val="20"/>
                <w:color w:val="auto"/>
              </w:rPr>
            </w:pPr>
            <w:r>
              <w:rPr>
                <w:rFonts w:ascii="Arial" w:cs="Arial" w:eastAsia="Arial" w:hAnsi="Arial"/>
                <w:sz w:val="12"/>
                <w:szCs w:val="12"/>
                <w:color w:val="auto"/>
              </w:rPr>
              <w:t>5.4%</w:t>
            </w:r>
          </w:p>
        </w:tc>
        <w:tc>
          <w:tcPr>
            <w:tcW w:w="1280" w:type="dxa"/>
            <w:vAlign w:val="bottom"/>
            <w:tcBorders>
              <w:right w:val="single" w:sz="8" w:color="auto"/>
            </w:tcBorders>
          </w:tcPr>
          <w:p>
            <w:pPr>
              <w:jc w:val="center"/>
              <w:ind w:left="240"/>
              <w:spacing w:after="0"/>
              <w:rPr>
                <w:sz w:val="20"/>
                <w:szCs w:val="20"/>
                <w:color w:val="auto"/>
              </w:rPr>
            </w:pPr>
            <w:r>
              <w:rPr>
                <w:rFonts w:ascii="Arial" w:cs="Arial" w:eastAsia="Arial" w:hAnsi="Arial"/>
                <w:sz w:val="12"/>
                <w:szCs w:val="12"/>
                <w:color w:val="auto"/>
                <w:w w:val="99"/>
              </w:rPr>
              <w:t>12.8%</w:t>
            </w:r>
          </w:p>
        </w:tc>
        <w:tc>
          <w:tcPr>
            <w:tcW w:w="1160" w:type="dxa"/>
            <w:vAlign w:val="bottom"/>
          </w:tcPr>
          <w:p>
            <w:pPr>
              <w:jc w:val="right"/>
              <w:ind w:right="160"/>
              <w:spacing w:after="0"/>
              <w:rPr>
                <w:sz w:val="20"/>
                <w:szCs w:val="20"/>
                <w:color w:val="auto"/>
              </w:rPr>
            </w:pPr>
            <w:r>
              <w:rPr>
                <w:rFonts w:ascii="Arial" w:cs="Arial" w:eastAsia="Arial" w:hAnsi="Arial"/>
                <w:sz w:val="12"/>
                <w:szCs w:val="12"/>
                <w:color w:val="auto"/>
              </w:rPr>
              <w:t>5,868,270</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6,593,174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12.4%</w:t>
            </w:r>
          </w:p>
        </w:tc>
      </w:tr>
      <w:tr>
        <w:trPr>
          <w:trHeight w:val="167"/>
        </w:trPr>
        <w:tc>
          <w:tcPr>
            <w:tcW w:w="2600" w:type="dxa"/>
            <w:vAlign w:val="bottom"/>
            <w:tcBorders>
              <w:left w:val="single" w:sz="8" w:color="auto"/>
              <w:bottom w:val="single" w:sz="8" w:color="auto"/>
              <w:right w:val="single" w:sz="8" w:color="auto"/>
            </w:tcBorders>
          </w:tcPr>
          <w:p>
            <w:pPr>
              <w:ind w:left="20"/>
              <w:spacing w:after="0" w:line="167" w:lineRule="exact"/>
              <w:rPr>
                <w:sz w:val="20"/>
                <w:szCs w:val="20"/>
                <w:color w:val="auto"/>
              </w:rPr>
            </w:pPr>
            <w:r>
              <w:rPr>
                <w:rFonts w:ascii="Arial" w:cs="Arial" w:eastAsia="Arial" w:hAnsi="Arial"/>
                <w:sz w:val="12"/>
                <w:szCs w:val="12"/>
                <w:color w:val="auto"/>
              </w:rPr>
              <w:t xml:space="preserve">Innovation Portfolio </w:t>
            </w:r>
            <w:r>
              <w:rPr>
                <w:rFonts w:ascii="Arial" w:cs="Arial" w:eastAsia="Arial" w:hAnsi="Arial"/>
                <w:sz w:val="19"/>
                <w:szCs w:val="19"/>
                <w:color w:val="auto"/>
                <w:vertAlign w:val="superscript"/>
              </w:rPr>
              <w:t>(2)</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288,454</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315,313</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344,619</w:t>
            </w: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9.3%</w:t>
            </w:r>
          </w:p>
        </w:tc>
        <w:tc>
          <w:tcPr>
            <w:tcW w:w="1280" w:type="dxa"/>
            <w:vAlign w:val="bottom"/>
            <w:tcBorders>
              <w:bottom w:val="single" w:sz="8" w:color="auto"/>
              <w:right w:val="single" w:sz="8" w:color="auto"/>
            </w:tcBorders>
          </w:tcPr>
          <w:p>
            <w:pPr>
              <w:jc w:val="center"/>
              <w:ind w:left="240"/>
              <w:spacing w:after="0"/>
              <w:rPr>
                <w:sz w:val="20"/>
                <w:szCs w:val="20"/>
                <w:color w:val="auto"/>
              </w:rPr>
            </w:pPr>
            <w:r>
              <w:rPr>
                <w:rFonts w:ascii="Arial" w:cs="Arial" w:eastAsia="Arial" w:hAnsi="Arial"/>
                <w:sz w:val="12"/>
                <w:szCs w:val="12"/>
                <w:color w:val="auto"/>
                <w:w w:val="99"/>
              </w:rPr>
              <w:t>19.5%</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828,649</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961,869</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16.1%</w:t>
            </w:r>
          </w:p>
        </w:tc>
      </w:tr>
      <w:tr>
        <w:trPr>
          <w:trHeight w:val="148"/>
        </w:trPr>
        <w:tc>
          <w:tcPr>
            <w:tcW w:w="2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Total Operating Expenses</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2,313,324</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2,483,493</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2,629,461</w:t>
            </w: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5.9%</w:t>
            </w:r>
          </w:p>
        </w:tc>
        <w:tc>
          <w:tcPr>
            <w:tcW w:w="1280" w:type="dxa"/>
            <w:vAlign w:val="bottom"/>
            <w:tcBorders>
              <w:bottom w:val="single" w:sz="8" w:color="auto"/>
              <w:right w:val="single" w:sz="8" w:color="auto"/>
            </w:tcBorders>
          </w:tcPr>
          <w:p>
            <w:pPr>
              <w:jc w:val="center"/>
              <w:ind w:left="240"/>
              <w:spacing w:after="0"/>
              <w:rPr>
                <w:sz w:val="20"/>
                <w:szCs w:val="20"/>
                <w:color w:val="auto"/>
              </w:rPr>
            </w:pPr>
            <w:r>
              <w:rPr>
                <w:rFonts w:ascii="Arial" w:cs="Arial" w:eastAsia="Arial" w:hAnsi="Arial"/>
                <w:sz w:val="12"/>
                <w:szCs w:val="12"/>
                <w:b w:val="1"/>
                <w:bCs w:val="1"/>
                <w:color w:val="auto"/>
                <w:w w:val="99"/>
              </w:rPr>
              <w:t>13.7%</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6,696,919</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7,555,043</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12.8%</w:t>
            </w:r>
          </w:p>
        </w:tc>
      </w:tr>
    </w:tbl>
    <w:p>
      <w:pPr>
        <w:spacing w:after="0" w:line="168" w:lineRule="exact"/>
        <w:rPr>
          <w:sz w:val="20"/>
          <w:szCs w:val="20"/>
          <w:color w:val="auto"/>
        </w:rPr>
      </w:pPr>
    </w:p>
    <w:p>
      <w:pPr>
        <w:ind w:left="160" w:hanging="154"/>
        <w:spacing w:after="0"/>
        <w:tabs>
          <w:tab w:leader="none" w:pos="160" w:val="left"/>
        </w:tabs>
        <w:numPr>
          <w:ilvl w:val="0"/>
          <w:numId w:val="44"/>
        </w:numPr>
        <w:rPr>
          <w:rFonts w:ascii="Arial" w:cs="Arial" w:eastAsia="Arial" w:hAnsi="Arial"/>
          <w:sz w:val="11"/>
          <w:szCs w:val="11"/>
          <w:color w:val="auto"/>
        </w:rPr>
      </w:pPr>
      <w:r>
        <w:rPr>
          <w:rFonts w:ascii="Arial" w:cs="Arial" w:eastAsia="Arial" w:hAnsi="Arial"/>
          <w:sz w:val="11"/>
          <w:szCs w:val="11"/>
          <w:color w:val="auto"/>
        </w:rPr>
        <w:t>Management figures.</w:t>
      </w:r>
    </w:p>
    <w:p>
      <w:pPr>
        <w:spacing w:after="0" w:line="15" w:lineRule="exact"/>
        <w:rPr>
          <w:rFonts w:ascii="Arial" w:cs="Arial" w:eastAsia="Arial" w:hAnsi="Arial"/>
          <w:sz w:val="11"/>
          <w:szCs w:val="11"/>
          <w:color w:val="auto"/>
        </w:rPr>
      </w:pPr>
    </w:p>
    <w:p>
      <w:pPr>
        <w:ind w:left="160" w:hanging="154"/>
        <w:spacing w:after="0"/>
        <w:tabs>
          <w:tab w:leader="none" w:pos="160" w:val="left"/>
        </w:tabs>
        <w:numPr>
          <w:ilvl w:val="0"/>
          <w:numId w:val="44"/>
        </w:numPr>
        <w:rPr>
          <w:rFonts w:ascii="Arial" w:cs="Arial" w:eastAsia="Arial" w:hAnsi="Arial"/>
          <w:sz w:val="11"/>
          <w:szCs w:val="11"/>
          <w:color w:val="auto"/>
        </w:rPr>
      </w:pPr>
      <w:r>
        <w:rPr>
          <w:rFonts w:ascii="Arial" w:cs="Arial" w:eastAsia="Arial" w:hAnsi="Arial"/>
          <w:sz w:val="11"/>
          <w:szCs w:val="11"/>
          <w:color w:val="auto"/>
        </w:rPr>
        <w:t>Includes innovation portfolio initiatives in subsidiaries and Krealo.</w:t>
      </w:r>
    </w:p>
    <w:p>
      <w:pPr>
        <w:spacing w:after="0" w:line="152" w:lineRule="exact"/>
        <w:rPr>
          <w:sz w:val="20"/>
          <w:szCs w:val="20"/>
          <w:color w:val="auto"/>
        </w:rPr>
      </w:pPr>
    </w:p>
    <w:p>
      <w:pPr>
        <w:jc w:val="both"/>
        <w:ind w:right="40"/>
        <w:spacing w:after="0" w:line="248" w:lineRule="auto"/>
        <w:rPr>
          <w:sz w:val="20"/>
          <w:szCs w:val="20"/>
          <w:color w:val="auto"/>
        </w:rPr>
      </w:pPr>
      <w:r>
        <w:rPr>
          <w:rFonts w:ascii="Arial" w:cs="Arial" w:eastAsia="Arial" w:hAnsi="Arial"/>
          <w:sz w:val="16"/>
          <w:szCs w:val="16"/>
          <w:color w:val="auto"/>
        </w:rPr>
        <w:t>YoY, operating expenses were up 12.8%, driven mainly by Core business at BCP Stand-alone and our innovation portfolio at the Credicorp level. Disruption expenses accounted for 12.7% of total expenses, up 16.1% YTD. Yape, Tenpo and Culqi were the main contributors to disruptive expenses and represented 83% of total expenses for these initiatives.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Growth in core business expenses at BCP Stand-alone was attributable to:</w:t>
      </w:r>
    </w:p>
    <w:p>
      <w:pPr>
        <w:spacing w:after="0" w:line="162" w:lineRule="exact"/>
        <w:rPr>
          <w:sz w:val="20"/>
          <w:szCs w:val="20"/>
          <w:color w:val="auto"/>
        </w:rPr>
      </w:pPr>
    </w:p>
    <w:p>
      <w:pPr>
        <w:ind w:left="560" w:hanging="278"/>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Core business expenses excluding IT</w:t>
      </w:r>
    </w:p>
    <w:p>
      <w:pPr>
        <w:spacing w:after="0" w:line="12" w:lineRule="exact"/>
        <w:rPr>
          <w:rFonts w:ascii="Arial" w:cs="Arial" w:eastAsia="Arial" w:hAnsi="Arial"/>
          <w:sz w:val="16"/>
          <w:szCs w:val="16"/>
          <w:color w:val="auto"/>
        </w:rPr>
      </w:pPr>
    </w:p>
    <w:p>
      <w:pPr>
        <w:ind w:left="1140" w:hanging="282"/>
        <w:spacing w:after="0" w:line="234" w:lineRule="auto"/>
        <w:tabs>
          <w:tab w:leader="none" w:pos="11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 increase in the Employee Salaries and Benefits line, due to (i) provisions for variable compensation, which rose alongside better results, and (ii) an increase in headcount.</w:t>
      </w:r>
    </w:p>
    <w:p>
      <w:pPr>
        <w:spacing w:after="0" w:line="1" w:lineRule="exact"/>
        <w:rPr>
          <w:rFonts w:ascii="Arial" w:cs="Arial" w:eastAsia="Arial" w:hAnsi="Arial"/>
          <w:sz w:val="16"/>
          <w:szCs w:val="16"/>
          <w:color w:val="auto"/>
        </w:rPr>
      </w:pPr>
    </w:p>
    <w:p>
      <w:pPr>
        <w:ind w:left="560" w:hanging="278"/>
        <w:spacing w:after="0" w:line="234" w:lineRule="auto"/>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Technology expenses (IT)</w:t>
      </w:r>
    </w:p>
    <w:p>
      <w:pPr>
        <w:ind w:left="1140" w:hanging="282"/>
        <w:spacing w:after="0" w:line="234" w:lineRule="auto"/>
        <w:tabs>
          <w:tab w:leader="none" w:pos="11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More specialized personnel with digital capacities were hired at higher-than-average salaries. This is aligned with the execution of strategic projects.</w:t>
      </w:r>
    </w:p>
    <w:p>
      <w:pPr>
        <w:spacing w:after="0" w:line="1" w:lineRule="exact"/>
        <w:rPr>
          <w:rFonts w:ascii="Arial" w:cs="Arial" w:eastAsia="Arial" w:hAnsi="Arial"/>
          <w:sz w:val="16"/>
          <w:szCs w:val="16"/>
          <w:color w:val="auto"/>
        </w:rPr>
      </w:pPr>
    </w:p>
    <w:p>
      <w:pPr>
        <w:jc w:val="both"/>
        <w:ind w:left="1140" w:hanging="282"/>
        <w:spacing w:after="0" w:line="239" w:lineRule="auto"/>
        <w:tabs>
          <w:tab w:leader="none" w:pos="11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Growth in expenses for the use of data processing servers, in line with growth in the transaction volume via digital channels as clients become increasingly digitalized. Total monetary transactions and transactions through digital channels rose 58.2% and 68.2%,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632460</wp:posOffset>
            </wp:positionV>
            <wp:extent cx="670750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99060</wp:posOffset>
            </wp:positionV>
            <wp:extent cx="5869305" cy="4419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69305" cy="441960"/>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sectPr>
      </w:pPr>
    </w:p>
    <w:bookmarkStart w:id="42" w:name="page43"/>
    <w:bookmarkEnd w:id="42"/>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09 </w:t>
      </w:r>
      <w:r>
        <w:rPr>
          <w:rFonts w:ascii="Arial" w:cs="Arial" w:eastAsia="Arial" w:hAnsi="Arial"/>
          <w:sz w:val="28"/>
          <w:szCs w:val="28"/>
          <w:color w:val="E93BAC"/>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6707505" cy="518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07505" cy="518160"/>
                    </a:xfrm>
                    <a:prstGeom prst="rect">
                      <a:avLst/>
                    </a:prstGeom>
                    <a:noFill/>
                  </pic:spPr>
                </pic:pic>
              </a:graphicData>
            </a:graphic>
          </wp:anchor>
        </w:drawing>
      </w:r>
    </w:p>
    <w:p>
      <w:pPr>
        <w:spacing w:after="0" w:line="224" w:lineRule="exact"/>
        <w:rPr>
          <w:sz w:val="20"/>
          <w:szCs w:val="20"/>
          <w:color w:val="auto"/>
        </w:rPr>
      </w:pPr>
    </w:p>
    <w:p>
      <w:pPr>
        <w:jc w:val="both"/>
        <w:ind w:left="200" w:right="200"/>
        <w:spacing w:after="0" w:line="244" w:lineRule="auto"/>
        <w:rPr>
          <w:sz w:val="20"/>
          <w:szCs w:val="20"/>
          <w:color w:val="auto"/>
        </w:rPr>
      </w:pPr>
      <w:r>
        <w:rPr>
          <w:rFonts w:ascii="Arial" w:cs="Arial" w:eastAsia="Arial" w:hAnsi="Arial"/>
          <w:sz w:val="16"/>
          <w:szCs w:val="16"/>
          <w:color w:val="FFFFFF"/>
        </w:rPr>
        <w:t>The efficiency ratio evolved as anticipated and remains within the guidance range. YTD, it increased by 187 basis points as operating expense growth outpaced the expansion in operating income. This evolution reflects higher expenses in core business expansion at BCP Stand-alone and innovation initiatives at the Credicorp level, which aimed to strengthen capabilities, drive future efficiency, and secure sustainable competitive advantages over the long term.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Efficiency Ratio </w:t>
      </w:r>
      <w:r>
        <w:rPr>
          <w:rFonts w:ascii="Arial" w:cs="Arial" w:eastAsia="Arial" w:hAnsi="Arial"/>
          <w:sz w:val="26"/>
          <w:szCs w:val="26"/>
          <w:b w:val="1"/>
          <w:bCs w:val="1"/>
          <w:color w:val="auto"/>
          <w:vertAlign w:val="superscript"/>
        </w:rPr>
        <w:t>(1)</w:t>
      </w:r>
      <w:r>
        <w:rPr>
          <w:rFonts w:ascii="Arial" w:cs="Arial" w:eastAsia="Arial" w:hAnsi="Arial"/>
          <w:sz w:val="16"/>
          <w:szCs w:val="16"/>
          <w:b w:val="1"/>
          <w:bCs w:val="1"/>
          <w:color w:val="auto"/>
        </w:rPr>
        <w:t xml:space="preserve"> reported by subsidiary</w:t>
      </w:r>
    </w:p>
    <w:p>
      <w:pPr>
        <w:spacing w:after="0" w:line="6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960" w:type="dxa"/>
            <w:vAlign w:val="bottom"/>
            <w:tcBorders>
              <w:top w:val="single" w:sz="8" w:color="auto"/>
              <w:left w:val="single" w:sz="8" w:color="auto"/>
              <w:right w:val="single" w:sz="8" w:color="auto"/>
            </w:tcBorders>
            <w:shd w:val="clear" w:color="auto" w:fill="33CCCC"/>
          </w:tcPr>
          <w:p>
            <w:pPr>
              <w:ind w:left="680"/>
              <w:spacing w:after="0"/>
              <w:rPr>
                <w:sz w:val="20"/>
                <w:szCs w:val="20"/>
                <w:color w:val="auto"/>
              </w:rPr>
            </w:pPr>
            <w:r>
              <w:rPr>
                <w:rFonts w:ascii="Arial" w:cs="Arial" w:eastAsia="Arial" w:hAnsi="Arial"/>
                <w:sz w:val="12"/>
                <w:szCs w:val="12"/>
                <w:b w:val="1"/>
                <w:bCs w:val="1"/>
                <w:color w:val="FFFFFF"/>
              </w:rPr>
              <w:t>Subsidiary</w:t>
            </w:r>
          </w:p>
        </w:tc>
        <w:tc>
          <w:tcPr>
            <w:tcW w:w="1000" w:type="dxa"/>
            <w:vAlign w:val="bottom"/>
            <w:tcBorders>
              <w:top w:val="single" w:sz="8" w:color="auto"/>
            </w:tcBorders>
            <w:shd w:val="clear" w:color="auto" w:fill="33CCCC"/>
          </w:tcPr>
          <w:p>
            <w:pPr>
              <w:spacing w:after="0"/>
              <w:rPr>
                <w:sz w:val="13"/>
                <w:szCs w:val="13"/>
                <w:color w:val="auto"/>
              </w:rPr>
            </w:pPr>
          </w:p>
        </w:tc>
        <w:tc>
          <w:tcPr>
            <w:tcW w:w="1100" w:type="dxa"/>
            <w:vAlign w:val="bottom"/>
            <w:tcBorders>
              <w:top w:val="single" w:sz="8" w:color="auto"/>
            </w:tcBorders>
            <w:shd w:val="clear" w:color="auto" w:fill="33CCCC"/>
          </w:tcPr>
          <w:p>
            <w:pPr>
              <w:ind w:left="340"/>
              <w:spacing w:after="0"/>
              <w:rPr>
                <w:sz w:val="20"/>
                <w:szCs w:val="20"/>
                <w:color w:val="auto"/>
              </w:rPr>
            </w:pPr>
            <w:r>
              <w:rPr>
                <w:rFonts w:ascii="Arial" w:cs="Arial" w:eastAsia="Arial" w:hAnsi="Arial"/>
                <w:sz w:val="12"/>
                <w:szCs w:val="12"/>
                <w:b w:val="1"/>
                <w:bCs w:val="1"/>
                <w:color w:val="FFFFFF"/>
              </w:rPr>
              <w:t>Quarter</w:t>
            </w:r>
          </w:p>
        </w:tc>
        <w:tc>
          <w:tcPr>
            <w:tcW w:w="1040" w:type="dxa"/>
            <w:vAlign w:val="bottom"/>
            <w:tcBorders>
              <w:top w:val="single" w:sz="8" w:color="auto"/>
              <w:right w:val="single" w:sz="8" w:color="auto"/>
            </w:tcBorders>
            <w:shd w:val="clear" w:color="auto" w:fill="33CCCC"/>
          </w:tcPr>
          <w:p>
            <w:pPr>
              <w:spacing w:after="0"/>
              <w:rPr>
                <w:sz w:val="13"/>
                <w:szCs w:val="13"/>
                <w:color w:val="auto"/>
              </w:rPr>
            </w:pPr>
          </w:p>
        </w:tc>
        <w:tc>
          <w:tcPr>
            <w:tcW w:w="760" w:type="dxa"/>
            <w:vAlign w:val="bottom"/>
            <w:tcBorders>
              <w:top w:val="single" w:sz="8" w:color="auto"/>
            </w:tcBorders>
            <w:shd w:val="clear" w:color="auto" w:fill="33CCCC"/>
          </w:tcPr>
          <w:p>
            <w:pPr>
              <w:spacing w:after="0"/>
              <w:rPr>
                <w:sz w:val="13"/>
                <w:szCs w:val="13"/>
                <w:color w:val="auto"/>
              </w:rPr>
            </w:pPr>
          </w:p>
        </w:tc>
        <w:tc>
          <w:tcPr>
            <w:tcW w:w="1360" w:type="dxa"/>
            <w:vAlign w:val="bottom"/>
            <w:tcBorders>
              <w:top w:val="single" w:sz="8" w:color="auto"/>
              <w:right w:val="single" w:sz="8" w:color="auto"/>
            </w:tcBorders>
            <w:shd w:val="clear" w:color="auto" w:fill="33CCCC"/>
          </w:tcPr>
          <w:p>
            <w:pPr>
              <w:spacing w:after="0"/>
              <w:rPr>
                <w:sz w:val="20"/>
                <w:szCs w:val="20"/>
                <w:color w:val="auto"/>
              </w:rPr>
            </w:pPr>
            <w:r>
              <w:rPr>
                <w:rFonts w:ascii="Arial" w:cs="Arial" w:eastAsia="Arial" w:hAnsi="Arial"/>
                <w:sz w:val="12"/>
                <w:szCs w:val="12"/>
                <w:b w:val="1"/>
                <w:bCs w:val="1"/>
                <w:color w:val="FFFFFF"/>
              </w:rPr>
              <w:t>% change</w:t>
            </w:r>
          </w:p>
        </w:tc>
        <w:tc>
          <w:tcPr>
            <w:tcW w:w="800" w:type="dxa"/>
            <w:vAlign w:val="bottom"/>
            <w:tcBorders>
              <w:top w:val="single" w:sz="8" w:color="auto"/>
            </w:tcBorders>
            <w:shd w:val="clear" w:color="auto" w:fill="33CCCC"/>
          </w:tcPr>
          <w:p>
            <w:pPr>
              <w:spacing w:after="0"/>
              <w:rPr>
                <w:sz w:val="13"/>
                <w:szCs w:val="13"/>
                <w:color w:val="auto"/>
              </w:rPr>
            </w:pPr>
          </w:p>
        </w:tc>
        <w:tc>
          <w:tcPr>
            <w:tcW w:w="1320" w:type="dxa"/>
            <w:vAlign w:val="bottom"/>
            <w:tcBorders>
              <w:top w:val="single" w:sz="8" w:color="auto"/>
              <w:right w:val="single" w:sz="8" w:color="auto"/>
            </w:tcBorders>
            <w:shd w:val="clear" w:color="auto" w:fill="33CCCC"/>
          </w:tcPr>
          <w:p>
            <w:pPr>
              <w:ind w:left="100"/>
              <w:spacing w:after="0"/>
              <w:rPr>
                <w:sz w:val="20"/>
                <w:szCs w:val="20"/>
                <w:color w:val="auto"/>
              </w:rPr>
            </w:pPr>
            <w:r>
              <w:rPr>
                <w:rFonts w:ascii="Arial" w:cs="Arial" w:eastAsia="Arial" w:hAnsi="Arial"/>
                <w:sz w:val="12"/>
                <w:szCs w:val="12"/>
                <w:b w:val="1"/>
                <w:bCs w:val="1"/>
                <w:color w:val="FFFFFF"/>
              </w:rPr>
              <w:t>As of</w:t>
            </w:r>
          </w:p>
        </w:tc>
        <w:tc>
          <w:tcPr>
            <w:tcW w:w="124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56"/>
        </w:trPr>
        <w:tc>
          <w:tcPr>
            <w:tcW w:w="1960" w:type="dxa"/>
            <w:vAlign w:val="bottom"/>
            <w:tcBorders>
              <w:left w:val="single" w:sz="8" w:color="auto"/>
              <w:bottom w:val="single" w:sz="8" w:color="auto"/>
              <w:right w:val="single" w:sz="8" w:color="auto"/>
            </w:tcBorders>
            <w:shd w:val="clear" w:color="auto" w:fill="33CCCC"/>
          </w:tcPr>
          <w:p>
            <w:pPr>
              <w:spacing w:after="0"/>
              <w:rPr>
                <w:sz w:val="13"/>
                <w:szCs w:val="13"/>
                <w:color w:val="auto"/>
              </w:rPr>
            </w:pPr>
          </w:p>
        </w:tc>
        <w:tc>
          <w:tcPr>
            <w:tcW w:w="10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3Q24</w:t>
            </w:r>
          </w:p>
        </w:tc>
        <w:tc>
          <w:tcPr>
            <w:tcW w:w="11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2Q25</w:t>
            </w:r>
          </w:p>
        </w:tc>
        <w:tc>
          <w:tcPr>
            <w:tcW w:w="10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5"/>
              </w:rPr>
              <w:t>3Q25</w:t>
            </w:r>
          </w:p>
        </w:tc>
        <w:tc>
          <w:tcPr>
            <w:tcW w:w="760" w:type="dxa"/>
            <w:vAlign w:val="bottom"/>
            <w:tcBorders>
              <w:bottom w:val="single" w:sz="8" w:color="auto"/>
            </w:tcBorders>
            <w:shd w:val="clear" w:color="auto" w:fill="33CCCC"/>
          </w:tcPr>
          <w:p>
            <w:pPr>
              <w:ind w:left="380"/>
              <w:spacing w:after="0"/>
              <w:rPr>
                <w:sz w:val="20"/>
                <w:szCs w:val="20"/>
                <w:color w:val="auto"/>
              </w:rPr>
            </w:pPr>
            <w:r>
              <w:rPr>
                <w:rFonts w:ascii="Arial" w:cs="Arial" w:eastAsia="Arial" w:hAnsi="Arial"/>
                <w:sz w:val="12"/>
                <w:szCs w:val="12"/>
                <w:b w:val="1"/>
                <w:bCs w:val="1"/>
                <w:color w:val="FFFFFF"/>
              </w:rPr>
              <w:t>QoQ</w:t>
            </w:r>
          </w:p>
        </w:tc>
        <w:tc>
          <w:tcPr>
            <w:tcW w:w="1360" w:type="dxa"/>
            <w:vAlign w:val="bottom"/>
            <w:tcBorders>
              <w:bottom w:val="single" w:sz="8" w:color="auto"/>
              <w:right w:val="single" w:sz="8" w:color="auto"/>
            </w:tcBorders>
            <w:shd w:val="clear" w:color="auto" w:fill="33CCCC"/>
          </w:tcPr>
          <w:p>
            <w:pPr>
              <w:jc w:val="center"/>
              <w:ind w:left="200"/>
              <w:spacing w:after="0"/>
              <w:rPr>
                <w:sz w:val="20"/>
                <w:szCs w:val="20"/>
                <w:color w:val="auto"/>
              </w:rPr>
            </w:pPr>
            <w:r>
              <w:rPr>
                <w:rFonts w:ascii="Arial" w:cs="Arial" w:eastAsia="Arial" w:hAnsi="Arial"/>
                <w:sz w:val="12"/>
                <w:szCs w:val="12"/>
                <w:b w:val="1"/>
                <w:bCs w:val="1"/>
                <w:color w:val="FFFFFF"/>
                <w:w w:val="94"/>
              </w:rPr>
              <w:t>YoY</w:t>
            </w:r>
          </w:p>
        </w:tc>
        <w:tc>
          <w:tcPr>
            <w:tcW w:w="800" w:type="dxa"/>
            <w:vAlign w:val="bottom"/>
            <w:tcBorders>
              <w:bottom w:val="single" w:sz="8" w:color="auto"/>
            </w:tcBorders>
            <w:shd w:val="clear" w:color="auto" w:fill="33CCCC"/>
          </w:tcPr>
          <w:p>
            <w:pPr>
              <w:jc w:val="center"/>
              <w:ind w:left="160"/>
              <w:spacing w:after="0"/>
              <w:rPr>
                <w:sz w:val="20"/>
                <w:szCs w:val="20"/>
                <w:color w:val="auto"/>
              </w:rPr>
            </w:pPr>
            <w:r>
              <w:rPr>
                <w:rFonts w:ascii="Arial" w:cs="Arial" w:eastAsia="Arial" w:hAnsi="Arial"/>
                <w:sz w:val="12"/>
                <w:szCs w:val="12"/>
                <w:b w:val="1"/>
                <w:bCs w:val="1"/>
                <w:color w:val="FFFFFF"/>
                <w:w w:val="98"/>
              </w:rPr>
              <w:t>Sep 24</w:t>
            </w:r>
          </w:p>
        </w:tc>
        <w:tc>
          <w:tcPr>
            <w:tcW w:w="1320" w:type="dxa"/>
            <w:vAlign w:val="bottom"/>
            <w:tcBorders>
              <w:bottom w:val="single" w:sz="8" w:color="auto"/>
              <w:right w:val="single" w:sz="8" w:color="auto"/>
            </w:tcBorders>
            <w:shd w:val="clear" w:color="auto" w:fill="33CCCC"/>
          </w:tcPr>
          <w:p>
            <w:pPr>
              <w:jc w:val="center"/>
              <w:ind w:left="160"/>
              <w:spacing w:after="0"/>
              <w:rPr>
                <w:sz w:val="20"/>
                <w:szCs w:val="20"/>
                <w:color w:val="auto"/>
              </w:rPr>
            </w:pPr>
            <w:r>
              <w:rPr>
                <w:rFonts w:ascii="Arial" w:cs="Arial" w:eastAsia="Arial" w:hAnsi="Arial"/>
                <w:sz w:val="12"/>
                <w:szCs w:val="12"/>
                <w:b w:val="1"/>
                <w:bCs w:val="1"/>
                <w:color w:val="FFFFFF"/>
                <w:w w:val="98"/>
              </w:rPr>
              <w:t>Sep 25</w:t>
            </w:r>
          </w:p>
        </w:tc>
        <w:tc>
          <w:tcPr>
            <w:tcW w:w="12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Sep 25 / Sep 24</w:t>
            </w:r>
          </w:p>
        </w:tc>
      </w:tr>
      <w:tr>
        <w:trPr>
          <w:trHeight w:val="147"/>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BCP Stand-alone</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36.4%</w:t>
            </w:r>
          </w:p>
        </w:tc>
        <w:tc>
          <w:tcPr>
            <w:tcW w:w="1100" w:type="dxa"/>
            <w:vAlign w:val="bottom"/>
          </w:tcPr>
          <w:p>
            <w:pPr>
              <w:jc w:val="center"/>
              <w:spacing w:after="0"/>
              <w:rPr>
                <w:sz w:val="20"/>
                <w:szCs w:val="20"/>
                <w:color w:val="auto"/>
              </w:rPr>
            </w:pPr>
            <w:r>
              <w:rPr>
                <w:rFonts w:ascii="Arial" w:cs="Arial" w:eastAsia="Arial" w:hAnsi="Arial"/>
                <w:sz w:val="12"/>
                <w:szCs w:val="12"/>
                <w:color w:val="auto"/>
                <w:w w:val="99"/>
              </w:rPr>
              <w:t>38.3%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39.9%</w:t>
            </w:r>
          </w:p>
        </w:tc>
        <w:tc>
          <w:tcPr>
            <w:tcW w:w="760" w:type="dxa"/>
            <w:vAlign w:val="bottom"/>
          </w:tcPr>
          <w:p>
            <w:pPr>
              <w:jc w:val="center"/>
              <w:ind w:left="240"/>
              <w:spacing w:after="0"/>
              <w:rPr>
                <w:sz w:val="20"/>
                <w:szCs w:val="20"/>
                <w:color w:val="auto"/>
              </w:rPr>
            </w:pPr>
            <w:r>
              <w:rPr>
                <w:rFonts w:ascii="Arial" w:cs="Arial" w:eastAsia="Arial" w:hAnsi="Arial"/>
                <w:sz w:val="12"/>
                <w:szCs w:val="12"/>
                <w:color w:val="auto"/>
                <w:w w:val="98"/>
              </w:rPr>
              <w:t>160 bps</w:t>
            </w:r>
          </w:p>
        </w:tc>
        <w:tc>
          <w:tcPr>
            <w:tcW w:w="1360" w:type="dxa"/>
            <w:vAlign w:val="bottom"/>
            <w:tcBorders>
              <w:right w:val="single" w:sz="8" w:color="auto"/>
            </w:tcBorders>
          </w:tcPr>
          <w:p>
            <w:pPr>
              <w:jc w:val="center"/>
              <w:ind w:left="240"/>
              <w:spacing w:after="0"/>
              <w:rPr>
                <w:sz w:val="20"/>
                <w:szCs w:val="20"/>
                <w:color w:val="auto"/>
              </w:rPr>
            </w:pPr>
            <w:r>
              <w:rPr>
                <w:rFonts w:ascii="Arial" w:cs="Arial" w:eastAsia="Arial" w:hAnsi="Arial"/>
                <w:sz w:val="12"/>
                <w:szCs w:val="12"/>
                <w:color w:val="auto"/>
                <w:w w:val="98"/>
              </w:rPr>
              <w:t>354 bps</w:t>
            </w:r>
          </w:p>
        </w:tc>
        <w:tc>
          <w:tcPr>
            <w:tcW w:w="800" w:type="dxa"/>
            <w:vAlign w:val="bottom"/>
          </w:tcPr>
          <w:p>
            <w:pPr>
              <w:jc w:val="center"/>
              <w:ind w:left="160"/>
              <w:spacing w:after="0"/>
              <w:rPr>
                <w:sz w:val="20"/>
                <w:szCs w:val="20"/>
                <w:color w:val="auto"/>
              </w:rPr>
            </w:pPr>
            <w:r>
              <w:rPr>
                <w:rFonts w:ascii="Arial" w:cs="Arial" w:eastAsia="Arial" w:hAnsi="Arial"/>
                <w:sz w:val="12"/>
                <w:szCs w:val="12"/>
                <w:color w:val="auto"/>
                <w:w w:val="99"/>
              </w:rPr>
              <w:t>36.2%</w:t>
            </w:r>
          </w:p>
        </w:tc>
        <w:tc>
          <w:tcPr>
            <w:tcW w:w="1320" w:type="dxa"/>
            <w:vAlign w:val="bottom"/>
            <w:tcBorders>
              <w:right w:val="single" w:sz="8" w:color="auto"/>
            </w:tcBorders>
          </w:tcPr>
          <w:p>
            <w:pPr>
              <w:jc w:val="center"/>
              <w:ind w:left="160"/>
              <w:spacing w:after="0"/>
              <w:rPr>
                <w:sz w:val="20"/>
                <w:szCs w:val="20"/>
                <w:color w:val="auto"/>
              </w:rPr>
            </w:pPr>
            <w:r>
              <w:rPr>
                <w:rFonts w:ascii="Arial" w:cs="Arial" w:eastAsia="Arial" w:hAnsi="Arial"/>
                <w:sz w:val="12"/>
                <w:szCs w:val="12"/>
                <w:color w:val="auto"/>
                <w:w w:val="99"/>
              </w:rPr>
              <w:t>38.7%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249 bps</w:t>
            </w:r>
          </w:p>
        </w:tc>
      </w:tr>
      <w:tr>
        <w:trPr>
          <w:trHeight w:val="156"/>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BCP Bolivia</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80.3%</w:t>
            </w:r>
          </w:p>
        </w:tc>
        <w:tc>
          <w:tcPr>
            <w:tcW w:w="1100" w:type="dxa"/>
            <w:vAlign w:val="bottom"/>
          </w:tcPr>
          <w:p>
            <w:pPr>
              <w:jc w:val="center"/>
              <w:spacing w:after="0"/>
              <w:rPr>
                <w:sz w:val="20"/>
                <w:szCs w:val="20"/>
                <w:color w:val="auto"/>
              </w:rPr>
            </w:pPr>
            <w:r>
              <w:rPr>
                <w:rFonts w:ascii="Arial" w:cs="Arial" w:eastAsia="Arial" w:hAnsi="Arial"/>
                <w:sz w:val="12"/>
                <w:szCs w:val="12"/>
                <w:color w:val="auto"/>
                <w:w w:val="99"/>
              </w:rPr>
              <w:t>67.3%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59.0%</w:t>
            </w:r>
          </w:p>
        </w:tc>
        <w:tc>
          <w:tcPr>
            <w:tcW w:w="760" w:type="dxa"/>
            <w:vAlign w:val="bottom"/>
          </w:tcPr>
          <w:p>
            <w:pPr>
              <w:jc w:val="center"/>
              <w:ind w:left="240"/>
              <w:spacing w:after="0"/>
              <w:rPr>
                <w:sz w:val="20"/>
                <w:szCs w:val="20"/>
                <w:color w:val="auto"/>
              </w:rPr>
            </w:pPr>
            <w:r>
              <w:rPr>
                <w:rFonts w:ascii="Arial" w:cs="Arial" w:eastAsia="Arial" w:hAnsi="Arial"/>
                <w:sz w:val="12"/>
                <w:szCs w:val="12"/>
                <w:color w:val="auto"/>
                <w:w w:val="98"/>
              </w:rPr>
              <w:t>-828 bps</w:t>
            </w:r>
          </w:p>
        </w:tc>
        <w:tc>
          <w:tcPr>
            <w:tcW w:w="1360" w:type="dxa"/>
            <w:vAlign w:val="bottom"/>
            <w:tcBorders>
              <w:right w:val="single" w:sz="8" w:color="auto"/>
            </w:tcBorders>
          </w:tcPr>
          <w:p>
            <w:pPr>
              <w:jc w:val="center"/>
              <w:ind w:left="240"/>
              <w:spacing w:after="0"/>
              <w:rPr>
                <w:sz w:val="20"/>
                <w:szCs w:val="20"/>
                <w:color w:val="auto"/>
              </w:rPr>
            </w:pPr>
            <w:r>
              <w:rPr>
                <w:rFonts w:ascii="Arial" w:cs="Arial" w:eastAsia="Arial" w:hAnsi="Arial"/>
                <w:sz w:val="12"/>
                <w:szCs w:val="12"/>
                <w:color w:val="auto"/>
              </w:rPr>
              <w:t>-2127 bps</w:t>
            </w:r>
          </w:p>
        </w:tc>
        <w:tc>
          <w:tcPr>
            <w:tcW w:w="800" w:type="dxa"/>
            <w:vAlign w:val="bottom"/>
          </w:tcPr>
          <w:p>
            <w:pPr>
              <w:jc w:val="center"/>
              <w:ind w:left="160"/>
              <w:spacing w:after="0"/>
              <w:rPr>
                <w:sz w:val="20"/>
                <w:szCs w:val="20"/>
                <w:color w:val="auto"/>
              </w:rPr>
            </w:pPr>
            <w:r>
              <w:rPr>
                <w:rFonts w:ascii="Arial" w:cs="Arial" w:eastAsia="Arial" w:hAnsi="Arial"/>
                <w:sz w:val="12"/>
                <w:szCs w:val="12"/>
                <w:color w:val="auto"/>
                <w:w w:val="99"/>
              </w:rPr>
              <w:t>64.3%</w:t>
            </w:r>
          </w:p>
        </w:tc>
        <w:tc>
          <w:tcPr>
            <w:tcW w:w="1320" w:type="dxa"/>
            <w:vAlign w:val="bottom"/>
            <w:tcBorders>
              <w:right w:val="single" w:sz="8" w:color="auto"/>
            </w:tcBorders>
          </w:tcPr>
          <w:p>
            <w:pPr>
              <w:jc w:val="center"/>
              <w:ind w:left="160"/>
              <w:spacing w:after="0"/>
              <w:rPr>
                <w:sz w:val="20"/>
                <w:szCs w:val="20"/>
                <w:color w:val="auto"/>
              </w:rPr>
            </w:pPr>
            <w:r>
              <w:rPr>
                <w:rFonts w:ascii="Arial" w:cs="Arial" w:eastAsia="Arial" w:hAnsi="Arial"/>
                <w:sz w:val="12"/>
                <w:szCs w:val="12"/>
                <w:color w:val="auto"/>
                <w:w w:val="99"/>
              </w:rPr>
              <w:t>65.5%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121 bps</w:t>
            </w:r>
          </w:p>
        </w:tc>
      </w:tr>
      <w:tr>
        <w:trPr>
          <w:trHeight w:val="156"/>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Mibanco Peru</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54.2%</w:t>
            </w:r>
          </w:p>
        </w:tc>
        <w:tc>
          <w:tcPr>
            <w:tcW w:w="1100" w:type="dxa"/>
            <w:vAlign w:val="bottom"/>
          </w:tcPr>
          <w:p>
            <w:pPr>
              <w:jc w:val="center"/>
              <w:spacing w:after="0"/>
              <w:rPr>
                <w:sz w:val="20"/>
                <w:szCs w:val="20"/>
                <w:color w:val="auto"/>
              </w:rPr>
            </w:pPr>
            <w:r>
              <w:rPr>
                <w:rFonts w:ascii="Arial" w:cs="Arial" w:eastAsia="Arial" w:hAnsi="Arial"/>
                <w:sz w:val="12"/>
                <w:szCs w:val="12"/>
                <w:color w:val="auto"/>
                <w:w w:val="99"/>
              </w:rPr>
              <w:t>52.0%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49.4%</w:t>
            </w:r>
          </w:p>
        </w:tc>
        <w:tc>
          <w:tcPr>
            <w:tcW w:w="760" w:type="dxa"/>
            <w:vAlign w:val="bottom"/>
          </w:tcPr>
          <w:p>
            <w:pPr>
              <w:jc w:val="center"/>
              <w:ind w:left="240"/>
              <w:spacing w:after="0"/>
              <w:rPr>
                <w:sz w:val="20"/>
                <w:szCs w:val="20"/>
                <w:color w:val="auto"/>
              </w:rPr>
            </w:pPr>
            <w:r>
              <w:rPr>
                <w:rFonts w:ascii="Arial" w:cs="Arial" w:eastAsia="Arial" w:hAnsi="Arial"/>
                <w:sz w:val="12"/>
                <w:szCs w:val="12"/>
                <w:color w:val="auto"/>
                <w:w w:val="98"/>
              </w:rPr>
              <w:t>-255 bps</w:t>
            </w:r>
          </w:p>
        </w:tc>
        <w:tc>
          <w:tcPr>
            <w:tcW w:w="13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-476 bps</w:t>
            </w:r>
          </w:p>
        </w:tc>
        <w:tc>
          <w:tcPr>
            <w:tcW w:w="800" w:type="dxa"/>
            <w:vAlign w:val="bottom"/>
          </w:tcPr>
          <w:p>
            <w:pPr>
              <w:jc w:val="center"/>
              <w:ind w:left="160"/>
              <w:spacing w:after="0"/>
              <w:rPr>
                <w:sz w:val="20"/>
                <w:szCs w:val="20"/>
                <w:color w:val="auto"/>
              </w:rPr>
            </w:pPr>
            <w:r>
              <w:rPr>
                <w:rFonts w:ascii="Arial" w:cs="Arial" w:eastAsia="Arial" w:hAnsi="Arial"/>
                <w:sz w:val="12"/>
                <w:szCs w:val="12"/>
                <w:color w:val="auto"/>
                <w:w w:val="99"/>
              </w:rPr>
              <w:t>52.8%</w:t>
            </w:r>
          </w:p>
        </w:tc>
        <w:tc>
          <w:tcPr>
            <w:tcW w:w="1320" w:type="dxa"/>
            <w:vAlign w:val="bottom"/>
            <w:tcBorders>
              <w:right w:val="single" w:sz="8" w:color="auto"/>
            </w:tcBorders>
          </w:tcPr>
          <w:p>
            <w:pPr>
              <w:jc w:val="center"/>
              <w:ind w:left="160"/>
              <w:spacing w:after="0"/>
              <w:rPr>
                <w:sz w:val="20"/>
                <w:szCs w:val="20"/>
                <w:color w:val="auto"/>
              </w:rPr>
            </w:pPr>
            <w:r>
              <w:rPr>
                <w:rFonts w:ascii="Arial" w:cs="Arial" w:eastAsia="Arial" w:hAnsi="Arial"/>
                <w:sz w:val="12"/>
                <w:szCs w:val="12"/>
                <w:color w:val="auto"/>
                <w:w w:val="99"/>
              </w:rPr>
              <w:t>51.4%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-144 bps</w:t>
            </w:r>
          </w:p>
        </w:tc>
      </w:tr>
      <w:tr>
        <w:trPr>
          <w:trHeight w:val="156"/>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Mibanco Colombia</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72.0%</w:t>
            </w:r>
          </w:p>
        </w:tc>
        <w:tc>
          <w:tcPr>
            <w:tcW w:w="1100" w:type="dxa"/>
            <w:vAlign w:val="bottom"/>
          </w:tcPr>
          <w:p>
            <w:pPr>
              <w:jc w:val="center"/>
              <w:spacing w:after="0"/>
              <w:rPr>
                <w:sz w:val="20"/>
                <w:szCs w:val="20"/>
                <w:color w:val="auto"/>
              </w:rPr>
            </w:pPr>
            <w:r>
              <w:rPr>
                <w:rFonts w:ascii="Arial" w:cs="Arial" w:eastAsia="Arial" w:hAnsi="Arial"/>
                <w:sz w:val="12"/>
                <w:szCs w:val="12"/>
                <w:color w:val="auto"/>
                <w:w w:val="99"/>
              </w:rPr>
              <w:t>65.5%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63.7%</w:t>
            </w:r>
          </w:p>
        </w:tc>
        <w:tc>
          <w:tcPr>
            <w:tcW w:w="760" w:type="dxa"/>
            <w:vAlign w:val="bottom"/>
          </w:tcPr>
          <w:p>
            <w:pPr>
              <w:jc w:val="center"/>
              <w:ind w:left="240"/>
              <w:spacing w:after="0"/>
              <w:rPr>
                <w:sz w:val="20"/>
                <w:szCs w:val="20"/>
                <w:color w:val="auto"/>
              </w:rPr>
            </w:pPr>
            <w:r>
              <w:rPr>
                <w:rFonts w:ascii="Arial" w:cs="Arial" w:eastAsia="Arial" w:hAnsi="Arial"/>
                <w:sz w:val="12"/>
                <w:szCs w:val="12"/>
                <w:color w:val="auto"/>
                <w:w w:val="98"/>
              </w:rPr>
              <w:t>-178 bps</w:t>
            </w:r>
          </w:p>
        </w:tc>
        <w:tc>
          <w:tcPr>
            <w:tcW w:w="13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-833 bps</w:t>
            </w:r>
          </w:p>
        </w:tc>
        <w:tc>
          <w:tcPr>
            <w:tcW w:w="800" w:type="dxa"/>
            <w:vAlign w:val="bottom"/>
          </w:tcPr>
          <w:p>
            <w:pPr>
              <w:jc w:val="center"/>
              <w:ind w:left="160"/>
              <w:spacing w:after="0"/>
              <w:rPr>
                <w:sz w:val="20"/>
                <w:szCs w:val="20"/>
                <w:color w:val="auto"/>
              </w:rPr>
            </w:pPr>
            <w:r>
              <w:rPr>
                <w:rFonts w:ascii="Arial" w:cs="Arial" w:eastAsia="Arial" w:hAnsi="Arial"/>
                <w:sz w:val="12"/>
                <w:szCs w:val="12"/>
                <w:color w:val="auto"/>
                <w:w w:val="99"/>
              </w:rPr>
              <w:t>78.6%</w:t>
            </w:r>
          </w:p>
        </w:tc>
        <w:tc>
          <w:tcPr>
            <w:tcW w:w="1320" w:type="dxa"/>
            <w:vAlign w:val="bottom"/>
            <w:tcBorders>
              <w:right w:val="single" w:sz="8" w:color="auto"/>
            </w:tcBorders>
          </w:tcPr>
          <w:p>
            <w:pPr>
              <w:jc w:val="center"/>
              <w:ind w:left="160"/>
              <w:spacing w:after="0"/>
              <w:rPr>
                <w:sz w:val="20"/>
                <w:szCs w:val="20"/>
                <w:color w:val="auto"/>
              </w:rPr>
            </w:pPr>
            <w:r>
              <w:rPr>
                <w:rFonts w:ascii="Arial" w:cs="Arial" w:eastAsia="Arial" w:hAnsi="Arial"/>
                <w:sz w:val="12"/>
                <w:szCs w:val="12"/>
                <w:color w:val="auto"/>
                <w:w w:val="99"/>
              </w:rPr>
              <w:t>66.4%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-1226 bps</w:t>
            </w:r>
          </w:p>
        </w:tc>
      </w:tr>
      <w:tr>
        <w:trPr>
          <w:trHeight w:val="156"/>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Pacífico</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25.5%</w:t>
            </w:r>
          </w:p>
        </w:tc>
        <w:tc>
          <w:tcPr>
            <w:tcW w:w="1100" w:type="dxa"/>
            <w:vAlign w:val="bottom"/>
          </w:tcPr>
          <w:p>
            <w:pPr>
              <w:jc w:val="center"/>
              <w:spacing w:after="0"/>
              <w:rPr>
                <w:sz w:val="20"/>
                <w:szCs w:val="20"/>
                <w:color w:val="auto"/>
              </w:rPr>
            </w:pPr>
            <w:r>
              <w:rPr>
                <w:rFonts w:ascii="Arial" w:cs="Arial" w:eastAsia="Arial" w:hAnsi="Arial"/>
                <w:sz w:val="12"/>
                <w:szCs w:val="12"/>
                <w:color w:val="auto"/>
                <w:w w:val="99"/>
              </w:rPr>
              <w:t>37.5%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38.2%</w:t>
            </w:r>
          </w:p>
        </w:tc>
        <w:tc>
          <w:tcPr>
            <w:tcW w:w="760" w:type="dxa"/>
            <w:vAlign w:val="bottom"/>
          </w:tcPr>
          <w:p>
            <w:pPr>
              <w:jc w:val="center"/>
              <w:ind w:left="260"/>
              <w:spacing w:after="0"/>
              <w:rPr>
                <w:sz w:val="20"/>
                <w:szCs w:val="20"/>
                <w:color w:val="auto"/>
              </w:rPr>
            </w:pPr>
            <w:r>
              <w:rPr>
                <w:rFonts w:ascii="Arial" w:cs="Arial" w:eastAsia="Arial" w:hAnsi="Arial"/>
                <w:sz w:val="12"/>
                <w:szCs w:val="12"/>
                <w:color w:val="auto"/>
                <w:w w:val="99"/>
              </w:rPr>
              <w:t>70 bps</w:t>
            </w:r>
          </w:p>
        </w:tc>
        <w:tc>
          <w:tcPr>
            <w:tcW w:w="136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7"/>
              </w:rPr>
              <w:t>1269 bps</w:t>
            </w:r>
          </w:p>
        </w:tc>
        <w:tc>
          <w:tcPr>
            <w:tcW w:w="800" w:type="dxa"/>
            <w:vAlign w:val="bottom"/>
          </w:tcPr>
          <w:p>
            <w:pPr>
              <w:jc w:val="center"/>
              <w:ind w:left="160"/>
              <w:spacing w:after="0"/>
              <w:rPr>
                <w:sz w:val="20"/>
                <w:szCs w:val="20"/>
                <w:color w:val="auto"/>
              </w:rPr>
            </w:pPr>
            <w:r>
              <w:rPr>
                <w:rFonts w:ascii="Arial" w:cs="Arial" w:eastAsia="Arial" w:hAnsi="Arial"/>
                <w:sz w:val="12"/>
                <w:szCs w:val="12"/>
                <w:color w:val="auto"/>
                <w:w w:val="99"/>
              </w:rPr>
              <w:t>26.9%</w:t>
            </w:r>
          </w:p>
        </w:tc>
        <w:tc>
          <w:tcPr>
            <w:tcW w:w="1320" w:type="dxa"/>
            <w:vAlign w:val="bottom"/>
            <w:tcBorders>
              <w:right w:val="single" w:sz="8" w:color="auto"/>
            </w:tcBorders>
          </w:tcPr>
          <w:p>
            <w:pPr>
              <w:jc w:val="center"/>
              <w:ind w:left="160"/>
              <w:spacing w:after="0"/>
              <w:rPr>
                <w:sz w:val="20"/>
                <w:szCs w:val="20"/>
                <w:color w:val="auto"/>
              </w:rPr>
            </w:pPr>
            <w:r>
              <w:rPr>
                <w:rFonts w:ascii="Arial" w:cs="Arial" w:eastAsia="Arial" w:hAnsi="Arial"/>
                <w:sz w:val="12"/>
                <w:szCs w:val="12"/>
                <w:color w:val="auto"/>
                <w:w w:val="99"/>
              </w:rPr>
              <w:t>36.1%</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914 bps</w:t>
            </w:r>
          </w:p>
        </w:tc>
      </w:tr>
      <w:tr>
        <w:trPr>
          <w:trHeight w:val="157"/>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Prima AFP</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50.7%</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51.4%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52.5%</w:t>
            </w:r>
          </w:p>
        </w:tc>
        <w:tc>
          <w:tcPr>
            <w:tcW w:w="76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color w:val="auto"/>
                <w:w w:val="98"/>
              </w:rPr>
              <w:t>111 bps</w:t>
            </w:r>
          </w:p>
        </w:tc>
        <w:tc>
          <w:tcPr>
            <w:tcW w:w="1360" w:type="dxa"/>
            <w:vAlign w:val="bottom"/>
            <w:tcBorders>
              <w:bottom w:val="single" w:sz="8" w:color="auto"/>
              <w:right w:val="single" w:sz="8" w:color="auto"/>
            </w:tcBorders>
          </w:tcPr>
          <w:p>
            <w:pPr>
              <w:jc w:val="center"/>
              <w:ind w:left="240"/>
              <w:spacing w:after="0"/>
              <w:rPr>
                <w:sz w:val="20"/>
                <w:szCs w:val="20"/>
                <w:color w:val="auto"/>
              </w:rPr>
            </w:pPr>
            <w:r>
              <w:rPr>
                <w:rFonts w:ascii="Arial" w:cs="Arial" w:eastAsia="Arial" w:hAnsi="Arial"/>
                <w:sz w:val="12"/>
                <w:szCs w:val="12"/>
                <w:color w:val="auto"/>
                <w:w w:val="98"/>
              </w:rPr>
              <w:t>176 bps</w:t>
            </w:r>
          </w:p>
        </w:tc>
        <w:tc>
          <w:tcPr>
            <w:tcW w:w="800" w:type="dxa"/>
            <w:vAlign w:val="bottom"/>
            <w:tcBorders>
              <w:bottom w:val="single" w:sz="8" w:color="auto"/>
            </w:tcBorders>
          </w:tcPr>
          <w:p>
            <w:pPr>
              <w:jc w:val="center"/>
              <w:ind w:left="160"/>
              <w:spacing w:after="0"/>
              <w:rPr>
                <w:sz w:val="20"/>
                <w:szCs w:val="20"/>
                <w:color w:val="auto"/>
              </w:rPr>
            </w:pPr>
            <w:r>
              <w:rPr>
                <w:rFonts w:ascii="Arial" w:cs="Arial" w:eastAsia="Arial" w:hAnsi="Arial"/>
                <w:sz w:val="12"/>
                <w:szCs w:val="12"/>
                <w:color w:val="auto"/>
                <w:w w:val="99"/>
              </w:rPr>
              <w:t>51.1%</w:t>
            </w:r>
          </w:p>
        </w:tc>
        <w:tc>
          <w:tcPr>
            <w:tcW w:w="1320" w:type="dxa"/>
            <w:vAlign w:val="bottom"/>
            <w:tcBorders>
              <w:bottom w:val="single" w:sz="8" w:color="auto"/>
              <w:right w:val="single" w:sz="8" w:color="auto"/>
            </w:tcBorders>
          </w:tcPr>
          <w:p>
            <w:pPr>
              <w:jc w:val="center"/>
              <w:ind w:left="160"/>
              <w:spacing w:after="0"/>
              <w:rPr>
                <w:sz w:val="20"/>
                <w:szCs w:val="20"/>
                <w:color w:val="auto"/>
              </w:rPr>
            </w:pPr>
            <w:r>
              <w:rPr>
                <w:rFonts w:ascii="Arial" w:cs="Arial" w:eastAsia="Arial" w:hAnsi="Arial"/>
                <w:sz w:val="12"/>
                <w:szCs w:val="12"/>
                <w:color w:val="auto"/>
                <w:w w:val="99"/>
              </w:rPr>
              <w:t>52.7%</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163 bps</w:t>
            </w:r>
          </w:p>
        </w:tc>
      </w:tr>
      <w:tr>
        <w:trPr>
          <w:trHeight w:val="148"/>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Credicorp</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44.4%</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44.9%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46.4%</w:t>
            </w:r>
          </w:p>
        </w:tc>
        <w:tc>
          <w:tcPr>
            <w:tcW w:w="76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b w:val="1"/>
                <w:bCs w:val="1"/>
                <w:color w:val="auto"/>
                <w:w w:val="98"/>
              </w:rPr>
              <w:t>145 bps</w:t>
            </w:r>
          </w:p>
        </w:tc>
        <w:tc>
          <w:tcPr>
            <w:tcW w:w="1360" w:type="dxa"/>
            <w:vAlign w:val="bottom"/>
            <w:tcBorders>
              <w:bottom w:val="single" w:sz="8" w:color="auto"/>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8"/>
              </w:rPr>
              <w:t>198 bps</w:t>
            </w:r>
          </w:p>
        </w:tc>
        <w:tc>
          <w:tcPr>
            <w:tcW w:w="800" w:type="dxa"/>
            <w:vAlign w:val="bottom"/>
            <w:tcBorders>
              <w:bottom w:val="single" w:sz="8" w:color="auto"/>
            </w:tcBorders>
          </w:tcPr>
          <w:p>
            <w:pPr>
              <w:jc w:val="center"/>
              <w:ind w:left="160"/>
              <w:spacing w:after="0"/>
              <w:rPr>
                <w:sz w:val="20"/>
                <w:szCs w:val="20"/>
                <w:color w:val="auto"/>
              </w:rPr>
            </w:pPr>
            <w:r>
              <w:rPr>
                <w:rFonts w:ascii="Arial" w:cs="Arial" w:eastAsia="Arial" w:hAnsi="Arial"/>
                <w:sz w:val="12"/>
                <w:szCs w:val="12"/>
                <w:b w:val="1"/>
                <w:bCs w:val="1"/>
                <w:color w:val="auto"/>
                <w:w w:val="99"/>
              </w:rPr>
              <w:t>43.8%</w:t>
            </w:r>
          </w:p>
        </w:tc>
        <w:tc>
          <w:tcPr>
            <w:tcW w:w="1320" w:type="dxa"/>
            <w:vAlign w:val="bottom"/>
            <w:tcBorders>
              <w:bottom w:val="single" w:sz="8" w:color="auto"/>
              <w:right w:val="single" w:sz="8" w:color="auto"/>
            </w:tcBorders>
          </w:tcPr>
          <w:p>
            <w:pPr>
              <w:jc w:val="center"/>
              <w:ind w:left="160"/>
              <w:spacing w:after="0"/>
              <w:rPr>
                <w:sz w:val="20"/>
                <w:szCs w:val="20"/>
                <w:color w:val="auto"/>
              </w:rPr>
            </w:pPr>
            <w:r>
              <w:rPr>
                <w:rFonts w:ascii="Arial" w:cs="Arial" w:eastAsia="Arial" w:hAnsi="Arial"/>
                <w:sz w:val="12"/>
                <w:szCs w:val="12"/>
                <w:b w:val="1"/>
                <w:bCs w:val="1"/>
                <w:color w:val="auto"/>
                <w:w w:val="99"/>
              </w:rPr>
              <w:t>45.7%</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187 bps</w:t>
            </w:r>
          </w:p>
        </w:tc>
      </w:tr>
    </w:tbl>
    <w:p>
      <w:pPr>
        <w:spacing w:after="0" w:line="168" w:lineRule="exact"/>
        <w:rPr>
          <w:sz w:val="20"/>
          <w:szCs w:val="20"/>
          <w:color w:val="auto"/>
        </w:rPr>
      </w:pPr>
    </w:p>
    <w:p>
      <w:pPr>
        <w:jc w:val="both"/>
        <w:ind w:firstLine="6"/>
        <w:spacing w:after="0" w:line="265" w:lineRule="auto"/>
        <w:tabs>
          <w:tab w:leader="none" w:pos="169" w:val="left"/>
        </w:tabs>
        <w:numPr>
          <w:ilvl w:val="0"/>
          <w:numId w:val="46"/>
        </w:numPr>
        <w:rPr>
          <w:rFonts w:ascii="Arial" w:cs="Arial" w:eastAsia="Arial" w:hAnsi="Arial"/>
          <w:sz w:val="11"/>
          <w:szCs w:val="11"/>
          <w:color w:val="auto"/>
        </w:rPr>
      </w:pPr>
      <w:r>
        <w:rPr>
          <w:rFonts w:ascii="Arial" w:cs="Arial" w:eastAsia="Arial" w:hAnsi="Arial"/>
          <w:sz w:val="11"/>
          <w:szCs w:val="11"/>
          <w:color w:val="auto"/>
        </w:rPr>
        <w:t>Operating expenses / Operating income (under IFRS 1). Operating expenses = Salaries and employee benefits + Administrative expenses + Depreciation and amortization + Association in participation + Acquisition cost. Operating income = Net interest, similar income, and expenses + Fee income + Net gain on foreign exchange transactions + Net gain from associates + Net gain on derivatives held for trading + Net gain from exchange differences + Insurance Underwriting Results + Results for Medical Services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Our analysis is based on YTD movements, which eliminates seasonal impacts between quarters.</w:t>
      </w:r>
    </w:p>
    <w:p>
      <w:pPr>
        <w:spacing w:after="0" w:line="176"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The efficiency ratio evolved as anticipated and remains within the guidance range. The efficiency ratio increased by 187 bps, driven primarily by an increase in expenses for (i) core business at BCP, which rose on the back of higher expenses for Salaries and Employee Benefits, Administrative Expenses, and (ii) initiatives in the innovation portfolio at the Credicorp level. It is important to note that expansion in Operating Income has accompanied growth in Operating Expenses.</w:t>
      </w:r>
    </w:p>
    <w:p>
      <w:pPr>
        <w:spacing w:after="0" w:line="152"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It is important to note that as of 1Q25, a change was implemented in the calculation of the efficiency ratio. Specifically, within Operating Income, expenses for credit card loyalty programs are netted in the Fee Income line instead of the General and Administrative Expenses line, as was the case prior to 1Q25.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650875</wp:posOffset>
            </wp:positionV>
            <wp:extent cx="670750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94615</wp:posOffset>
            </wp:positionV>
            <wp:extent cx="5998845" cy="4648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98845" cy="464820"/>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sectPr>
      </w:pPr>
    </w:p>
    <w:bookmarkStart w:id="43" w:name="page44"/>
    <w:bookmarkEnd w:id="43"/>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10  </w:t>
      </w:r>
      <w:r>
        <w:rPr>
          <w:rFonts w:ascii="Arial" w:cs="Arial" w:eastAsia="Arial" w:hAnsi="Arial"/>
          <w:sz w:val="28"/>
          <w:szCs w:val="28"/>
          <w:color w:val="E93B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6707505" cy="9753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07505" cy="975360"/>
                    </a:xfrm>
                    <a:prstGeom prst="rect">
                      <a:avLst/>
                    </a:prstGeom>
                    <a:noFill/>
                  </pic:spPr>
                </pic:pic>
              </a:graphicData>
            </a:graphic>
          </wp:anchor>
        </w:drawing>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FFFFFF"/>
        </w:rPr>
        <w:t>At the end of 3Q25, the regulatory capital ratio stood at 134%, which was above the minimum required.</w:t>
      </w:r>
    </w:p>
    <w:p>
      <w:pPr>
        <w:spacing w:after="0" w:line="176" w:lineRule="exact"/>
        <w:rPr>
          <w:sz w:val="20"/>
          <w:szCs w:val="20"/>
          <w:color w:val="auto"/>
        </w:rPr>
      </w:pPr>
    </w:p>
    <w:p>
      <w:pPr>
        <w:jc w:val="both"/>
        <w:ind w:left="200" w:right="200"/>
        <w:spacing w:after="0" w:line="248" w:lineRule="auto"/>
        <w:rPr>
          <w:sz w:val="20"/>
          <w:szCs w:val="20"/>
          <w:color w:val="auto"/>
        </w:rPr>
      </w:pPr>
      <w:r>
        <w:rPr>
          <w:rFonts w:ascii="Arial" w:cs="Arial" w:eastAsia="Arial" w:hAnsi="Arial"/>
          <w:sz w:val="16"/>
          <w:szCs w:val="16"/>
          <w:color w:val="FFFFFF"/>
        </w:rPr>
        <w:t>BCP Stand-alone’s IFRS CET1 dropped 25 bps YoY, situating at 13.17%, which was above our internal appetite of 11%. This reduction was driven by growth in RWAs for credit risk, which rose alongside portfolio growth, and was partially offset by an increase in Retained Earnings, which ticked up alongside business growth.</w:t>
      </w:r>
    </w:p>
    <w:p>
      <w:pPr>
        <w:spacing w:after="0" w:line="150" w:lineRule="exact"/>
        <w:rPr>
          <w:sz w:val="20"/>
          <w:szCs w:val="20"/>
          <w:color w:val="auto"/>
        </w:rPr>
      </w:pPr>
    </w:p>
    <w:p>
      <w:pPr>
        <w:jc w:val="both"/>
        <w:ind w:left="200" w:right="220"/>
        <w:spacing w:after="0" w:line="262" w:lineRule="auto"/>
        <w:rPr>
          <w:sz w:val="20"/>
          <w:szCs w:val="20"/>
          <w:color w:val="auto"/>
        </w:rPr>
      </w:pPr>
      <w:r>
        <w:rPr>
          <w:rFonts w:ascii="Arial" w:cs="Arial" w:eastAsia="Arial" w:hAnsi="Arial"/>
          <w:sz w:val="16"/>
          <w:szCs w:val="16"/>
          <w:color w:val="FFFFFF"/>
        </w:rPr>
        <w:t>The Mibanco IFRS CET1 ratio dropped 121bps YoY to stand at 17.14%. This level stood above our internal appetite of 15% and was driven by growth in RWAs, which rose hand-in-hand with loan portfolio growth, and by a reduction in Retained Earnings following dividend payments.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 Regulatory Capital at Credicorp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Analysis of the Financial Group</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At the end of 3Q25, Credicorp’s Regulatory Capital Ratio stood 134%</w:t>
      </w:r>
    </w:p>
    <w:p>
      <w:pPr>
        <w:ind w:right="1600"/>
        <w:spacing w:after="0" w:line="183" w:lineRule="auto"/>
        <w:rPr>
          <w:sz w:val="20"/>
          <w:szCs w:val="20"/>
          <w:color w:val="auto"/>
        </w:rPr>
      </w:pPr>
      <w:r>
        <w:rPr>
          <w:rFonts w:ascii="Arial" w:cs="Arial" w:eastAsia="Arial" w:hAnsi="Arial"/>
          <w:sz w:val="16"/>
          <w:szCs w:val="16"/>
          <w:color w:val="auto"/>
        </w:rPr>
        <w:t xml:space="preserve">above the regulatory minimum. This attests to the Group’s financial </w:t>
      </w:r>
      <w:r>
        <w:rPr>
          <w:rFonts w:ascii="Arial" w:cs="Arial" w:eastAsia="Arial" w:hAnsi="Arial"/>
          <w:sz w:val="33"/>
          <w:szCs w:val="33"/>
          <w:b w:val="1"/>
          <w:bCs w:val="1"/>
          <w:color w:val="auto"/>
          <w:vertAlign w:val="superscript"/>
        </w:rPr>
        <w:t>Capital Coverage Ratios</w:t>
      </w:r>
      <w:r>
        <w:rPr>
          <w:rFonts w:ascii="Arial" w:cs="Arial" w:eastAsia="Arial" w:hAnsi="Arial"/>
          <w:sz w:val="16"/>
          <w:szCs w:val="16"/>
          <w:color w:val="auto"/>
        </w:rPr>
        <w:t xml:space="preserve"> solidity and stability. The ratio decreased 39 bps QoQ due to an uptick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3670300</wp:posOffset>
            </wp:positionH>
            <wp:positionV relativeFrom="paragraph">
              <wp:posOffset>-45720</wp:posOffset>
            </wp:positionV>
            <wp:extent cx="2873375" cy="12807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73375" cy="1280795"/>
                    </a:xfrm>
                    <a:prstGeom prst="rect">
                      <a:avLst/>
                    </a:prstGeom>
                    <a:noFill/>
                  </pic:spPr>
                </pic:pic>
              </a:graphicData>
            </a:graphic>
          </wp:anchor>
        </w:drawing>
      </w:r>
    </w:p>
    <w:p>
      <w:pPr>
        <w:jc w:val="both"/>
        <w:ind w:right="5500"/>
        <w:spacing w:after="0" w:line="236" w:lineRule="auto"/>
        <w:rPr>
          <w:sz w:val="20"/>
          <w:szCs w:val="20"/>
          <w:color w:val="auto"/>
        </w:rPr>
      </w:pPr>
      <w:r>
        <w:rPr>
          <w:rFonts w:ascii="Arial" w:cs="Arial" w:eastAsia="Arial" w:hAnsi="Arial"/>
          <w:sz w:val="16"/>
          <w:szCs w:val="16"/>
          <w:color w:val="auto"/>
        </w:rPr>
        <w:t xml:space="preserve">capital requirements due to the expansion of BCP and Mibanco’s portfolio. This reduction was offset mainly by an increase in Retained Earnings, which was driven by business growth and by a lesser extent, b y higher Unrealized Gains driven by a revaluation of portfolio due to lower rates. </w:t>
      </w:r>
      <w:r>
        <w:rPr>
          <w:rFonts w:ascii="Arial" w:cs="Arial" w:eastAsia="Arial" w:hAnsi="Arial"/>
          <w:sz w:val="16"/>
          <w:szCs w:val="16"/>
          <w:b w:val="1"/>
          <w:bCs w:val="1"/>
          <w:color w:val="auto"/>
        </w:rPr>
        <w:t>YoY,</w:t>
      </w:r>
      <w:r>
        <w:rPr>
          <w:rFonts w:ascii="Arial" w:cs="Arial" w:eastAsia="Arial" w:hAnsi="Arial"/>
          <w:sz w:val="16"/>
          <w:szCs w:val="16"/>
          <w:color w:val="auto"/>
        </w:rPr>
        <w:t xml:space="preserve"> the ratio fell 902bps, impacted by an increase in capital requirements due to the same dynamics seen </w:t>
      </w:r>
      <w:r>
        <w:rPr>
          <w:rFonts w:ascii="Arial" w:cs="Arial" w:eastAsia="Arial" w:hAnsi="Arial"/>
          <w:sz w:val="16"/>
          <w:szCs w:val="16"/>
          <w:b w:val="1"/>
          <w:bCs w:val="1"/>
          <w:color w:val="auto"/>
        </w:rPr>
        <w:t>QoQ</w:t>
      </w:r>
      <w:r>
        <w:rPr>
          <w:rFonts w:ascii="Arial" w:cs="Arial" w:eastAsia="Arial" w:hAnsi="Arial"/>
          <w:sz w:val="16"/>
          <w:szCs w:val="16"/>
          <w:color w:val="auto"/>
        </w:rPr>
        <w:t xml:space="preserve"> and a decrease in Subordinated Debt. This reduction was offset by a rise in Retained Earnings, which was driven by the same dynamics that drove the </w:t>
      </w:r>
      <w:r>
        <w:rPr>
          <w:rFonts w:ascii="Arial" w:cs="Arial" w:eastAsia="Arial" w:hAnsi="Arial"/>
          <w:sz w:val="16"/>
          <w:szCs w:val="16"/>
          <w:b w:val="1"/>
          <w:bCs w:val="1"/>
          <w:color w:val="auto"/>
        </w:rPr>
        <w:t>QoQ</w:t>
      </w:r>
      <w:r>
        <w:rPr>
          <w:rFonts w:ascii="Arial" w:cs="Arial" w:eastAsia="Arial" w:hAnsi="Arial"/>
          <w:sz w:val="16"/>
          <w:szCs w:val="16"/>
          <w:color w:val="auto"/>
        </w:rPr>
        <w:t xml:space="preserve"> result and a higher Reserves for profit sharing in 2024.</w:t>
      </w:r>
    </w:p>
    <w:p>
      <w:pPr>
        <w:spacing w:after="0" w:line="200" w:lineRule="exact"/>
        <w:rPr>
          <w:sz w:val="20"/>
          <w:szCs w:val="20"/>
          <w:color w:val="auto"/>
        </w:rPr>
      </w:pPr>
    </w:p>
    <w:p>
      <w:pPr>
        <w:spacing w:after="0" w:line="270"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The Regulatory Tier 1 Ratio stood at 171% (+203bps QoQ, -803 bps YoY), while the CET1 ratio was situated at 207% (+284bps QoQ, -1238bps YoY), both above the regulatory minimum. Growth in both ratios was driven by the same dynamics that fueled the Regulatory Capital Ratio, with the exception of Subordinated Debt, which had no impact on either the Regulatory Tier 1 or CET1 ratios.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20"/>
                <w:szCs w:val="20"/>
                <w:color w:val="auto"/>
              </w:rPr>
            </w:pPr>
            <w:r>
              <w:rPr>
                <w:rFonts w:ascii="Arial" w:cs="Arial" w:eastAsia="Arial" w:hAnsi="Arial"/>
                <w:sz w:val="16"/>
                <w:szCs w:val="16"/>
                <w:b w:val="1"/>
                <w:bCs w:val="1"/>
                <w:color w:val="auto"/>
              </w:rPr>
              <w:t>10.2 Analysis of Capital at BCP Stand-alone</w:t>
            </w:r>
          </w:p>
        </w:tc>
        <w:tc>
          <w:tcPr>
            <w:tcW w:w="6200" w:type="dxa"/>
            <w:vAlign w:val="bottom"/>
            <w:gridSpan w:val="2"/>
          </w:tcPr>
          <w:p>
            <w:pPr>
              <w:ind w:left="1120"/>
              <w:spacing w:after="0"/>
              <w:rPr>
                <w:sz w:val="20"/>
                <w:szCs w:val="20"/>
                <w:color w:val="auto"/>
              </w:rPr>
            </w:pPr>
            <w:r>
              <w:rPr>
                <w:rFonts w:ascii="Arial" w:cs="Arial" w:eastAsia="Arial" w:hAnsi="Arial"/>
                <w:sz w:val="16"/>
                <w:szCs w:val="16"/>
                <w:color w:val="auto"/>
                <w:w w:val="99"/>
              </w:rPr>
              <w:t xml:space="preserve">The IFRS CET 1 ratio at </w:t>
            </w:r>
            <w:r>
              <w:rPr>
                <w:rFonts w:ascii="Arial" w:cs="Arial" w:eastAsia="Arial" w:hAnsi="Arial"/>
                <w:sz w:val="16"/>
                <w:szCs w:val="16"/>
                <w:b w:val="1"/>
                <w:bCs w:val="1"/>
                <w:color w:val="auto"/>
                <w:w w:val="99"/>
              </w:rPr>
              <w:t>BCP Stand-alone</w:t>
            </w:r>
            <w:r>
              <w:rPr>
                <w:rFonts w:ascii="Arial" w:cs="Arial" w:eastAsia="Arial" w:hAnsi="Arial"/>
                <w:sz w:val="16"/>
                <w:szCs w:val="16"/>
                <w:color w:val="auto"/>
                <w:w w:val="99"/>
              </w:rPr>
              <w:t xml:space="preserve"> rose 61bps </w:t>
            </w:r>
            <w:r>
              <w:rPr>
                <w:rFonts w:ascii="Arial" w:cs="Arial" w:eastAsia="Arial" w:hAnsi="Arial"/>
                <w:sz w:val="16"/>
                <w:szCs w:val="16"/>
                <w:b w:val="1"/>
                <w:bCs w:val="1"/>
                <w:color w:val="auto"/>
                <w:w w:val="99"/>
              </w:rPr>
              <w:t>QoQ</w:t>
            </w:r>
            <w:r>
              <w:rPr>
                <w:rFonts w:ascii="Arial" w:cs="Arial" w:eastAsia="Arial" w:hAnsi="Arial"/>
                <w:sz w:val="16"/>
                <w:szCs w:val="16"/>
                <w:color w:val="auto"/>
                <w:w w:val="99"/>
              </w:rPr>
              <w:t xml:space="preserve"> to stand at</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1120"/>
              <w:spacing w:after="0" w:line="180" w:lineRule="exact"/>
              <w:rPr>
                <w:sz w:val="20"/>
                <w:szCs w:val="20"/>
                <w:color w:val="auto"/>
              </w:rPr>
            </w:pPr>
            <w:r>
              <w:rPr>
                <w:rFonts w:ascii="Arial" w:cs="Arial" w:eastAsia="Arial" w:hAnsi="Arial"/>
                <w:sz w:val="16"/>
                <w:szCs w:val="16"/>
                <w:color w:val="auto"/>
              </w:rPr>
              <w:t>13.17% at the end of 3Q25. This level, which is above our internal</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1120"/>
              <w:spacing w:after="0" w:line="180" w:lineRule="exact"/>
              <w:rPr>
                <w:sz w:val="20"/>
                <w:szCs w:val="20"/>
                <w:color w:val="auto"/>
              </w:rPr>
            </w:pPr>
            <w:r>
              <w:rPr>
                <w:rFonts w:ascii="Arial" w:cs="Arial" w:eastAsia="Arial" w:hAnsi="Arial"/>
                <w:sz w:val="16"/>
                <w:szCs w:val="16"/>
                <w:color w:val="auto"/>
                <w:w w:val="99"/>
              </w:rPr>
              <w:t>appetite of 11%, was driven by an increase in Retained Earnings, which</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1120"/>
              <w:spacing w:after="0" w:line="180" w:lineRule="exact"/>
              <w:rPr>
                <w:sz w:val="20"/>
                <w:szCs w:val="20"/>
                <w:color w:val="auto"/>
              </w:rPr>
            </w:pPr>
            <w:r>
              <w:rPr>
                <w:rFonts w:ascii="Arial" w:cs="Arial" w:eastAsia="Arial" w:hAnsi="Arial"/>
                <w:sz w:val="16"/>
                <w:szCs w:val="16"/>
                <w:color w:val="auto"/>
              </w:rPr>
              <w:t>rose hand-in-hand  with  business  growth. The  increase  reported  for</w:t>
            </w:r>
          </w:p>
        </w:tc>
      </w:tr>
      <w:tr>
        <w:trPr>
          <w:trHeight w:val="178"/>
        </w:trPr>
        <w:tc>
          <w:tcPr>
            <w:tcW w:w="4380" w:type="dxa"/>
            <w:vAlign w:val="bottom"/>
          </w:tcPr>
          <w:p>
            <w:pPr>
              <w:spacing w:after="0"/>
              <w:rPr>
                <w:sz w:val="15"/>
                <w:szCs w:val="15"/>
                <w:color w:val="auto"/>
              </w:rPr>
            </w:pPr>
          </w:p>
        </w:tc>
        <w:tc>
          <w:tcPr>
            <w:tcW w:w="6200" w:type="dxa"/>
            <w:vAlign w:val="bottom"/>
            <w:gridSpan w:val="2"/>
          </w:tcPr>
          <w:p>
            <w:pPr>
              <w:ind w:left="1120"/>
              <w:spacing w:after="0" w:line="178" w:lineRule="exact"/>
              <w:rPr>
                <w:sz w:val="20"/>
                <w:szCs w:val="20"/>
                <w:color w:val="auto"/>
              </w:rPr>
            </w:pPr>
            <w:r>
              <w:rPr>
                <w:rFonts w:ascii="Arial" w:cs="Arial" w:eastAsia="Arial" w:hAnsi="Arial"/>
                <w:sz w:val="16"/>
                <w:szCs w:val="16"/>
                <w:color w:val="auto"/>
              </w:rPr>
              <w:t>RWAs partially offset this rise and reflected an uptick in the balance</w:t>
            </w:r>
          </w:p>
        </w:tc>
      </w:tr>
      <w:tr>
        <w:trPr>
          <w:trHeight w:val="182"/>
        </w:trPr>
        <w:tc>
          <w:tcPr>
            <w:tcW w:w="4380" w:type="dxa"/>
            <w:vAlign w:val="bottom"/>
          </w:tcPr>
          <w:p>
            <w:pPr>
              <w:spacing w:after="0"/>
              <w:rPr>
                <w:sz w:val="15"/>
                <w:szCs w:val="15"/>
                <w:color w:val="auto"/>
              </w:rPr>
            </w:pPr>
          </w:p>
        </w:tc>
        <w:tc>
          <w:tcPr>
            <w:tcW w:w="6200" w:type="dxa"/>
            <w:vAlign w:val="bottom"/>
            <w:gridSpan w:val="2"/>
          </w:tcPr>
          <w:p>
            <w:pPr>
              <w:ind w:left="1120"/>
              <w:spacing w:after="0" w:line="182" w:lineRule="exact"/>
              <w:rPr>
                <w:sz w:val="20"/>
                <w:szCs w:val="20"/>
                <w:color w:val="auto"/>
              </w:rPr>
            </w:pPr>
            <w:r>
              <w:rPr>
                <w:rFonts w:ascii="Arial" w:cs="Arial" w:eastAsia="Arial" w:hAnsi="Arial"/>
                <w:sz w:val="16"/>
                <w:szCs w:val="16"/>
                <w:color w:val="auto"/>
              </w:rPr>
              <w:t xml:space="preserve">through expansion in the retail portfolio. </w:t>
            </w:r>
            <w:r>
              <w:rPr>
                <w:rFonts w:ascii="Arial" w:cs="Arial" w:eastAsia="Arial" w:hAnsi="Arial"/>
                <w:sz w:val="16"/>
                <w:szCs w:val="16"/>
                <w:b w:val="1"/>
                <w:bCs w:val="1"/>
                <w:color w:val="auto"/>
              </w:rPr>
              <w:t>YoY</w:t>
            </w:r>
            <w:r>
              <w:rPr>
                <w:rFonts w:ascii="Arial" w:cs="Arial" w:eastAsia="Arial" w:hAnsi="Arial"/>
                <w:sz w:val="16"/>
                <w:szCs w:val="16"/>
                <w:color w:val="auto"/>
              </w:rPr>
              <w:t>, the ratio dropped 25bps,</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1120"/>
              <w:spacing w:after="0" w:line="180" w:lineRule="exact"/>
              <w:rPr>
                <w:sz w:val="20"/>
                <w:szCs w:val="20"/>
                <w:color w:val="auto"/>
              </w:rPr>
            </w:pPr>
            <w:r>
              <w:rPr>
                <w:rFonts w:ascii="Arial" w:cs="Arial" w:eastAsia="Arial" w:hAnsi="Arial"/>
                <w:sz w:val="16"/>
                <w:szCs w:val="16"/>
                <w:color w:val="auto"/>
              </w:rPr>
              <w:t>fueled mainly by an increase in RWA for credit risk in particular. This</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1120"/>
              <w:spacing w:after="0" w:line="180" w:lineRule="exact"/>
              <w:rPr>
                <w:sz w:val="20"/>
                <w:szCs w:val="20"/>
                <w:color w:val="auto"/>
              </w:rPr>
            </w:pPr>
            <w:r>
              <w:rPr>
                <w:rFonts w:ascii="Arial" w:cs="Arial" w:eastAsia="Arial" w:hAnsi="Arial"/>
                <w:sz w:val="16"/>
                <w:szCs w:val="16"/>
                <w:color w:val="auto"/>
                <w:w w:val="98"/>
              </w:rPr>
              <w:t>reduction was offset by growth in Retained Earnings, which increased on</w:t>
            </w:r>
          </w:p>
        </w:tc>
      </w:tr>
      <w:tr>
        <w:trPr>
          <w:trHeight w:val="205"/>
        </w:trPr>
        <w:tc>
          <w:tcPr>
            <w:tcW w:w="4380" w:type="dxa"/>
            <w:vAlign w:val="bottom"/>
          </w:tcPr>
          <w:p>
            <w:pPr>
              <w:spacing w:after="0"/>
              <w:rPr>
                <w:sz w:val="17"/>
                <w:szCs w:val="17"/>
                <w:color w:val="auto"/>
              </w:rPr>
            </w:pPr>
          </w:p>
        </w:tc>
        <w:tc>
          <w:tcPr>
            <w:tcW w:w="6200" w:type="dxa"/>
            <w:vAlign w:val="bottom"/>
            <w:gridSpan w:val="2"/>
          </w:tcPr>
          <w:p>
            <w:pPr>
              <w:ind w:left="1120"/>
              <w:spacing w:after="0"/>
              <w:rPr>
                <w:sz w:val="20"/>
                <w:szCs w:val="20"/>
                <w:color w:val="auto"/>
              </w:rPr>
            </w:pPr>
            <w:r>
              <w:rPr>
                <w:rFonts w:ascii="Arial" w:cs="Arial" w:eastAsia="Arial" w:hAnsi="Arial"/>
                <w:sz w:val="16"/>
                <w:szCs w:val="16"/>
                <w:color w:val="auto"/>
              </w:rPr>
              <w:t>the back of the same dynamics that spurred growth QoQ.</w:t>
            </w:r>
          </w:p>
        </w:tc>
      </w:tr>
      <w:tr>
        <w:trPr>
          <w:trHeight w:val="323"/>
        </w:trPr>
        <w:tc>
          <w:tcPr>
            <w:tcW w:w="4380" w:type="dxa"/>
            <w:vAlign w:val="bottom"/>
          </w:tcPr>
          <w:p>
            <w:pPr>
              <w:spacing w:after="0"/>
              <w:rPr>
                <w:sz w:val="24"/>
                <w:szCs w:val="24"/>
                <w:color w:val="auto"/>
              </w:rPr>
            </w:pPr>
          </w:p>
        </w:tc>
        <w:tc>
          <w:tcPr>
            <w:tcW w:w="6200" w:type="dxa"/>
            <w:vAlign w:val="bottom"/>
            <w:gridSpan w:val="2"/>
          </w:tcPr>
          <w:p>
            <w:pPr>
              <w:ind w:left="1120"/>
              <w:spacing w:after="0"/>
              <w:rPr>
                <w:sz w:val="20"/>
                <w:szCs w:val="20"/>
                <w:color w:val="auto"/>
              </w:rPr>
            </w:pPr>
            <w:r>
              <w:rPr>
                <w:rFonts w:ascii="Arial" w:cs="Arial" w:eastAsia="Arial" w:hAnsi="Arial"/>
                <w:sz w:val="16"/>
                <w:szCs w:val="16"/>
                <w:color w:val="auto"/>
              </w:rPr>
              <w:t>Finally, under local regulatory parameters, the local CET1 ratio stood at</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1120"/>
              <w:spacing w:after="0" w:line="180" w:lineRule="exact"/>
              <w:rPr>
                <w:sz w:val="20"/>
                <w:szCs w:val="20"/>
                <w:color w:val="auto"/>
              </w:rPr>
            </w:pPr>
            <w:r>
              <w:rPr>
                <w:rFonts w:ascii="Arial" w:cs="Arial" w:eastAsia="Arial" w:hAnsi="Arial"/>
                <w:sz w:val="16"/>
                <w:szCs w:val="16"/>
                <w:color w:val="auto"/>
              </w:rPr>
              <w:t>12.82%, which compares favorable with the minimum requirement of</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1120"/>
              <w:spacing w:after="0" w:line="180" w:lineRule="exact"/>
              <w:rPr>
                <w:sz w:val="20"/>
                <w:szCs w:val="20"/>
                <w:color w:val="auto"/>
              </w:rPr>
            </w:pPr>
            <w:r>
              <w:rPr>
                <w:rFonts w:ascii="Arial" w:cs="Arial" w:eastAsia="Arial" w:hAnsi="Arial"/>
                <w:sz w:val="16"/>
                <w:szCs w:val="16"/>
                <w:color w:val="auto"/>
              </w:rPr>
              <w:t>7.75% in place at the end of September 2025. The Regulatory Capital</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1120"/>
              <w:spacing w:after="0" w:line="180" w:lineRule="exact"/>
              <w:rPr>
                <w:sz w:val="20"/>
                <w:szCs w:val="20"/>
                <w:color w:val="auto"/>
              </w:rPr>
            </w:pPr>
            <w:r>
              <w:rPr>
                <w:rFonts w:ascii="Arial" w:cs="Arial" w:eastAsia="Arial" w:hAnsi="Arial"/>
                <w:sz w:val="16"/>
                <w:szCs w:val="16"/>
                <w:color w:val="auto"/>
                <w:w w:val="99"/>
              </w:rPr>
              <w:t>Ratio stood at 17.72% (+38bps QoQ); this ratio is above the minimum of</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1120"/>
              <w:spacing w:after="0" w:line="180" w:lineRule="exact"/>
              <w:rPr>
                <w:sz w:val="20"/>
                <w:szCs w:val="20"/>
                <w:color w:val="auto"/>
              </w:rPr>
            </w:pPr>
            <w:r>
              <w:rPr>
                <w:rFonts w:ascii="Arial" w:cs="Arial" w:eastAsia="Arial" w:hAnsi="Arial"/>
                <w:sz w:val="16"/>
                <w:szCs w:val="16"/>
                <w:color w:val="auto"/>
              </w:rPr>
              <w:t>14.37% required by the regulatory entity at the end of September 2025.</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1120"/>
              <w:spacing w:after="0" w:line="180" w:lineRule="exact"/>
              <w:rPr>
                <w:sz w:val="20"/>
                <w:szCs w:val="20"/>
                <w:color w:val="auto"/>
              </w:rPr>
            </w:pPr>
            <w:r>
              <w:rPr>
                <w:rFonts w:ascii="Arial" w:cs="Arial" w:eastAsia="Arial" w:hAnsi="Arial"/>
                <w:sz w:val="16"/>
                <w:szCs w:val="16"/>
                <w:color w:val="auto"/>
                <w:w w:val="97"/>
              </w:rPr>
              <w:t>QoQ and YoY, variations in the local CET1 ratio were driven by the same</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1120"/>
              <w:spacing w:after="0" w:line="180" w:lineRule="exact"/>
              <w:rPr>
                <w:sz w:val="20"/>
                <w:szCs w:val="20"/>
                <w:color w:val="auto"/>
              </w:rPr>
            </w:pPr>
            <w:r>
              <w:rPr>
                <w:rFonts w:ascii="Arial" w:cs="Arial" w:eastAsia="Arial" w:hAnsi="Arial"/>
                <w:sz w:val="16"/>
                <w:szCs w:val="16"/>
                <w:color w:val="auto"/>
              </w:rPr>
              <w:t>dynamics that drove the evolution of IFRS CET1, while changes in the</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1120"/>
              <w:spacing w:after="0" w:line="180" w:lineRule="exact"/>
              <w:rPr>
                <w:sz w:val="20"/>
                <w:szCs w:val="20"/>
                <w:color w:val="auto"/>
              </w:rPr>
            </w:pPr>
            <w:r>
              <w:rPr>
                <w:rFonts w:ascii="Arial" w:cs="Arial" w:eastAsia="Arial" w:hAnsi="Arial"/>
                <w:sz w:val="16"/>
                <w:szCs w:val="16"/>
                <w:color w:val="auto"/>
              </w:rPr>
              <w:t>Regulatory Capital Ratio were propelled by the same drivers of IFRS</w:t>
            </w:r>
          </w:p>
        </w:tc>
      </w:tr>
      <w:tr>
        <w:trPr>
          <w:trHeight w:val="205"/>
        </w:trPr>
        <w:tc>
          <w:tcPr>
            <w:tcW w:w="4380" w:type="dxa"/>
            <w:vAlign w:val="bottom"/>
          </w:tcPr>
          <w:p>
            <w:pPr>
              <w:spacing w:after="0"/>
              <w:rPr>
                <w:sz w:val="17"/>
                <w:szCs w:val="17"/>
                <w:color w:val="auto"/>
              </w:rPr>
            </w:pPr>
          </w:p>
        </w:tc>
        <w:tc>
          <w:tcPr>
            <w:tcW w:w="6200" w:type="dxa"/>
            <w:vAlign w:val="bottom"/>
            <w:gridSpan w:val="2"/>
          </w:tcPr>
          <w:p>
            <w:pPr>
              <w:ind w:left="1120"/>
              <w:spacing w:after="0"/>
              <w:rPr>
                <w:sz w:val="20"/>
                <w:szCs w:val="20"/>
                <w:color w:val="auto"/>
              </w:rPr>
            </w:pPr>
            <w:r>
              <w:rPr>
                <w:rFonts w:ascii="Arial" w:cs="Arial" w:eastAsia="Arial" w:hAnsi="Arial"/>
                <w:sz w:val="16"/>
                <w:szCs w:val="16"/>
                <w:color w:val="auto"/>
              </w:rPr>
              <w:t>CET1 in both periods and by a drop in subordinated debt.</w:t>
            </w:r>
          </w:p>
        </w:tc>
      </w:tr>
      <w:tr>
        <w:trPr>
          <w:trHeight w:val="806"/>
        </w:trPr>
        <w:tc>
          <w:tcPr>
            <w:tcW w:w="43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-2476500</wp:posOffset>
            </wp:positionV>
            <wp:extent cx="2157095" cy="14865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7095" cy="1486535"/>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-532765</wp:posOffset>
            </wp:positionV>
            <wp:extent cx="5846445" cy="4267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46445" cy="426720"/>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sectPr>
      </w:pPr>
    </w:p>
    <w:bookmarkStart w:id="44" w:name="page45"/>
    <w:bookmarkEnd w:id="44"/>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FFFFFF"/>
        </w:rPr>
        <w:t>10. Regulatory Capital</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6"/>
                <w:szCs w:val="16"/>
                <w:b w:val="1"/>
                <w:bCs w:val="1"/>
                <w:color w:val="auto"/>
              </w:rPr>
              <w:t>10.3 Analysis of Capital at Mibanco</w:t>
            </w:r>
          </w:p>
        </w:tc>
        <w:tc>
          <w:tcPr>
            <w:tcW w:w="6520" w:type="dxa"/>
            <w:vAlign w:val="bottom"/>
            <w:gridSpan w:val="2"/>
          </w:tcPr>
          <w:p>
            <w:pPr>
              <w:ind w:left="1440"/>
              <w:spacing w:after="0"/>
              <w:rPr>
                <w:sz w:val="20"/>
                <w:szCs w:val="20"/>
                <w:color w:val="auto"/>
              </w:rPr>
            </w:pPr>
            <w:r>
              <w:rPr>
                <w:rFonts w:ascii="Arial" w:cs="Arial" w:eastAsia="Arial" w:hAnsi="Arial"/>
                <w:sz w:val="16"/>
                <w:szCs w:val="16"/>
                <w:color w:val="auto"/>
              </w:rPr>
              <w:t xml:space="preserve">At the end of 3Q25, the IFRS CET 1 ratio at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stood at 17.14%</w:t>
            </w:r>
          </w:p>
        </w:tc>
      </w:tr>
      <w:tr>
        <w:trPr>
          <w:trHeight w:val="182"/>
        </w:trPr>
        <w:tc>
          <w:tcPr>
            <w:tcW w:w="4060" w:type="dxa"/>
            <w:vAlign w:val="bottom"/>
          </w:tcPr>
          <w:p>
            <w:pPr>
              <w:spacing w:after="0"/>
              <w:rPr>
                <w:sz w:val="15"/>
                <w:szCs w:val="15"/>
                <w:color w:val="auto"/>
              </w:rPr>
            </w:pPr>
          </w:p>
        </w:tc>
        <w:tc>
          <w:tcPr>
            <w:tcW w:w="6520" w:type="dxa"/>
            <w:vAlign w:val="bottom"/>
            <w:gridSpan w:val="2"/>
          </w:tcPr>
          <w:p>
            <w:pPr>
              <w:ind w:left="1440"/>
              <w:spacing w:after="0" w:line="182" w:lineRule="exact"/>
              <w:rPr>
                <w:sz w:val="20"/>
                <w:szCs w:val="20"/>
                <w:color w:val="auto"/>
              </w:rPr>
            </w:pPr>
            <w:r>
              <w:rPr>
                <w:rFonts w:ascii="Arial" w:cs="Arial" w:eastAsia="Arial" w:hAnsi="Arial"/>
                <w:sz w:val="16"/>
                <w:szCs w:val="16"/>
                <w:color w:val="auto"/>
                <w:w w:val="99"/>
              </w:rPr>
              <w:t xml:space="preserve">(+42bps QoQ), which was above our internal appetite of 15%. </w:t>
            </w:r>
            <w:r>
              <w:rPr>
                <w:rFonts w:ascii="Arial" w:cs="Arial" w:eastAsia="Arial" w:hAnsi="Arial"/>
                <w:sz w:val="16"/>
                <w:szCs w:val="16"/>
                <w:b w:val="1"/>
                <w:bCs w:val="1"/>
                <w:color w:val="auto"/>
                <w:w w:val="99"/>
              </w:rPr>
              <w:t>QoQ</w:t>
            </w:r>
            <w:r>
              <w:rPr>
                <w:rFonts w:ascii="Arial" w:cs="Arial" w:eastAsia="Arial" w:hAnsi="Arial"/>
                <w:sz w:val="16"/>
                <w:szCs w:val="16"/>
                <w:color w:val="auto"/>
                <w:w w:val="99"/>
              </w:rPr>
              <w:t>, the</w:t>
            </w:r>
          </w:p>
        </w:tc>
      </w:tr>
      <w:tr>
        <w:trPr>
          <w:trHeight w:val="180"/>
        </w:trPr>
        <w:tc>
          <w:tcPr>
            <w:tcW w:w="4060" w:type="dxa"/>
            <w:vAlign w:val="bottom"/>
          </w:tcPr>
          <w:p>
            <w:pPr>
              <w:spacing w:after="0"/>
              <w:rPr>
                <w:sz w:val="15"/>
                <w:szCs w:val="15"/>
                <w:color w:val="auto"/>
              </w:rPr>
            </w:pPr>
          </w:p>
        </w:tc>
        <w:tc>
          <w:tcPr>
            <w:tcW w:w="6520" w:type="dxa"/>
            <w:vAlign w:val="bottom"/>
            <w:gridSpan w:val="2"/>
          </w:tcPr>
          <w:p>
            <w:pPr>
              <w:ind w:left="1440"/>
              <w:spacing w:after="0" w:line="180" w:lineRule="exact"/>
              <w:rPr>
                <w:sz w:val="20"/>
                <w:szCs w:val="20"/>
                <w:color w:val="auto"/>
              </w:rPr>
            </w:pPr>
            <w:r>
              <w:rPr>
                <w:rFonts w:ascii="Arial" w:cs="Arial" w:eastAsia="Arial" w:hAnsi="Arial"/>
                <w:sz w:val="16"/>
                <w:szCs w:val="16"/>
                <w:color w:val="auto"/>
              </w:rPr>
              <w:t>increase in this ratio was driven by an upswing in Retained earnings,</w:t>
            </w:r>
          </w:p>
        </w:tc>
      </w:tr>
      <w:tr>
        <w:trPr>
          <w:trHeight w:val="180"/>
        </w:trPr>
        <w:tc>
          <w:tcPr>
            <w:tcW w:w="4060" w:type="dxa"/>
            <w:vAlign w:val="bottom"/>
          </w:tcPr>
          <w:p>
            <w:pPr>
              <w:spacing w:after="0"/>
              <w:rPr>
                <w:sz w:val="15"/>
                <w:szCs w:val="15"/>
                <w:color w:val="auto"/>
              </w:rPr>
            </w:pPr>
          </w:p>
        </w:tc>
        <w:tc>
          <w:tcPr>
            <w:tcW w:w="6520" w:type="dxa"/>
            <w:vAlign w:val="bottom"/>
            <w:gridSpan w:val="2"/>
          </w:tcPr>
          <w:p>
            <w:pPr>
              <w:ind w:left="1440"/>
              <w:spacing w:after="0" w:line="180" w:lineRule="exact"/>
              <w:rPr>
                <w:sz w:val="20"/>
                <w:szCs w:val="20"/>
                <w:color w:val="auto"/>
              </w:rPr>
            </w:pPr>
            <w:r>
              <w:rPr>
                <w:rFonts w:ascii="Arial" w:cs="Arial" w:eastAsia="Arial" w:hAnsi="Arial"/>
                <w:sz w:val="16"/>
                <w:szCs w:val="16"/>
                <w:color w:val="auto"/>
              </w:rPr>
              <w:t>which  ticked  up  on  the  back  of  business  growth.  The  increase  in</w:t>
            </w:r>
          </w:p>
        </w:tc>
      </w:tr>
      <w:tr>
        <w:trPr>
          <w:trHeight w:val="178"/>
        </w:trPr>
        <w:tc>
          <w:tcPr>
            <w:tcW w:w="4060" w:type="dxa"/>
            <w:vAlign w:val="bottom"/>
          </w:tcPr>
          <w:p>
            <w:pPr>
              <w:spacing w:after="0"/>
              <w:rPr>
                <w:sz w:val="15"/>
                <w:szCs w:val="15"/>
                <w:color w:val="auto"/>
              </w:rPr>
            </w:pPr>
          </w:p>
        </w:tc>
        <w:tc>
          <w:tcPr>
            <w:tcW w:w="6520" w:type="dxa"/>
            <w:vAlign w:val="bottom"/>
            <w:gridSpan w:val="2"/>
          </w:tcPr>
          <w:p>
            <w:pPr>
              <w:ind w:left="1440"/>
              <w:spacing w:after="0" w:line="178" w:lineRule="exact"/>
              <w:rPr>
                <w:sz w:val="20"/>
                <w:szCs w:val="20"/>
                <w:color w:val="auto"/>
              </w:rPr>
            </w:pPr>
            <w:r>
              <w:rPr>
                <w:rFonts w:ascii="Arial" w:cs="Arial" w:eastAsia="Arial" w:hAnsi="Arial"/>
                <w:sz w:val="16"/>
                <w:szCs w:val="16"/>
                <w:color w:val="auto"/>
              </w:rPr>
              <w:t>Retained earnings was offset by growth in RWAs, which rose alongside</w:t>
            </w:r>
          </w:p>
        </w:tc>
      </w:tr>
      <w:tr>
        <w:trPr>
          <w:trHeight w:val="182"/>
        </w:trPr>
        <w:tc>
          <w:tcPr>
            <w:tcW w:w="4060" w:type="dxa"/>
            <w:vAlign w:val="bottom"/>
          </w:tcPr>
          <w:p>
            <w:pPr>
              <w:spacing w:after="0"/>
              <w:rPr>
                <w:sz w:val="15"/>
                <w:szCs w:val="15"/>
                <w:color w:val="auto"/>
              </w:rPr>
            </w:pPr>
          </w:p>
        </w:tc>
        <w:tc>
          <w:tcPr>
            <w:tcW w:w="6520" w:type="dxa"/>
            <w:vAlign w:val="bottom"/>
            <w:gridSpan w:val="2"/>
          </w:tcPr>
          <w:p>
            <w:pPr>
              <w:ind w:left="1440"/>
              <w:spacing w:after="0" w:line="182" w:lineRule="exact"/>
              <w:rPr>
                <w:sz w:val="20"/>
                <w:szCs w:val="20"/>
                <w:color w:val="auto"/>
              </w:rPr>
            </w:pPr>
            <w:r>
              <w:rPr>
                <w:rFonts w:ascii="Arial" w:cs="Arial" w:eastAsia="Arial" w:hAnsi="Arial"/>
                <w:sz w:val="16"/>
                <w:szCs w:val="16"/>
                <w:color w:val="auto"/>
              </w:rPr>
              <w:t xml:space="preserve">portfolio expansion. </w:t>
            </w:r>
            <w:r>
              <w:rPr>
                <w:rFonts w:ascii="Arial" w:cs="Arial" w:eastAsia="Arial" w:hAnsi="Arial"/>
                <w:sz w:val="16"/>
                <w:szCs w:val="16"/>
                <w:b w:val="1"/>
                <w:bCs w:val="1"/>
                <w:color w:val="auto"/>
              </w:rPr>
              <w:t>YoY</w:t>
            </w:r>
            <w:r>
              <w:rPr>
                <w:rFonts w:ascii="Arial" w:cs="Arial" w:eastAsia="Arial" w:hAnsi="Arial"/>
                <w:sz w:val="16"/>
                <w:szCs w:val="16"/>
                <w:color w:val="auto"/>
              </w:rPr>
              <w:t>, the ratio dropped 121bps, driven by an uptick</w:t>
            </w:r>
          </w:p>
        </w:tc>
      </w:tr>
      <w:tr>
        <w:trPr>
          <w:trHeight w:val="180"/>
        </w:trPr>
        <w:tc>
          <w:tcPr>
            <w:tcW w:w="4060" w:type="dxa"/>
            <w:vAlign w:val="bottom"/>
          </w:tcPr>
          <w:p>
            <w:pPr>
              <w:spacing w:after="0"/>
              <w:rPr>
                <w:sz w:val="15"/>
                <w:szCs w:val="15"/>
                <w:color w:val="auto"/>
              </w:rPr>
            </w:pPr>
          </w:p>
        </w:tc>
        <w:tc>
          <w:tcPr>
            <w:tcW w:w="6520" w:type="dxa"/>
            <w:vAlign w:val="bottom"/>
            <w:gridSpan w:val="2"/>
          </w:tcPr>
          <w:p>
            <w:pPr>
              <w:ind w:left="1440"/>
              <w:spacing w:after="0" w:line="180" w:lineRule="exact"/>
              <w:rPr>
                <w:sz w:val="20"/>
                <w:szCs w:val="20"/>
                <w:color w:val="auto"/>
              </w:rPr>
            </w:pPr>
            <w:r>
              <w:rPr>
                <w:rFonts w:ascii="Arial" w:cs="Arial" w:eastAsia="Arial" w:hAnsi="Arial"/>
                <w:sz w:val="16"/>
                <w:szCs w:val="16"/>
                <w:color w:val="auto"/>
                <w:w w:val="98"/>
              </w:rPr>
              <w:t>in RWAs, which was fueled by the same dynamics in play QoQ, and by a</w:t>
            </w:r>
          </w:p>
        </w:tc>
      </w:tr>
      <w:tr>
        <w:trPr>
          <w:trHeight w:val="205"/>
        </w:trPr>
        <w:tc>
          <w:tcPr>
            <w:tcW w:w="4060" w:type="dxa"/>
            <w:vAlign w:val="bottom"/>
          </w:tcPr>
          <w:p>
            <w:pPr>
              <w:spacing w:after="0"/>
              <w:rPr>
                <w:sz w:val="17"/>
                <w:szCs w:val="17"/>
                <w:color w:val="auto"/>
              </w:rPr>
            </w:pPr>
          </w:p>
        </w:tc>
        <w:tc>
          <w:tcPr>
            <w:tcW w:w="6520" w:type="dxa"/>
            <w:vAlign w:val="bottom"/>
            <w:gridSpan w:val="2"/>
          </w:tcPr>
          <w:p>
            <w:pPr>
              <w:ind w:left="1440"/>
              <w:spacing w:after="0"/>
              <w:rPr>
                <w:sz w:val="20"/>
                <w:szCs w:val="20"/>
                <w:color w:val="auto"/>
              </w:rPr>
            </w:pPr>
            <w:r>
              <w:rPr>
                <w:rFonts w:ascii="Arial" w:cs="Arial" w:eastAsia="Arial" w:hAnsi="Arial"/>
                <w:sz w:val="16"/>
                <w:szCs w:val="16"/>
                <w:color w:val="auto"/>
              </w:rPr>
              <w:t>drop in Retained earnings following dividend Payments.</w:t>
            </w:r>
          </w:p>
        </w:tc>
      </w:tr>
      <w:tr>
        <w:trPr>
          <w:trHeight w:val="323"/>
        </w:trPr>
        <w:tc>
          <w:tcPr>
            <w:tcW w:w="4060" w:type="dxa"/>
            <w:vAlign w:val="bottom"/>
          </w:tcPr>
          <w:p>
            <w:pPr>
              <w:spacing w:after="0"/>
              <w:rPr>
                <w:sz w:val="24"/>
                <w:szCs w:val="24"/>
                <w:color w:val="auto"/>
              </w:rPr>
            </w:pPr>
          </w:p>
        </w:tc>
        <w:tc>
          <w:tcPr>
            <w:tcW w:w="6520" w:type="dxa"/>
            <w:vAlign w:val="bottom"/>
            <w:gridSpan w:val="2"/>
          </w:tcPr>
          <w:p>
            <w:pPr>
              <w:ind w:left="1440"/>
              <w:spacing w:after="0"/>
              <w:rPr>
                <w:sz w:val="20"/>
                <w:szCs w:val="20"/>
                <w:color w:val="auto"/>
              </w:rPr>
            </w:pPr>
            <w:r>
              <w:rPr>
                <w:rFonts w:ascii="Arial" w:cs="Arial" w:eastAsia="Arial" w:hAnsi="Arial"/>
                <w:sz w:val="16"/>
                <w:szCs w:val="16"/>
                <w:color w:val="auto"/>
                <w:w w:val="99"/>
              </w:rPr>
              <w:t>Under current regulatory parameters, local CET 1 ratio stood at 17.13%,</w:t>
            </w:r>
          </w:p>
        </w:tc>
      </w:tr>
      <w:tr>
        <w:trPr>
          <w:trHeight w:val="180"/>
        </w:trPr>
        <w:tc>
          <w:tcPr>
            <w:tcW w:w="4060" w:type="dxa"/>
            <w:vAlign w:val="bottom"/>
          </w:tcPr>
          <w:p>
            <w:pPr>
              <w:spacing w:after="0"/>
              <w:rPr>
                <w:sz w:val="15"/>
                <w:szCs w:val="15"/>
                <w:color w:val="auto"/>
              </w:rPr>
            </w:pPr>
          </w:p>
        </w:tc>
        <w:tc>
          <w:tcPr>
            <w:tcW w:w="6520" w:type="dxa"/>
            <w:vAlign w:val="bottom"/>
            <w:gridSpan w:val="2"/>
          </w:tcPr>
          <w:p>
            <w:pPr>
              <w:ind w:left="1440"/>
              <w:spacing w:after="0" w:line="180" w:lineRule="exact"/>
              <w:rPr>
                <w:sz w:val="20"/>
                <w:szCs w:val="20"/>
                <w:color w:val="auto"/>
              </w:rPr>
            </w:pPr>
            <w:r>
              <w:rPr>
                <w:rFonts w:ascii="Arial" w:cs="Arial" w:eastAsia="Arial" w:hAnsi="Arial"/>
                <w:sz w:val="16"/>
                <w:szCs w:val="16"/>
                <w:color w:val="auto"/>
              </w:rPr>
              <w:t>which compares favorably with the minimum of 7.75% required by the</w:t>
            </w:r>
          </w:p>
        </w:tc>
      </w:tr>
      <w:tr>
        <w:trPr>
          <w:trHeight w:val="180"/>
        </w:trPr>
        <w:tc>
          <w:tcPr>
            <w:tcW w:w="4060" w:type="dxa"/>
            <w:vAlign w:val="bottom"/>
          </w:tcPr>
          <w:p>
            <w:pPr>
              <w:spacing w:after="0"/>
              <w:rPr>
                <w:sz w:val="15"/>
                <w:szCs w:val="15"/>
                <w:color w:val="auto"/>
              </w:rPr>
            </w:pPr>
          </w:p>
        </w:tc>
        <w:tc>
          <w:tcPr>
            <w:tcW w:w="6520" w:type="dxa"/>
            <w:vAlign w:val="bottom"/>
            <w:gridSpan w:val="2"/>
          </w:tcPr>
          <w:p>
            <w:pPr>
              <w:ind w:left="1440"/>
              <w:spacing w:after="0" w:line="180" w:lineRule="exact"/>
              <w:rPr>
                <w:sz w:val="20"/>
                <w:szCs w:val="20"/>
                <w:color w:val="auto"/>
              </w:rPr>
            </w:pPr>
            <w:r>
              <w:rPr>
                <w:rFonts w:ascii="Arial" w:cs="Arial" w:eastAsia="Arial" w:hAnsi="Arial"/>
                <w:sz w:val="16"/>
                <w:szCs w:val="16"/>
                <w:color w:val="auto"/>
                <w:w w:val="99"/>
              </w:rPr>
              <w:t>regulator at the end of September 2025. The variations in this ratio QoQ</w:t>
            </w:r>
          </w:p>
        </w:tc>
      </w:tr>
      <w:tr>
        <w:trPr>
          <w:trHeight w:val="180"/>
        </w:trPr>
        <w:tc>
          <w:tcPr>
            <w:tcW w:w="4060" w:type="dxa"/>
            <w:vAlign w:val="bottom"/>
          </w:tcPr>
          <w:p>
            <w:pPr>
              <w:spacing w:after="0"/>
              <w:rPr>
                <w:sz w:val="15"/>
                <w:szCs w:val="15"/>
                <w:color w:val="auto"/>
              </w:rPr>
            </w:pPr>
          </w:p>
        </w:tc>
        <w:tc>
          <w:tcPr>
            <w:tcW w:w="6520" w:type="dxa"/>
            <w:vAlign w:val="bottom"/>
            <w:gridSpan w:val="2"/>
          </w:tcPr>
          <w:p>
            <w:pPr>
              <w:ind w:left="1440"/>
              <w:spacing w:after="0" w:line="180" w:lineRule="exact"/>
              <w:rPr>
                <w:sz w:val="20"/>
                <w:szCs w:val="20"/>
                <w:color w:val="auto"/>
              </w:rPr>
            </w:pPr>
            <w:r>
              <w:rPr>
                <w:rFonts w:ascii="Arial" w:cs="Arial" w:eastAsia="Arial" w:hAnsi="Arial"/>
                <w:sz w:val="16"/>
                <w:szCs w:val="16"/>
                <w:color w:val="auto"/>
              </w:rPr>
              <w:t>and YoY were driven by the same dynamics as those that drove the</w:t>
            </w:r>
          </w:p>
        </w:tc>
      </w:tr>
      <w:tr>
        <w:trPr>
          <w:trHeight w:val="178"/>
        </w:trPr>
        <w:tc>
          <w:tcPr>
            <w:tcW w:w="4060" w:type="dxa"/>
            <w:vAlign w:val="bottom"/>
          </w:tcPr>
          <w:p>
            <w:pPr>
              <w:spacing w:after="0"/>
              <w:rPr>
                <w:sz w:val="15"/>
                <w:szCs w:val="15"/>
                <w:color w:val="auto"/>
              </w:rPr>
            </w:pPr>
          </w:p>
        </w:tc>
        <w:tc>
          <w:tcPr>
            <w:tcW w:w="6520" w:type="dxa"/>
            <w:vAlign w:val="bottom"/>
            <w:gridSpan w:val="2"/>
          </w:tcPr>
          <w:p>
            <w:pPr>
              <w:ind w:left="1440"/>
              <w:spacing w:after="0" w:line="178" w:lineRule="exact"/>
              <w:rPr>
                <w:sz w:val="20"/>
                <w:szCs w:val="20"/>
                <w:color w:val="auto"/>
              </w:rPr>
            </w:pPr>
            <w:r>
              <w:rPr>
                <w:rFonts w:ascii="Arial" w:cs="Arial" w:eastAsia="Arial" w:hAnsi="Arial"/>
                <w:sz w:val="16"/>
                <w:szCs w:val="16"/>
                <w:color w:val="auto"/>
              </w:rPr>
              <w:t>evolution of IFRS CET 1. The Regulatory Global Capital Ratio stood at</w:t>
            </w:r>
          </w:p>
        </w:tc>
      </w:tr>
      <w:tr>
        <w:trPr>
          <w:trHeight w:val="182"/>
        </w:trPr>
        <w:tc>
          <w:tcPr>
            <w:tcW w:w="4060" w:type="dxa"/>
            <w:vAlign w:val="bottom"/>
          </w:tcPr>
          <w:p>
            <w:pPr>
              <w:spacing w:after="0"/>
              <w:rPr>
                <w:sz w:val="15"/>
                <w:szCs w:val="15"/>
                <w:color w:val="auto"/>
              </w:rPr>
            </w:pPr>
          </w:p>
        </w:tc>
        <w:tc>
          <w:tcPr>
            <w:tcW w:w="6520" w:type="dxa"/>
            <w:vAlign w:val="bottom"/>
            <w:gridSpan w:val="2"/>
          </w:tcPr>
          <w:p>
            <w:pPr>
              <w:ind w:left="1440"/>
              <w:spacing w:after="0" w:line="182" w:lineRule="exact"/>
              <w:rPr>
                <w:sz w:val="20"/>
                <w:szCs w:val="20"/>
                <w:color w:val="auto"/>
              </w:rPr>
            </w:pPr>
            <w:r>
              <w:rPr>
                <w:rFonts w:ascii="Arial" w:cs="Arial" w:eastAsia="Arial" w:hAnsi="Arial"/>
                <w:sz w:val="16"/>
                <w:szCs w:val="16"/>
                <w:color w:val="auto"/>
              </w:rPr>
              <w:t xml:space="preserve">21.13% (up 152 bps </w:t>
            </w:r>
            <w:r>
              <w:rPr>
                <w:rFonts w:ascii="Arial" w:cs="Arial" w:eastAsia="Arial" w:hAnsi="Arial"/>
                <w:sz w:val="16"/>
                <w:szCs w:val="16"/>
                <w:b w:val="1"/>
                <w:bCs w:val="1"/>
                <w:color w:val="auto"/>
              </w:rPr>
              <w:t>QoQ</w:t>
            </w:r>
            <w:r>
              <w:rPr>
                <w:rFonts w:ascii="Arial" w:cs="Arial" w:eastAsia="Arial" w:hAnsi="Arial"/>
                <w:sz w:val="16"/>
                <w:szCs w:val="16"/>
                <w:color w:val="auto"/>
              </w:rPr>
              <w:t>) remains comfortably above the minimum of</w:t>
            </w:r>
          </w:p>
        </w:tc>
      </w:tr>
      <w:tr>
        <w:trPr>
          <w:trHeight w:val="178"/>
        </w:trPr>
        <w:tc>
          <w:tcPr>
            <w:tcW w:w="4060" w:type="dxa"/>
            <w:vAlign w:val="bottom"/>
          </w:tcPr>
          <w:p>
            <w:pPr>
              <w:spacing w:after="0"/>
              <w:rPr>
                <w:sz w:val="15"/>
                <w:szCs w:val="15"/>
                <w:color w:val="auto"/>
              </w:rPr>
            </w:pPr>
          </w:p>
        </w:tc>
        <w:tc>
          <w:tcPr>
            <w:tcW w:w="6520" w:type="dxa"/>
            <w:vAlign w:val="bottom"/>
            <w:gridSpan w:val="2"/>
          </w:tcPr>
          <w:p>
            <w:pPr>
              <w:ind w:left="1440"/>
              <w:spacing w:after="0" w:line="178" w:lineRule="exact"/>
              <w:rPr>
                <w:sz w:val="20"/>
                <w:szCs w:val="20"/>
                <w:color w:val="auto"/>
              </w:rPr>
            </w:pPr>
            <w:r>
              <w:rPr>
                <w:rFonts w:ascii="Arial" w:cs="Arial" w:eastAsia="Arial" w:hAnsi="Arial"/>
                <w:sz w:val="16"/>
                <w:szCs w:val="16"/>
                <w:color w:val="auto"/>
              </w:rPr>
              <w:t>14.62% required by the regulator. The QoQ variation was led by the</w:t>
            </w:r>
          </w:p>
        </w:tc>
      </w:tr>
      <w:tr>
        <w:trPr>
          <w:trHeight w:val="182"/>
        </w:trPr>
        <w:tc>
          <w:tcPr>
            <w:tcW w:w="4060" w:type="dxa"/>
            <w:vAlign w:val="bottom"/>
          </w:tcPr>
          <w:p>
            <w:pPr>
              <w:spacing w:after="0"/>
              <w:rPr>
                <w:sz w:val="15"/>
                <w:szCs w:val="15"/>
                <w:color w:val="auto"/>
              </w:rPr>
            </w:pPr>
          </w:p>
        </w:tc>
        <w:tc>
          <w:tcPr>
            <w:tcW w:w="6520" w:type="dxa"/>
            <w:vAlign w:val="bottom"/>
            <w:gridSpan w:val="2"/>
          </w:tcPr>
          <w:p>
            <w:pPr>
              <w:ind w:left="1440"/>
              <w:spacing w:after="0" w:line="182" w:lineRule="exact"/>
              <w:rPr>
                <w:sz w:val="20"/>
                <w:szCs w:val="20"/>
                <w:color w:val="auto"/>
              </w:rPr>
            </w:pPr>
            <w:r>
              <w:rPr>
                <w:rFonts w:ascii="Arial" w:cs="Arial" w:eastAsia="Arial" w:hAnsi="Arial"/>
                <w:sz w:val="16"/>
                <w:szCs w:val="16"/>
                <w:color w:val="auto"/>
                <w:w w:val="98"/>
              </w:rPr>
              <w:t xml:space="preserve">same factors that drove the evolution of the IFRS CET 1 ratio. </w:t>
            </w:r>
            <w:r>
              <w:rPr>
                <w:rFonts w:ascii="Arial" w:cs="Arial" w:eastAsia="Arial" w:hAnsi="Arial"/>
                <w:sz w:val="16"/>
                <w:szCs w:val="16"/>
                <w:b w:val="1"/>
                <w:bCs w:val="1"/>
                <w:color w:val="auto"/>
                <w:w w:val="98"/>
              </w:rPr>
              <w:t>YoY,</w:t>
            </w:r>
            <w:r>
              <w:rPr>
                <w:rFonts w:ascii="Arial" w:cs="Arial" w:eastAsia="Arial" w:hAnsi="Arial"/>
                <w:sz w:val="16"/>
                <w:szCs w:val="16"/>
                <w:color w:val="auto"/>
                <w:w w:val="98"/>
              </w:rPr>
              <w:t xml:space="preserve"> local</w:t>
            </w:r>
          </w:p>
        </w:tc>
      </w:tr>
      <w:tr>
        <w:trPr>
          <w:trHeight w:val="180"/>
        </w:trPr>
        <w:tc>
          <w:tcPr>
            <w:tcW w:w="4060" w:type="dxa"/>
            <w:vAlign w:val="bottom"/>
          </w:tcPr>
          <w:p>
            <w:pPr>
              <w:spacing w:after="0"/>
              <w:rPr>
                <w:sz w:val="15"/>
                <w:szCs w:val="15"/>
                <w:color w:val="auto"/>
              </w:rPr>
            </w:pPr>
          </w:p>
        </w:tc>
        <w:tc>
          <w:tcPr>
            <w:tcW w:w="6520" w:type="dxa"/>
            <w:vAlign w:val="bottom"/>
            <w:gridSpan w:val="2"/>
          </w:tcPr>
          <w:p>
            <w:pPr>
              <w:ind w:left="1440"/>
              <w:spacing w:after="0" w:line="180" w:lineRule="exact"/>
              <w:rPr>
                <w:sz w:val="20"/>
                <w:szCs w:val="20"/>
                <w:color w:val="auto"/>
              </w:rPr>
            </w:pPr>
            <w:r>
              <w:rPr>
                <w:rFonts w:ascii="Arial" w:cs="Arial" w:eastAsia="Arial" w:hAnsi="Arial"/>
                <w:sz w:val="16"/>
                <w:szCs w:val="16"/>
                <w:color w:val="auto"/>
              </w:rPr>
              <w:t>CET 1 ratio rose 91bps, fueled mainly by an issuance of Subordinated</w:t>
            </w:r>
          </w:p>
        </w:tc>
      </w:tr>
      <w:tr>
        <w:trPr>
          <w:trHeight w:val="180"/>
        </w:trPr>
        <w:tc>
          <w:tcPr>
            <w:tcW w:w="4060" w:type="dxa"/>
            <w:vAlign w:val="bottom"/>
          </w:tcPr>
          <w:p>
            <w:pPr>
              <w:spacing w:after="0"/>
              <w:rPr>
                <w:sz w:val="15"/>
                <w:szCs w:val="15"/>
                <w:color w:val="auto"/>
              </w:rPr>
            </w:pPr>
          </w:p>
        </w:tc>
        <w:tc>
          <w:tcPr>
            <w:tcW w:w="6520" w:type="dxa"/>
            <w:vAlign w:val="bottom"/>
            <w:gridSpan w:val="2"/>
          </w:tcPr>
          <w:p>
            <w:pPr>
              <w:ind w:left="1440"/>
              <w:spacing w:after="0" w:line="180" w:lineRule="exact"/>
              <w:rPr>
                <w:sz w:val="20"/>
                <w:szCs w:val="20"/>
                <w:color w:val="auto"/>
              </w:rPr>
            </w:pPr>
            <w:r>
              <w:rPr>
                <w:rFonts w:ascii="Arial" w:cs="Arial" w:eastAsia="Arial" w:hAnsi="Arial"/>
                <w:sz w:val="16"/>
                <w:szCs w:val="16"/>
                <w:color w:val="auto"/>
              </w:rPr>
              <w:t>Debt, which offset the reduction in Retained Earnings and the rise in</w:t>
            </w:r>
          </w:p>
        </w:tc>
      </w:tr>
      <w:tr>
        <w:trPr>
          <w:trHeight w:val="205"/>
        </w:trPr>
        <w:tc>
          <w:tcPr>
            <w:tcW w:w="4060" w:type="dxa"/>
            <w:vAlign w:val="bottom"/>
          </w:tcPr>
          <w:p>
            <w:pPr>
              <w:spacing w:after="0"/>
              <w:rPr>
                <w:sz w:val="17"/>
                <w:szCs w:val="17"/>
                <w:color w:val="auto"/>
              </w:rPr>
            </w:pPr>
          </w:p>
        </w:tc>
        <w:tc>
          <w:tcPr>
            <w:tcW w:w="6520" w:type="dxa"/>
            <w:vAlign w:val="bottom"/>
            <w:gridSpan w:val="2"/>
          </w:tcPr>
          <w:p>
            <w:pPr>
              <w:ind w:left="1440"/>
              <w:spacing w:after="0"/>
              <w:rPr>
                <w:sz w:val="20"/>
                <w:szCs w:val="20"/>
                <w:color w:val="auto"/>
              </w:rPr>
            </w:pPr>
            <w:r>
              <w:rPr>
                <w:rFonts w:ascii="Arial" w:cs="Arial" w:eastAsia="Arial" w:hAnsi="Arial"/>
                <w:sz w:val="16"/>
                <w:szCs w:val="16"/>
                <w:color w:val="auto"/>
              </w:rPr>
              <w:t>RWAS that accompanied portfolio growth.</w:t>
            </w:r>
          </w:p>
        </w:tc>
      </w:tr>
      <w:tr>
        <w:trPr>
          <w:trHeight w:val="1346"/>
        </w:trPr>
        <w:tc>
          <w:tcPr>
            <w:tcW w:w="406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-2933700</wp:posOffset>
            </wp:positionV>
            <wp:extent cx="5838825" cy="28276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38825" cy="2827655"/>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sectPr>
      </w:pPr>
    </w:p>
    <w:bookmarkStart w:id="45" w:name="page46"/>
    <w:bookmarkEnd w:id="45"/>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11  </w:t>
      </w:r>
      <w:r>
        <w:rPr>
          <w:rFonts w:ascii="Arial" w:cs="Arial" w:eastAsia="Arial" w:hAnsi="Arial"/>
          <w:sz w:val="28"/>
          <w:szCs w:val="28"/>
          <w:color w:val="E93B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6707505" cy="10896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07505" cy="1089660"/>
                    </a:xfrm>
                    <a:prstGeom prst="rect">
                      <a:avLst/>
                    </a:prstGeom>
                    <a:noFill/>
                  </pic:spPr>
                </pic:pic>
              </a:graphicData>
            </a:graphic>
          </wp:anchor>
        </w:drawing>
      </w:r>
    </w:p>
    <w:p>
      <w:pPr>
        <w:spacing w:after="0" w:line="224" w:lineRule="exact"/>
        <w:rPr>
          <w:sz w:val="20"/>
          <w:szCs w:val="20"/>
          <w:color w:val="auto"/>
        </w:rPr>
      </w:pPr>
    </w:p>
    <w:p>
      <w:pPr>
        <w:jc w:val="both"/>
        <w:ind w:left="200" w:right="180"/>
        <w:spacing w:after="0" w:line="248" w:lineRule="auto"/>
        <w:rPr>
          <w:sz w:val="20"/>
          <w:szCs w:val="20"/>
          <w:color w:val="auto"/>
        </w:rPr>
      </w:pPr>
      <w:r>
        <w:rPr>
          <w:rFonts w:ascii="Arial" w:cs="Arial" w:eastAsia="Arial" w:hAnsi="Arial"/>
          <w:sz w:val="16"/>
          <w:szCs w:val="16"/>
          <w:color w:val="FFFFFF"/>
        </w:rPr>
        <w:t>In 3Q25, GDP grew around 3.5% YoY, supported by high terms of trade, a continued recovery in formal employment, and inflation comfortably within the BCRP’s target range. The acceleration compared to 2Q25 was mainly due to a rebound in primary sectors. Non-primary sectors grew approximately 3.4% YoY.</w:t>
      </w:r>
    </w:p>
    <w:p>
      <w:pPr>
        <w:spacing w:after="0" w:line="150" w:lineRule="exact"/>
        <w:rPr>
          <w:sz w:val="20"/>
          <w:szCs w:val="20"/>
          <w:color w:val="auto"/>
        </w:rPr>
      </w:pPr>
    </w:p>
    <w:p>
      <w:pPr>
        <w:ind w:left="200" w:right="220"/>
        <w:spacing w:after="0" w:line="334" w:lineRule="auto"/>
        <w:rPr>
          <w:sz w:val="20"/>
          <w:szCs w:val="20"/>
          <w:color w:val="auto"/>
        </w:rPr>
      </w:pPr>
      <w:r>
        <w:rPr>
          <w:rFonts w:ascii="Arial" w:cs="Arial" w:eastAsia="Arial" w:hAnsi="Arial"/>
          <w:sz w:val="14"/>
          <w:szCs w:val="14"/>
          <w:color w:val="FFFFFF"/>
        </w:rPr>
        <w:t>Inflation slowed marginally, closing the quarter at 1.4% YoY (compared to 1.7% YoY in2Q25), marking ten consecutive months below the midpoint of the target range (1%–3%). Meanwhile, in its October meeting, the BCRP decided to keep the reference interest rate unchanged at 4.25%.</w:t>
      </w:r>
    </w:p>
    <w:p>
      <w:pPr>
        <w:spacing w:after="0" w:line="92" w:lineRule="exact"/>
        <w:rPr>
          <w:sz w:val="20"/>
          <w:szCs w:val="20"/>
          <w:color w:val="auto"/>
        </w:rPr>
      </w:pPr>
    </w:p>
    <w:p>
      <w:pPr>
        <w:ind w:left="200" w:right="180"/>
        <w:spacing w:after="0" w:line="262" w:lineRule="auto"/>
        <w:rPr>
          <w:sz w:val="20"/>
          <w:szCs w:val="20"/>
          <w:color w:val="auto"/>
        </w:rPr>
      </w:pPr>
      <w:r>
        <w:rPr>
          <w:rFonts w:ascii="Arial" w:cs="Arial" w:eastAsia="Arial" w:hAnsi="Arial"/>
          <w:sz w:val="16"/>
          <w:szCs w:val="16"/>
          <w:color w:val="FFFFFF"/>
        </w:rPr>
        <w:t>According to the BCRP, the exchange rate closed 3Q25 at USDPEN 3.47, its lowest level since 2020. Thus, the sol appreciated 1.9% compared to the end of 2Q25 and 7.8% compared to the end of 4Q24 (USDPEN 3.77).</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Peru: Economic Forecast</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940" w:type="dxa"/>
            <w:vAlign w:val="bottom"/>
            <w:tcBorders>
              <w:top w:val="single" w:sz="8" w:color="auto"/>
              <w:left w:val="single" w:sz="8" w:color="auto"/>
              <w:right w:val="single" w:sz="8" w:color="auto"/>
            </w:tcBorders>
            <w:shd w:val="clear" w:color="auto" w:fill="33CCCC"/>
          </w:tcPr>
          <w:p>
            <w:pPr>
              <w:ind w:left="1820"/>
              <w:spacing w:after="0"/>
              <w:rPr>
                <w:sz w:val="20"/>
                <w:szCs w:val="20"/>
                <w:color w:val="auto"/>
              </w:rPr>
            </w:pPr>
            <w:r>
              <w:rPr>
                <w:rFonts w:ascii="Arial" w:cs="Arial" w:eastAsia="Arial" w:hAnsi="Arial"/>
                <w:sz w:val="13"/>
                <w:szCs w:val="13"/>
                <w:b w:val="1"/>
                <w:bCs w:val="1"/>
                <w:color w:val="FFFFFF"/>
              </w:rPr>
              <w:t>Peru</w:t>
            </w:r>
          </w:p>
        </w:tc>
        <w:tc>
          <w:tcPr>
            <w:tcW w:w="92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6"/>
              </w:rPr>
              <w:t>2020</w:t>
            </w:r>
          </w:p>
        </w:tc>
        <w:tc>
          <w:tcPr>
            <w:tcW w:w="96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2021</w:t>
            </w:r>
          </w:p>
        </w:tc>
        <w:tc>
          <w:tcPr>
            <w:tcW w:w="94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2022</w:t>
            </w:r>
          </w:p>
        </w:tc>
        <w:tc>
          <w:tcPr>
            <w:tcW w:w="96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6"/>
              </w:rPr>
              <w:t>2023</w:t>
            </w:r>
          </w:p>
        </w:tc>
        <w:tc>
          <w:tcPr>
            <w:tcW w:w="94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2024</w:t>
            </w:r>
          </w:p>
        </w:tc>
        <w:tc>
          <w:tcPr>
            <w:tcW w:w="94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2"/>
              </w:rPr>
              <w:t xml:space="preserve">2025 </w:t>
            </w:r>
            <w:r>
              <w:rPr>
                <w:rFonts w:ascii="Arial" w:cs="Arial" w:eastAsia="Arial" w:hAnsi="Arial"/>
                <w:sz w:val="21"/>
                <w:szCs w:val="21"/>
                <w:b w:val="1"/>
                <w:bCs w:val="1"/>
                <w:color w:val="FFFFFF"/>
                <w:w w:val="92"/>
                <w:vertAlign w:val="superscript"/>
              </w:rPr>
              <w:t>(4)</w:t>
            </w:r>
          </w:p>
        </w:tc>
        <w:tc>
          <w:tcPr>
            <w:tcW w:w="9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2"/>
              </w:rPr>
              <w:t xml:space="preserve">2026 </w:t>
            </w:r>
            <w:r>
              <w:rPr>
                <w:rFonts w:ascii="Arial" w:cs="Arial" w:eastAsia="Arial" w:hAnsi="Arial"/>
                <w:sz w:val="21"/>
                <w:szCs w:val="21"/>
                <w:b w:val="1"/>
                <w:bCs w:val="1"/>
                <w:color w:val="FFFFFF"/>
                <w:w w:val="92"/>
                <w:vertAlign w:val="superscript"/>
              </w:rPr>
              <w:t>(4)</w:t>
            </w:r>
          </w:p>
        </w:tc>
      </w:tr>
      <w:tr>
        <w:trPr>
          <w:trHeight w:val="156"/>
        </w:trPr>
        <w:tc>
          <w:tcPr>
            <w:tcW w:w="3940" w:type="dxa"/>
            <w:vAlign w:val="bottom"/>
            <w:tcBorders>
              <w:left w:val="single" w:sz="8" w:color="auto"/>
              <w:bottom w:val="single" w:sz="8" w:color="auto"/>
              <w:right w:val="single" w:sz="8" w:color="auto"/>
            </w:tcBorders>
            <w:shd w:val="clear" w:color="auto" w:fill="33CCCC"/>
          </w:tcPr>
          <w:p>
            <w:pPr>
              <w:spacing w:after="0"/>
              <w:rPr>
                <w:sz w:val="13"/>
                <w:szCs w:val="13"/>
                <w:color w:val="auto"/>
              </w:rPr>
            </w:pPr>
          </w:p>
        </w:tc>
        <w:tc>
          <w:tcPr>
            <w:tcW w:w="920" w:type="dxa"/>
            <w:vAlign w:val="bottom"/>
            <w:tcBorders>
              <w:bottom w:val="single" w:sz="8" w:color="auto"/>
            </w:tcBorders>
            <w:shd w:val="clear" w:color="auto" w:fill="33CCCC"/>
          </w:tcPr>
          <w:p>
            <w:pPr>
              <w:spacing w:after="0"/>
              <w:rPr>
                <w:sz w:val="13"/>
                <w:szCs w:val="13"/>
                <w:color w:val="auto"/>
              </w:rPr>
            </w:pPr>
          </w:p>
        </w:tc>
        <w:tc>
          <w:tcPr>
            <w:tcW w:w="960" w:type="dxa"/>
            <w:vAlign w:val="bottom"/>
            <w:tcBorders>
              <w:bottom w:val="single" w:sz="8" w:color="auto"/>
            </w:tcBorders>
            <w:shd w:val="clear" w:color="auto" w:fill="33CCCC"/>
          </w:tcPr>
          <w:p>
            <w:pPr>
              <w:spacing w:after="0"/>
              <w:rPr>
                <w:sz w:val="13"/>
                <w:szCs w:val="13"/>
                <w:color w:val="auto"/>
              </w:rPr>
            </w:pPr>
          </w:p>
        </w:tc>
        <w:tc>
          <w:tcPr>
            <w:tcW w:w="940" w:type="dxa"/>
            <w:vAlign w:val="bottom"/>
            <w:tcBorders>
              <w:bottom w:val="single" w:sz="8" w:color="auto"/>
            </w:tcBorders>
            <w:shd w:val="clear" w:color="auto" w:fill="33CCCC"/>
          </w:tcPr>
          <w:p>
            <w:pPr>
              <w:spacing w:after="0"/>
              <w:rPr>
                <w:sz w:val="13"/>
                <w:szCs w:val="13"/>
                <w:color w:val="auto"/>
              </w:rPr>
            </w:pPr>
          </w:p>
        </w:tc>
        <w:tc>
          <w:tcPr>
            <w:tcW w:w="960" w:type="dxa"/>
            <w:vAlign w:val="bottom"/>
            <w:tcBorders>
              <w:bottom w:val="single" w:sz="8" w:color="auto"/>
            </w:tcBorders>
            <w:shd w:val="clear" w:color="auto" w:fill="33CCCC"/>
          </w:tcPr>
          <w:p>
            <w:pPr>
              <w:spacing w:after="0"/>
              <w:rPr>
                <w:sz w:val="13"/>
                <w:szCs w:val="13"/>
                <w:color w:val="auto"/>
              </w:rPr>
            </w:pPr>
          </w:p>
        </w:tc>
        <w:tc>
          <w:tcPr>
            <w:tcW w:w="940" w:type="dxa"/>
            <w:vAlign w:val="bottom"/>
            <w:tcBorders>
              <w:bottom w:val="single" w:sz="8" w:color="auto"/>
            </w:tcBorders>
            <w:shd w:val="clear" w:color="auto" w:fill="33CCCC"/>
          </w:tcPr>
          <w:p>
            <w:pPr>
              <w:spacing w:after="0"/>
              <w:rPr>
                <w:sz w:val="13"/>
                <w:szCs w:val="13"/>
                <w:color w:val="auto"/>
              </w:rPr>
            </w:pPr>
          </w:p>
        </w:tc>
        <w:tc>
          <w:tcPr>
            <w:tcW w:w="940" w:type="dxa"/>
            <w:vAlign w:val="bottom"/>
            <w:tcBorders>
              <w:bottom w:val="single" w:sz="8" w:color="auto"/>
            </w:tcBorders>
            <w:shd w:val="clear" w:color="auto" w:fill="33CCCC"/>
          </w:tcPr>
          <w:p>
            <w:pPr>
              <w:spacing w:after="0"/>
              <w:rPr>
                <w:sz w:val="13"/>
                <w:szCs w:val="13"/>
                <w:color w:val="auto"/>
              </w:rPr>
            </w:pPr>
          </w:p>
        </w:tc>
        <w:tc>
          <w:tcPr>
            <w:tcW w:w="980" w:type="dxa"/>
            <w:vAlign w:val="bottom"/>
            <w:tcBorders>
              <w:bottom w:val="single" w:sz="8" w:color="auto"/>
              <w:right w:val="single" w:sz="8" w:color="auto"/>
            </w:tcBorders>
            <w:shd w:val="clear" w:color="auto" w:fill="33CCCC"/>
          </w:tcPr>
          <w:p>
            <w:pPr>
              <w:spacing w:after="0"/>
              <w:rPr>
                <w:sz w:val="13"/>
                <w:szCs w:val="13"/>
                <w:color w:val="auto"/>
              </w:rPr>
            </w:pPr>
          </w:p>
        </w:tc>
      </w:tr>
      <w:tr>
        <w:trPr>
          <w:trHeight w:val="148"/>
        </w:trPr>
        <w:tc>
          <w:tcPr>
            <w:tcW w:w="394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color w:val="auto"/>
              </w:rPr>
              <w:t>GDP (US$ Millions)</w:t>
            </w:r>
          </w:p>
        </w:tc>
        <w:tc>
          <w:tcPr>
            <w:tcW w:w="920" w:type="dxa"/>
            <w:vAlign w:val="bottom"/>
          </w:tcPr>
          <w:p>
            <w:pPr>
              <w:jc w:val="center"/>
              <w:spacing w:after="0" w:line="148" w:lineRule="exact"/>
              <w:rPr>
                <w:sz w:val="20"/>
                <w:szCs w:val="20"/>
                <w:color w:val="auto"/>
              </w:rPr>
            </w:pPr>
            <w:r>
              <w:rPr>
                <w:rFonts w:ascii="Arial" w:cs="Arial" w:eastAsia="Arial" w:hAnsi="Arial"/>
                <w:sz w:val="13"/>
                <w:szCs w:val="13"/>
                <w:color w:val="auto"/>
              </w:rPr>
              <w:t>210</w:t>
            </w: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rPr>
              <w:t>230</w:t>
            </w:r>
          </w:p>
        </w:tc>
        <w:tc>
          <w:tcPr>
            <w:tcW w:w="940" w:type="dxa"/>
            <w:vAlign w:val="bottom"/>
          </w:tcPr>
          <w:p>
            <w:pPr>
              <w:jc w:val="center"/>
              <w:spacing w:after="0" w:line="148" w:lineRule="exact"/>
              <w:rPr>
                <w:sz w:val="20"/>
                <w:szCs w:val="20"/>
                <w:color w:val="auto"/>
              </w:rPr>
            </w:pPr>
            <w:r>
              <w:rPr>
                <w:rFonts w:ascii="Arial" w:cs="Arial" w:eastAsia="Arial" w:hAnsi="Arial"/>
                <w:sz w:val="13"/>
                <w:szCs w:val="13"/>
                <w:color w:val="auto"/>
              </w:rPr>
              <w:t>248</w:t>
            </w: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w w:val="92"/>
              </w:rPr>
              <w:t>272</w:t>
            </w:r>
          </w:p>
        </w:tc>
        <w:tc>
          <w:tcPr>
            <w:tcW w:w="940" w:type="dxa"/>
            <w:vAlign w:val="bottom"/>
          </w:tcPr>
          <w:p>
            <w:pPr>
              <w:jc w:val="center"/>
              <w:spacing w:after="0" w:line="148" w:lineRule="exact"/>
              <w:rPr>
                <w:sz w:val="20"/>
                <w:szCs w:val="20"/>
                <w:color w:val="auto"/>
              </w:rPr>
            </w:pPr>
            <w:r>
              <w:rPr>
                <w:rFonts w:ascii="Arial" w:cs="Arial" w:eastAsia="Arial" w:hAnsi="Arial"/>
                <w:sz w:val="13"/>
                <w:szCs w:val="13"/>
                <w:color w:val="auto"/>
              </w:rPr>
              <w:t>295</w:t>
            </w:r>
          </w:p>
        </w:tc>
        <w:tc>
          <w:tcPr>
            <w:tcW w:w="940" w:type="dxa"/>
            <w:vAlign w:val="bottom"/>
            <w:shd w:val="clear" w:color="auto" w:fill="C0C0C0"/>
          </w:tcPr>
          <w:p>
            <w:pPr>
              <w:jc w:val="center"/>
              <w:spacing w:after="0" w:line="148" w:lineRule="exact"/>
              <w:rPr>
                <w:sz w:val="20"/>
                <w:szCs w:val="20"/>
                <w:color w:val="auto"/>
              </w:rPr>
            </w:pPr>
            <w:r>
              <w:rPr>
                <w:rFonts w:ascii="Arial" w:cs="Arial" w:eastAsia="Arial" w:hAnsi="Arial"/>
                <w:sz w:val="13"/>
                <w:szCs w:val="13"/>
                <w:color w:val="auto"/>
              </w:rPr>
              <w:t>337</w:t>
            </w:r>
          </w:p>
        </w:tc>
        <w:tc>
          <w:tcPr>
            <w:tcW w:w="980" w:type="dxa"/>
            <w:vAlign w:val="bottom"/>
            <w:tcBorders>
              <w:right w:val="single" w:sz="8" w:color="auto"/>
            </w:tcBorders>
            <w:shd w:val="clear" w:color="auto" w:fill="C0C0C0"/>
          </w:tcPr>
          <w:p>
            <w:pPr>
              <w:jc w:val="center"/>
              <w:spacing w:after="0" w:line="148" w:lineRule="exact"/>
              <w:rPr>
                <w:sz w:val="20"/>
                <w:szCs w:val="20"/>
                <w:color w:val="auto"/>
              </w:rPr>
            </w:pPr>
            <w:r>
              <w:rPr>
                <w:rFonts w:ascii="Arial" w:cs="Arial" w:eastAsia="Arial" w:hAnsi="Arial"/>
                <w:sz w:val="13"/>
                <w:szCs w:val="13"/>
                <w:color w:val="auto"/>
              </w:rPr>
              <w:t>365</w:t>
            </w:r>
          </w:p>
        </w:tc>
      </w:tr>
      <w:tr>
        <w:trPr>
          <w:trHeight w:val="145"/>
        </w:trPr>
        <w:tc>
          <w:tcPr>
            <w:tcW w:w="394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3"/>
                <w:szCs w:val="13"/>
                <w:color w:val="auto"/>
              </w:rPr>
              <w:t>Real GDP (% change)</w:t>
            </w:r>
          </w:p>
        </w:tc>
        <w:tc>
          <w:tcPr>
            <w:tcW w:w="920" w:type="dxa"/>
            <w:vAlign w:val="bottom"/>
          </w:tcPr>
          <w:p>
            <w:pPr>
              <w:jc w:val="center"/>
              <w:spacing w:after="0" w:line="145" w:lineRule="exact"/>
              <w:rPr>
                <w:sz w:val="20"/>
                <w:szCs w:val="20"/>
                <w:color w:val="auto"/>
              </w:rPr>
            </w:pPr>
            <w:r>
              <w:rPr>
                <w:rFonts w:ascii="Arial" w:cs="Arial" w:eastAsia="Arial" w:hAnsi="Arial"/>
                <w:sz w:val="13"/>
                <w:szCs w:val="13"/>
                <w:color w:val="auto"/>
              </w:rPr>
              <w:t>-10.9</w:t>
            </w:r>
          </w:p>
        </w:tc>
        <w:tc>
          <w:tcPr>
            <w:tcW w:w="960" w:type="dxa"/>
            <w:vAlign w:val="bottom"/>
          </w:tcPr>
          <w:p>
            <w:pPr>
              <w:jc w:val="center"/>
              <w:spacing w:after="0" w:line="145" w:lineRule="exact"/>
              <w:rPr>
                <w:sz w:val="20"/>
                <w:szCs w:val="20"/>
                <w:color w:val="auto"/>
              </w:rPr>
            </w:pPr>
            <w:r>
              <w:rPr>
                <w:rFonts w:ascii="Arial" w:cs="Arial" w:eastAsia="Arial" w:hAnsi="Arial"/>
                <w:sz w:val="13"/>
                <w:szCs w:val="13"/>
                <w:color w:val="auto"/>
              </w:rPr>
              <w:t>13.4</w:t>
            </w:r>
          </w:p>
        </w:tc>
        <w:tc>
          <w:tcPr>
            <w:tcW w:w="940" w:type="dxa"/>
            <w:vAlign w:val="bottom"/>
          </w:tcPr>
          <w:p>
            <w:pPr>
              <w:jc w:val="center"/>
              <w:spacing w:after="0" w:line="145" w:lineRule="exact"/>
              <w:rPr>
                <w:sz w:val="20"/>
                <w:szCs w:val="20"/>
                <w:color w:val="auto"/>
              </w:rPr>
            </w:pPr>
            <w:r>
              <w:rPr>
                <w:rFonts w:ascii="Arial" w:cs="Arial" w:eastAsia="Arial" w:hAnsi="Arial"/>
                <w:sz w:val="13"/>
                <w:szCs w:val="13"/>
                <w:color w:val="auto"/>
                <w:w w:val="99"/>
              </w:rPr>
              <w:t>2.8</w:t>
            </w:r>
          </w:p>
        </w:tc>
        <w:tc>
          <w:tcPr>
            <w:tcW w:w="960" w:type="dxa"/>
            <w:vAlign w:val="bottom"/>
          </w:tcPr>
          <w:p>
            <w:pPr>
              <w:jc w:val="center"/>
              <w:spacing w:after="0" w:line="145" w:lineRule="exact"/>
              <w:rPr>
                <w:sz w:val="20"/>
                <w:szCs w:val="20"/>
                <w:color w:val="auto"/>
              </w:rPr>
            </w:pPr>
            <w:r>
              <w:rPr>
                <w:rFonts w:ascii="Arial" w:cs="Arial" w:eastAsia="Arial" w:hAnsi="Arial"/>
                <w:sz w:val="13"/>
                <w:szCs w:val="13"/>
                <w:color w:val="auto"/>
              </w:rPr>
              <w:t>-0.4</w:t>
            </w:r>
          </w:p>
        </w:tc>
        <w:tc>
          <w:tcPr>
            <w:tcW w:w="940" w:type="dxa"/>
            <w:vAlign w:val="bottom"/>
          </w:tcPr>
          <w:p>
            <w:pPr>
              <w:jc w:val="center"/>
              <w:spacing w:after="0" w:line="145" w:lineRule="exact"/>
              <w:rPr>
                <w:sz w:val="20"/>
                <w:szCs w:val="20"/>
                <w:color w:val="auto"/>
              </w:rPr>
            </w:pPr>
            <w:r>
              <w:rPr>
                <w:rFonts w:ascii="Arial" w:cs="Arial" w:eastAsia="Arial" w:hAnsi="Arial"/>
                <w:sz w:val="13"/>
                <w:szCs w:val="13"/>
                <w:color w:val="auto"/>
                <w:w w:val="99"/>
              </w:rPr>
              <w:t>3.3</w:t>
            </w:r>
          </w:p>
        </w:tc>
        <w:tc>
          <w:tcPr>
            <w:tcW w:w="940" w:type="dxa"/>
            <w:vAlign w:val="bottom"/>
            <w:shd w:val="clear" w:color="auto" w:fill="C0C0C0"/>
          </w:tcPr>
          <w:p>
            <w:pPr>
              <w:jc w:val="center"/>
              <w:spacing w:after="0" w:line="145" w:lineRule="exact"/>
              <w:rPr>
                <w:sz w:val="20"/>
                <w:szCs w:val="20"/>
                <w:color w:val="auto"/>
              </w:rPr>
            </w:pPr>
            <w:r>
              <w:rPr>
                <w:rFonts w:ascii="Arial" w:cs="Arial" w:eastAsia="Arial" w:hAnsi="Arial"/>
                <w:sz w:val="13"/>
                <w:szCs w:val="13"/>
                <w:color w:val="auto"/>
                <w:w w:val="99"/>
              </w:rPr>
              <w:t>3.4</w:t>
            </w:r>
          </w:p>
        </w:tc>
        <w:tc>
          <w:tcPr>
            <w:tcW w:w="980" w:type="dxa"/>
            <w:vAlign w:val="bottom"/>
            <w:tcBorders>
              <w:right w:val="single" w:sz="8" w:color="auto"/>
            </w:tcBorders>
            <w:shd w:val="clear" w:color="auto" w:fill="C0C0C0"/>
          </w:tcPr>
          <w:p>
            <w:pPr>
              <w:jc w:val="center"/>
              <w:spacing w:after="0" w:line="145" w:lineRule="exact"/>
              <w:rPr>
                <w:sz w:val="20"/>
                <w:szCs w:val="20"/>
                <w:color w:val="auto"/>
              </w:rPr>
            </w:pPr>
            <w:r>
              <w:rPr>
                <w:rFonts w:ascii="Arial" w:cs="Arial" w:eastAsia="Arial" w:hAnsi="Arial"/>
                <w:sz w:val="13"/>
                <w:szCs w:val="13"/>
                <w:color w:val="auto"/>
                <w:w w:val="99"/>
              </w:rPr>
              <w:t>3.2</w:t>
            </w:r>
          </w:p>
        </w:tc>
      </w:tr>
      <w:tr>
        <w:trPr>
          <w:trHeight w:val="15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GDP per capita (US$)</w:t>
            </w: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6,428</w:t>
            </w: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6,956</w:t>
            </w:r>
          </w:p>
        </w:tc>
        <w:tc>
          <w:tcPr>
            <w:tcW w:w="940" w:type="dxa"/>
            <w:vAlign w:val="bottom"/>
          </w:tcPr>
          <w:p>
            <w:pPr>
              <w:jc w:val="center"/>
              <w:spacing w:after="0"/>
              <w:rPr>
                <w:sz w:val="20"/>
                <w:szCs w:val="20"/>
                <w:color w:val="auto"/>
              </w:rPr>
            </w:pPr>
            <w:r>
              <w:rPr>
                <w:rFonts w:ascii="Arial" w:cs="Arial" w:eastAsia="Arial" w:hAnsi="Arial"/>
                <w:sz w:val="13"/>
                <w:szCs w:val="13"/>
                <w:color w:val="auto"/>
              </w:rPr>
              <w:t>7,438</w:t>
            </w: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8,072</w:t>
            </w:r>
          </w:p>
        </w:tc>
        <w:tc>
          <w:tcPr>
            <w:tcW w:w="940" w:type="dxa"/>
            <w:vAlign w:val="bottom"/>
          </w:tcPr>
          <w:p>
            <w:pPr>
              <w:jc w:val="center"/>
              <w:spacing w:after="0"/>
              <w:rPr>
                <w:sz w:val="20"/>
                <w:szCs w:val="20"/>
                <w:color w:val="auto"/>
              </w:rPr>
            </w:pPr>
            <w:r>
              <w:rPr>
                <w:rFonts w:ascii="Arial" w:cs="Arial" w:eastAsia="Arial" w:hAnsi="Arial"/>
                <w:sz w:val="13"/>
                <w:szCs w:val="13"/>
                <w:color w:val="auto"/>
              </w:rPr>
              <w:t>8,671</w:t>
            </w:r>
          </w:p>
        </w:tc>
        <w:tc>
          <w:tcPr>
            <w:tcW w:w="94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98"/>
              </w:rPr>
              <w:t>9,801</w:t>
            </w:r>
          </w:p>
        </w:tc>
        <w:tc>
          <w:tcPr>
            <w:tcW w:w="9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rPr>
              <w:t>10,530</w:t>
            </w:r>
          </w:p>
        </w:tc>
      </w:tr>
      <w:tr>
        <w:trPr>
          <w:trHeight w:val="15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Domestic demand (% change)</w:t>
            </w:r>
          </w:p>
        </w:tc>
        <w:tc>
          <w:tcPr>
            <w:tcW w:w="920" w:type="dxa"/>
            <w:vAlign w:val="bottom"/>
          </w:tcPr>
          <w:p>
            <w:pPr>
              <w:jc w:val="center"/>
              <w:spacing w:after="0"/>
              <w:rPr>
                <w:sz w:val="20"/>
                <w:szCs w:val="20"/>
                <w:color w:val="auto"/>
              </w:rPr>
            </w:pPr>
            <w:r>
              <w:rPr>
                <w:rFonts w:ascii="Arial" w:cs="Arial" w:eastAsia="Arial" w:hAnsi="Arial"/>
                <w:sz w:val="13"/>
                <w:szCs w:val="13"/>
                <w:color w:val="auto"/>
              </w:rPr>
              <w:t>-9.3</w:t>
            </w:r>
          </w:p>
        </w:tc>
        <w:tc>
          <w:tcPr>
            <w:tcW w:w="960" w:type="dxa"/>
            <w:vAlign w:val="bottom"/>
          </w:tcPr>
          <w:p>
            <w:pPr>
              <w:jc w:val="center"/>
              <w:spacing w:after="0"/>
              <w:rPr>
                <w:sz w:val="20"/>
                <w:szCs w:val="20"/>
                <w:color w:val="auto"/>
              </w:rPr>
            </w:pPr>
            <w:r>
              <w:rPr>
                <w:rFonts w:ascii="Arial" w:cs="Arial" w:eastAsia="Arial" w:hAnsi="Arial"/>
                <w:sz w:val="13"/>
                <w:szCs w:val="13"/>
                <w:color w:val="auto"/>
              </w:rPr>
              <w:t>13.9</w:t>
            </w:r>
          </w:p>
        </w:tc>
        <w:tc>
          <w:tcPr>
            <w:tcW w:w="940" w:type="dxa"/>
            <w:vAlign w:val="bottom"/>
          </w:tcPr>
          <w:p>
            <w:pPr>
              <w:jc w:val="center"/>
              <w:spacing w:after="0"/>
              <w:rPr>
                <w:sz w:val="20"/>
                <w:szCs w:val="20"/>
                <w:color w:val="auto"/>
              </w:rPr>
            </w:pPr>
            <w:r>
              <w:rPr>
                <w:rFonts w:ascii="Arial" w:cs="Arial" w:eastAsia="Arial" w:hAnsi="Arial"/>
                <w:sz w:val="13"/>
                <w:szCs w:val="13"/>
                <w:color w:val="auto"/>
                <w:w w:val="99"/>
              </w:rPr>
              <w:t>2.4</w:t>
            </w:r>
          </w:p>
        </w:tc>
        <w:tc>
          <w:tcPr>
            <w:tcW w:w="960" w:type="dxa"/>
            <w:vAlign w:val="bottom"/>
          </w:tcPr>
          <w:p>
            <w:pPr>
              <w:jc w:val="center"/>
              <w:spacing w:after="0"/>
              <w:rPr>
                <w:sz w:val="20"/>
                <w:szCs w:val="20"/>
                <w:color w:val="auto"/>
              </w:rPr>
            </w:pPr>
            <w:r>
              <w:rPr>
                <w:rFonts w:ascii="Arial" w:cs="Arial" w:eastAsia="Arial" w:hAnsi="Arial"/>
                <w:sz w:val="13"/>
                <w:szCs w:val="13"/>
                <w:color w:val="auto"/>
              </w:rPr>
              <w:t>-1.1</w:t>
            </w:r>
          </w:p>
        </w:tc>
        <w:tc>
          <w:tcPr>
            <w:tcW w:w="940" w:type="dxa"/>
            <w:vAlign w:val="bottom"/>
          </w:tcPr>
          <w:p>
            <w:pPr>
              <w:jc w:val="center"/>
              <w:spacing w:after="0"/>
              <w:rPr>
                <w:sz w:val="20"/>
                <w:szCs w:val="20"/>
                <w:color w:val="auto"/>
              </w:rPr>
            </w:pPr>
            <w:r>
              <w:rPr>
                <w:rFonts w:ascii="Arial" w:cs="Arial" w:eastAsia="Arial" w:hAnsi="Arial"/>
                <w:sz w:val="13"/>
                <w:szCs w:val="13"/>
                <w:color w:val="auto"/>
                <w:w w:val="99"/>
              </w:rPr>
              <w:t>3.9</w:t>
            </w:r>
          </w:p>
        </w:tc>
        <w:tc>
          <w:tcPr>
            <w:tcW w:w="94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99"/>
              </w:rPr>
              <w:t>6.0</w:t>
            </w:r>
          </w:p>
        </w:tc>
        <w:tc>
          <w:tcPr>
            <w:tcW w:w="9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w w:val="99"/>
              </w:rPr>
              <w:t>3.7</w:t>
            </w:r>
          </w:p>
        </w:tc>
      </w:tr>
      <w:tr>
        <w:trPr>
          <w:trHeight w:val="15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Gross fixed investment (as % GDP)</w:t>
            </w:r>
          </w:p>
        </w:tc>
        <w:tc>
          <w:tcPr>
            <w:tcW w:w="920" w:type="dxa"/>
            <w:vAlign w:val="bottom"/>
          </w:tcPr>
          <w:p>
            <w:pPr>
              <w:jc w:val="center"/>
              <w:spacing w:after="0"/>
              <w:rPr>
                <w:sz w:val="20"/>
                <w:szCs w:val="20"/>
                <w:color w:val="auto"/>
              </w:rPr>
            </w:pPr>
            <w:r>
              <w:rPr>
                <w:rFonts w:ascii="Arial" w:cs="Arial" w:eastAsia="Arial" w:hAnsi="Arial"/>
                <w:sz w:val="13"/>
                <w:szCs w:val="13"/>
                <w:color w:val="auto"/>
              </w:rPr>
              <w:t>21</w:t>
            </w:r>
          </w:p>
        </w:tc>
        <w:tc>
          <w:tcPr>
            <w:tcW w:w="960" w:type="dxa"/>
            <w:vAlign w:val="bottom"/>
          </w:tcPr>
          <w:p>
            <w:pPr>
              <w:jc w:val="center"/>
              <w:spacing w:after="0"/>
              <w:rPr>
                <w:sz w:val="20"/>
                <w:szCs w:val="20"/>
                <w:color w:val="auto"/>
              </w:rPr>
            </w:pPr>
            <w:r>
              <w:rPr>
                <w:rFonts w:ascii="Arial" w:cs="Arial" w:eastAsia="Arial" w:hAnsi="Arial"/>
                <w:sz w:val="13"/>
                <w:szCs w:val="13"/>
                <w:color w:val="auto"/>
              </w:rPr>
              <w:t>25</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25</w:t>
            </w:r>
          </w:p>
        </w:tc>
        <w:tc>
          <w:tcPr>
            <w:tcW w:w="960" w:type="dxa"/>
            <w:vAlign w:val="bottom"/>
          </w:tcPr>
          <w:p>
            <w:pPr>
              <w:jc w:val="center"/>
              <w:spacing w:after="0"/>
              <w:rPr>
                <w:sz w:val="20"/>
                <w:szCs w:val="20"/>
                <w:color w:val="auto"/>
              </w:rPr>
            </w:pPr>
            <w:r>
              <w:rPr>
                <w:rFonts w:ascii="Arial" w:cs="Arial" w:eastAsia="Arial" w:hAnsi="Arial"/>
                <w:sz w:val="13"/>
                <w:szCs w:val="13"/>
                <w:color w:val="auto"/>
              </w:rPr>
              <w:t>22</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22</w:t>
            </w:r>
          </w:p>
        </w:tc>
        <w:tc>
          <w:tcPr>
            <w:tcW w:w="94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96"/>
              </w:rPr>
              <w:t>23</w:t>
            </w:r>
          </w:p>
        </w:tc>
        <w:tc>
          <w:tcPr>
            <w:tcW w:w="9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w w:val="96"/>
              </w:rPr>
              <w:t>23</w:t>
            </w:r>
          </w:p>
        </w:tc>
      </w:tr>
      <w:tr>
        <w:trPr>
          <w:trHeight w:val="168"/>
        </w:trPr>
        <w:tc>
          <w:tcPr>
            <w:tcW w:w="3940" w:type="dxa"/>
            <w:vAlign w:val="bottom"/>
            <w:tcBorders>
              <w:left w:val="single" w:sz="8" w:color="auto"/>
              <w:bottom w:val="single" w:sz="8" w:color="auto"/>
              <w:right w:val="single" w:sz="8" w:color="auto"/>
            </w:tcBorders>
          </w:tcPr>
          <w:p>
            <w:pPr>
              <w:ind w:left="20"/>
              <w:spacing w:after="0" w:line="168" w:lineRule="exact"/>
              <w:rPr>
                <w:sz w:val="20"/>
                <w:szCs w:val="20"/>
                <w:color w:val="auto"/>
              </w:rPr>
            </w:pPr>
            <w:r>
              <w:rPr>
                <w:rFonts w:ascii="Arial" w:cs="Arial" w:eastAsia="Arial" w:hAnsi="Arial"/>
                <w:sz w:val="12"/>
                <w:szCs w:val="12"/>
                <w:color w:val="auto"/>
              </w:rPr>
              <w:t xml:space="preserve">Financial system loan without Reactiva (% change) </w:t>
            </w:r>
            <w:r>
              <w:rPr>
                <w:rFonts w:ascii="Arial" w:cs="Arial" w:eastAsia="Arial" w:hAnsi="Arial"/>
                <w:sz w:val="19"/>
                <w:szCs w:val="19"/>
                <w:color w:val="auto"/>
                <w:vertAlign w:val="superscript"/>
              </w:rPr>
              <w:t>(1)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12.6</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9.7</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2.8</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1.3</w:t>
            </w:r>
          </w:p>
        </w:tc>
        <w:tc>
          <w:tcPr>
            <w:tcW w:w="94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w w:val="99"/>
              </w:rPr>
              <w:t>5.5</w:t>
            </w:r>
          </w:p>
        </w:tc>
        <w:tc>
          <w:tcPr>
            <w:tcW w:w="9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w w:val="99"/>
              </w:rPr>
              <w:t>6.9</w:t>
            </w:r>
          </w:p>
        </w:tc>
      </w:tr>
      <w:tr>
        <w:trPr>
          <w:trHeight w:val="148"/>
        </w:trPr>
        <w:tc>
          <w:tcPr>
            <w:tcW w:w="394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1"/>
                <w:szCs w:val="11"/>
                <w:color w:val="auto"/>
              </w:rPr>
              <w:t xml:space="preserve">Inflation, end of period </w:t>
            </w:r>
            <w:r>
              <w:rPr>
                <w:rFonts w:ascii="Arial" w:cs="Arial" w:eastAsia="Arial" w:hAnsi="Arial"/>
                <w:sz w:val="17"/>
                <w:szCs w:val="17"/>
                <w:color w:val="auto"/>
                <w:vertAlign w:val="superscript"/>
              </w:rPr>
              <w:t>(2)</w:t>
            </w: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2.0</w:t>
            </w: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9"/>
              </w:rPr>
              <w:t>6.4</w:t>
            </w: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9"/>
              </w:rPr>
              <w:t>8.5</w:t>
            </w: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3.2</w:t>
            </w: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9"/>
              </w:rPr>
              <w:t>2.0</w:t>
            </w:r>
          </w:p>
        </w:tc>
        <w:tc>
          <w:tcPr>
            <w:tcW w:w="940" w:type="dxa"/>
            <w:vAlign w:val="bottom"/>
            <w:tcBorders>
              <w:bottom w:val="single" w:sz="8" w:color="auto"/>
            </w:tcBorders>
            <w:shd w:val="clear" w:color="auto" w:fill="C0C0C0"/>
          </w:tcPr>
          <w:p>
            <w:pPr>
              <w:jc w:val="center"/>
              <w:spacing w:after="0" w:line="148" w:lineRule="exact"/>
              <w:rPr>
                <w:sz w:val="20"/>
                <w:szCs w:val="20"/>
                <w:color w:val="auto"/>
              </w:rPr>
            </w:pPr>
            <w:r>
              <w:rPr>
                <w:rFonts w:ascii="Arial" w:cs="Arial" w:eastAsia="Arial" w:hAnsi="Arial"/>
                <w:sz w:val="13"/>
                <w:szCs w:val="13"/>
                <w:color w:val="auto"/>
                <w:w w:val="99"/>
              </w:rPr>
              <w:t>1.4</w:t>
            </w:r>
          </w:p>
        </w:tc>
        <w:tc>
          <w:tcPr>
            <w:tcW w:w="980" w:type="dxa"/>
            <w:vAlign w:val="bottom"/>
            <w:tcBorders>
              <w:bottom w:val="single" w:sz="8" w:color="auto"/>
              <w:right w:val="single" w:sz="8" w:color="auto"/>
            </w:tcBorders>
            <w:shd w:val="clear" w:color="auto" w:fill="C0C0C0"/>
          </w:tcPr>
          <w:p>
            <w:pPr>
              <w:jc w:val="center"/>
              <w:spacing w:after="0" w:line="148" w:lineRule="exact"/>
              <w:rPr>
                <w:sz w:val="20"/>
                <w:szCs w:val="20"/>
                <w:color w:val="auto"/>
              </w:rPr>
            </w:pPr>
            <w:r>
              <w:rPr>
                <w:rFonts w:ascii="Arial" w:cs="Arial" w:eastAsia="Arial" w:hAnsi="Arial"/>
                <w:sz w:val="13"/>
                <w:szCs w:val="13"/>
                <w:color w:val="auto"/>
                <w:w w:val="99"/>
              </w:rPr>
              <w:t>2.0</w:t>
            </w:r>
          </w:p>
        </w:tc>
      </w:tr>
      <w:tr>
        <w:trPr>
          <w:trHeight w:val="148"/>
        </w:trPr>
        <w:tc>
          <w:tcPr>
            <w:tcW w:w="394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color w:val="auto"/>
              </w:rPr>
              <w:t>Reference Rate, end of period</w:t>
            </w: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4"/>
              </w:rPr>
              <w:t>0.25</w:t>
            </w: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2.50</w:t>
            </w: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7.50</w:t>
            </w: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4"/>
              </w:rPr>
              <w:t>6.75</w:t>
            </w: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5.00</w:t>
            </w:r>
          </w:p>
        </w:tc>
        <w:tc>
          <w:tcPr>
            <w:tcW w:w="940" w:type="dxa"/>
            <w:vAlign w:val="bottom"/>
            <w:tcBorders>
              <w:bottom w:val="single" w:sz="8" w:color="auto"/>
            </w:tcBorders>
            <w:shd w:val="clear" w:color="auto" w:fill="C0C0C0"/>
          </w:tcPr>
          <w:p>
            <w:pPr>
              <w:jc w:val="center"/>
              <w:spacing w:after="0" w:line="148" w:lineRule="exact"/>
              <w:rPr>
                <w:sz w:val="20"/>
                <w:szCs w:val="20"/>
                <w:color w:val="auto"/>
              </w:rPr>
            </w:pPr>
            <w:r>
              <w:rPr>
                <w:rFonts w:ascii="Arial" w:cs="Arial" w:eastAsia="Arial" w:hAnsi="Arial"/>
                <w:sz w:val="13"/>
                <w:szCs w:val="13"/>
                <w:color w:val="auto"/>
              </w:rPr>
              <w:t>4.25</w:t>
            </w:r>
          </w:p>
        </w:tc>
        <w:tc>
          <w:tcPr>
            <w:tcW w:w="980" w:type="dxa"/>
            <w:vAlign w:val="bottom"/>
            <w:tcBorders>
              <w:bottom w:val="single" w:sz="8" w:color="auto"/>
              <w:right w:val="single" w:sz="8" w:color="auto"/>
            </w:tcBorders>
            <w:shd w:val="clear" w:color="auto" w:fill="C0C0C0"/>
          </w:tcPr>
          <w:p>
            <w:pPr>
              <w:jc w:val="center"/>
              <w:spacing w:after="0" w:line="148" w:lineRule="exact"/>
              <w:rPr>
                <w:sz w:val="20"/>
                <w:szCs w:val="20"/>
                <w:color w:val="auto"/>
              </w:rPr>
            </w:pPr>
            <w:r>
              <w:rPr>
                <w:rFonts w:ascii="Arial" w:cs="Arial" w:eastAsia="Arial" w:hAnsi="Arial"/>
                <w:sz w:val="13"/>
                <w:szCs w:val="13"/>
                <w:color w:val="auto"/>
              </w:rPr>
              <w:t>4.00</w:t>
            </w:r>
          </w:p>
        </w:tc>
      </w:tr>
      <w:tr>
        <w:trPr>
          <w:trHeight w:val="148"/>
        </w:trPr>
        <w:tc>
          <w:tcPr>
            <w:tcW w:w="394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color w:val="auto"/>
              </w:rPr>
              <w:t>Exchange rate, end of period</w:t>
            </w: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4"/>
              </w:rPr>
              <w:t>3.62</w:t>
            </w: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3.99</w:t>
            </w: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3.81</w:t>
            </w: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4"/>
              </w:rPr>
              <w:t>3.71</w:t>
            </w: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3.76</w:t>
            </w:r>
          </w:p>
        </w:tc>
        <w:tc>
          <w:tcPr>
            <w:tcW w:w="940" w:type="dxa"/>
            <w:vAlign w:val="bottom"/>
            <w:tcBorders>
              <w:bottom w:val="single" w:sz="8" w:color="auto"/>
            </w:tcBorders>
            <w:shd w:val="clear" w:color="auto" w:fill="C0C0C0"/>
          </w:tcPr>
          <w:p>
            <w:pPr>
              <w:jc w:val="center"/>
              <w:spacing w:after="0" w:line="148" w:lineRule="exact"/>
              <w:rPr>
                <w:sz w:val="20"/>
                <w:szCs w:val="20"/>
                <w:color w:val="auto"/>
              </w:rPr>
            </w:pPr>
            <w:r>
              <w:rPr>
                <w:rFonts w:ascii="Arial" w:cs="Arial" w:eastAsia="Arial" w:hAnsi="Arial"/>
                <w:sz w:val="13"/>
                <w:szCs w:val="13"/>
                <w:color w:val="auto"/>
              </w:rPr>
              <w:t>3.45</w:t>
            </w:r>
          </w:p>
        </w:tc>
        <w:tc>
          <w:tcPr>
            <w:tcW w:w="980" w:type="dxa"/>
            <w:vAlign w:val="bottom"/>
            <w:tcBorders>
              <w:bottom w:val="single" w:sz="8" w:color="auto"/>
              <w:right w:val="single" w:sz="8" w:color="auto"/>
            </w:tcBorders>
            <w:shd w:val="clear" w:color="auto" w:fill="C0C0C0"/>
          </w:tcPr>
          <w:p>
            <w:pPr>
              <w:jc w:val="center"/>
              <w:spacing w:after="0" w:line="148" w:lineRule="exact"/>
              <w:rPr>
                <w:sz w:val="20"/>
                <w:szCs w:val="20"/>
                <w:color w:val="auto"/>
              </w:rPr>
            </w:pPr>
            <w:r>
              <w:rPr>
                <w:rFonts w:ascii="Arial" w:cs="Arial" w:eastAsia="Arial" w:hAnsi="Arial"/>
                <w:sz w:val="13"/>
                <w:szCs w:val="13"/>
                <w:color w:val="auto"/>
              </w:rPr>
              <w:t>3.35</w:t>
            </w:r>
          </w:p>
        </w:tc>
      </w:tr>
      <w:tr>
        <w:trPr>
          <w:trHeight w:val="148"/>
        </w:trPr>
        <w:tc>
          <w:tcPr>
            <w:tcW w:w="394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1"/>
                <w:szCs w:val="11"/>
                <w:color w:val="auto"/>
              </w:rPr>
              <w:t xml:space="preserve">Exchange rate, (% change) </w:t>
            </w:r>
            <w:r>
              <w:rPr>
                <w:rFonts w:ascii="Arial" w:cs="Arial" w:eastAsia="Arial" w:hAnsi="Arial"/>
                <w:sz w:val="17"/>
                <w:szCs w:val="17"/>
                <w:color w:val="auto"/>
                <w:vertAlign w:val="superscript"/>
              </w:rPr>
              <w:t>(3)</w:t>
            </w: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9"/>
              </w:rPr>
              <w:t>-9.3%</w:t>
            </w: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7"/>
              </w:rPr>
              <w:t>-10.3%</w:t>
            </w: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4.5%</w:t>
            </w: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2.7%</w:t>
            </w: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9"/>
              </w:rPr>
              <w:t>-1.3%</w:t>
            </w:r>
          </w:p>
        </w:tc>
        <w:tc>
          <w:tcPr>
            <w:tcW w:w="940" w:type="dxa"/>
            <w:vAlign w:val="bottom"/>
            <w:tcBorders>
              <w:bottom w:val="single" w:sz="8" w:color="auto"/>
            </w:tcBorders>
            <w:shd w:val="clear" w:color="auto" w:fill="C0C0C0"/>
          </w:tcPr>
          <w:p>
            <w:pPr>
              <w:jc w:val="center"/>
              <w:spacing w:after="0" w:line="148" w:lineRule="exact"/>
              <w:rPr>
                <w:sz w:val="20"/>
                <w:szCs w:val="20"/>
                <w:color w:val="auto"/>
              </w:rPr>
            </w:pPr>
            <w:r>
              <w:rPr>
                <w:rFonts w:ascii="Arial" w:cs="Arial" w:eastAsia="Arial" w:hAnsi="Arial"/>
                <w:sz w:val="13"/>
                <w:szCs w:val="13"/>
                <w:color w:val="auto"/>
              </w:rPr>
              <w:t>8.2%</w:t>
            </w:r>
          </w:p>
        </w:tc>
        <w:tc>
          <w:tcPr>
            <w:tcW w:w="980" w:type="dxa"/>
            <w:vAlign w:val="bottom"/>
            <w:tcBorders>
              <w:bottom w:val="single" w:sz="8" w:color="auto"/>
              <w:right w:val="single" w:sz="8" w:color="auto"/>
            </w:tcBorders>
            <w:shd w:val="clear" w:color="auto" w:fill="C0C0C0"/>
          </w:tcPr>
          <w:p>
            <w:pPr>
              <w:jc w:val="center"/>
              <w:spacing w:after="0" w:line="148" w:lineRule="exact"/>
              <w:rPr>
                <w:sz w:val="20"/>
                <w:szCs w:val="20"/>
                <w:color w:val="auto"/>
              </w:rPr>
            </w:pPr>
            <w:r>
              <w:rPr>
                <w:rFonts w:ascii="Arial" w:cs="Arial" w:eastAsia="Arial" w:hAnsi="Arial"/>
                <w:sz w:val="13"/>
                <w:szCs w:val="13"/>
                <w:color w:val="auto"/>
              </w:rPr>
              <w:t>2.9%</w:t>
            </w:r>
          </w:p>
        </w:tc>
      </w:tr>
      <w:tr>
        <w:trPr>
          <w:trHeight w:val="148"/>
        </w:trPr>
        <w:tc>
          <w:tcPr>
            <w:tcW w:w="394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color w:val="auto"/>
              </w:rPr>
              <w:t>Fiscal balance (% GDP)</w:t>
            </w: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-8.7</w:t>
            </w: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-2.5</w:t>
            </w: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7"/>
              </w:rPr>
              <w:t>-1.7</w:t>
            </w: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-2.7</w:t>
            </w: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7"/>
              </w:rPr>
              <w:t>-3.5</w:t>
            </w:r>
          </w:p>
        </w:tc>
        <w:tc>
          <w:tcPr>
            <w:tcW w:w="940" w:type="dxa"/>
            <w:vAlign w:val="bottom"/>
            <w:tcBorders>
              <w:bottom w:val="single" w:sz="8" w:color="auto"/>
            </w:tcBorders>
            <w:shd w:val="clear" w:color="auto" w:fill="C0C0C0"/>
          </w:tcPr>
          <w:p>
            <w:pPr>
              <w:jc w:val="center"/>
              <w:spacing w:after="0" w:line="148" w:lineRule="exact"/>
              <w:rPr>
                <w:sz w:val="20"/>
                <w:szCs w:val="20"/>
                <w:color w:val="auto"/>
              </w:rPr>
            </w:pPr>
            <w:r>
              <w:rPr>
                <w:rFonts w:ascii="Arial" w:cs="Arial" w:eastAsia="Arial" w:hAnsi="Arial"/>
                <w:sz w:val="13"/>
                <w:szCs w:val="13"/>
                <w:color w:val="auto"/>
                <w:w w:val="97"/>
              </w:rPr>
              <w:t>-2.3</w:t>
            </w:r>
          </w:p>
        </w:tc>
        <w:tc>
          <w:tcPr>
            <w:tcW w:w="980" w:type="dxa"/>
            <w:vAlign w:val="bottom"/>
            <w:tcBorders>
              <w:bottom w:val="single" w:sz="8" w:color="auto"/>
              <w:right w:val="single" w:sz="8" w:color="auto"/>
            </w:tcBorders>
            <w:shd w:val="clear" w:color="auto" w:fill="C0C0C0"/>
          </w:tcPr>
          <w:p>
            <w:pPr>
              <w:jc w:val="center"/>
              <w:spacing w:after="0" w:line="148" w:lineRule="exact"/>
              <w:rPr>
                <w:sz w:val="20"/>
                <w:szCs w:val="20"/>
                <w:color w:val="auto"/>
              </w:rPr>
            </w:pPr>
            <w:r>
              <w:rPr>
                <w:rFonts w:ascii="Arial" w:cs="Arial" w:eastAsia="Arial" w:hAnsi="Arial"/>
                <w:sz w:val="13"/>
                <w:szCs w:val="13"/>
                <w:color w:val="auto"/>
              </w:rPr>
              <w:t>-2.3</w:t>
            </w:r>
          </w:p>
        </w:tc>
      </w:tr>
      <w:tr>
        <w:trPr>
          <w:trHeight w:val="148"/>
        </w:trPr>
        <w:tc>
          <w:tcPr>
            <w:tcW w:w="394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color w:val="auto"/>
              </w:rPr>
              <w:t>Public Debt (as % GDP)</w:t>
            </w: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34</w:t>
            </w: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35</w:t>
            </w: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6"/>
              </w:rPr>
              <w:t>33</w:t>
            </w: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32</w:t>
            </w: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6"/>
              </w:rPr>
              <w:t>32</w:t>
            </w:r>
          </w:p>
        </w:tc>
        <w:tc>
          <w:tcPr>
            <w:tcW w:w="940" w:type="dxa"/>
            <w:vAlign w:val="bottom"/>
            <w:tcBorders>
              <w:bottom w:val="single" w:sz="8" w:color="auto"/>
            </w:tcBorders>
            <w:shd w:val="clear" w:color="auto" w:fill="C0C0C0"/>
          </w:tcPr>
          <w:p>
            <w:pPr>
              <w:jc w:val="center"/>
              <w:spacing w:after="0" w:line="148" w:lineRule="exact"/>
              <w:rPr>
                <w:sz w:val="20"/>
                <w:szCs w:val="20"/>
                <w:color w:val="auto"/>
              </w:rPr>
            </w:pPr>
            <w:r>
              <w:rPr>
                <w:rFonts w:ascii="Arial" w:cs="Arial" w:eastAsia="Arial" w:hAnsi="Arial"/>
                <w:sz w:val="13"/>
                <w:szCs w:val="13"/>
                <w:color w:val="auto"/>
                <w:w w:val="96"/>
              </w:rPr>
              <w:t>32</w:t>
            </w:r>
          </w:p>
        </w:tc>
        <w:tc>
          <w:tcPr>
            <w:tcW w:w="980" w:type="dxa"/>
            <w:vAlign w:val="bottom"/>
            <w:tcBorders>
              <w:bottom w:val="single" w:sz="8" w:color="auto"/>
              <w:right w:val="single" w:sz="8" w:color="auto"/>
            </w:tcBorders>
            <w:shd w:val="clear" w:color="auto" w:fill="C0C0C0"/>
          </w:tcPr>
          <w:p>
            <w:pPr>
              <w:jc w:val="center"/>
              <w:spacing w:after="0" w:line="148" w:lineRule="exact"/>
              <w:rPr>
                <w:sz w:val="20"/>
                <w:szCs w:val="20"/>
                <w:color w:val="auto"/>
              </w:rPr>
            </w:pPr>
            <w:r>
              <w:rPr>
                <w:rFonts w:ascii="Arial" w:cs="Arial" w:eastAsia="Arial" w:hAnsi="Arial"/>
                <w:sz w:val="13"/>
                <w:szCs w:val="13"/>
                <w:color w:val="auto"/>
                <w:w w:val="96"/>
              </w:rPr>
              <w:t>32</w:t>
            </w:r>
          </w:p>
        </w:tc>
      </w:tr>
      <w:tr>
        <w:trPr>
          <w:trHeight w:val="137"/>
        </w:trPr>
        <w:tc>
          <w:tcPr>
            <w:tcW w:w="3940" w:type="dxa"/>
            <w:vAlign w:val="bottom"/>
            <w:tcBorders>
              <w:left w:val="single" w:sz="8" w:color="auto"/>
              <w:right w:val="single" w:sz="8" w:color="auto"/>
            </w:tcBorders>
          </w:tcPr>
          <w:p>
            <w:pPr>
              <w:ind w:left="20"/>
              <w:spacing w:after="0" w:line="137" w:lineRule="exact"/>
              <w:rPr>
                <w:sz w:val="20"/>
                <w:szCs w:val="20"/>
                <w:color w:val="auto"/>
              </w:rPr>
            </w:pPr>
            <w:r>
              <w:rPr>
                <w:rFonts w:ascii="Arial" w:cs="Arial" w:eastAsia="Arial" w:hAnsi="Arial"/>
                <w:sz w:val="13"/>
                <w:szCs w:val="13"/>
                <w:color w:val="auto"/>
              </w:rPr>
              <w:t>Trade balance (US$ Millions)</w:t>
            </w:r>
          </w:p>
        </w:tc>
        <w:tc>
          <w:tcPr>
            <w:tcW w:w="920" w:type="dxa"/>
            <w:vAlign w:val="bottom"/>
          </w:tcPr>
          <w:p>
            <w:pPr>
              <w:jc w:val="center"/>
              <w:spacing w:after="0" w:line="137" w:lineRule="exact"/>
              <w:rPr>
                <w:sz w:val="20"/>
                <w:szCs w:val="20"/>
                <w:color w:val="auto"/>
              </w:rPr>
            </w:pPr>
            <w:r>
              <w:rPr>
                <w:rFonts w:ascii="Arial" w:cs="Arial" w:eastAsia="Arial" w:hAnsi="Arial"/>
                <w:sz w:val="13"/>
                <w:szCs w:val="13"/>
                <w:color w:val="auto"/>
              </w:rPr>
              <w:t>8</w:t>
            </w:r>
          </w:p>
        </w:tc>
        <w:tc>
          <w:tcPr>
            <w:tcW w:w="960" w:type="dxa"/>
            <w:vAlign w:val="bottom"/>
          </w:tcPr>
          <w:p>
            <w:pPr>
              <w:jc w:val="center"/>
              <w:spacing w:after="0" w:line="137" w:lineRule="exact"/>
              <w:rPr>
                <w:sz w:val="20"/>
                <w:szCs w:val="20"/>
                <w:color w:val="auto"/>
              </w:rPr>
            </w:pPr>
            <w:r>
              <w:rPr>
                <w:rFonts w:ascii="Arial" w:cs="Arial" w:eastAsia="Arial" w:hAnsi="Arial"/>
                <w:sz w:val="13"/>
                <w:szCs w:val="13"/>
                <w:color w:val="auto"/>
              </w:rPr>
              <w:t>15</w:t>
            </w:r>
          </w:p>
        </w:tc>
        <w:tc>
          <w:tcPr>
            <w:tcW w:w="940" w:type="dxa"/>
            <w:vAlign w:val="bottom"/>
          </w:tcPr>
          <w:p>
            <w:pPr>
              <w:jc w:val="center"/>
              <w:spacing w:after="0" w:line="137" w:lineRule="exact"/>
              <w:rPr>
                <w:sz w:val="20"/>
                <w:szCs w:val="20"/>
                <w:color w:val="auto"/>
              </w:rPr>
            </w:pPr>
            <w:r>
              <w:rPr>
                <w:rFonts w:ascii="Arial" w:cs="Arial" w:eastAsia="Arial" w:hAnsi="Arial"/>
                <w:sz w:val="13"/>
                <w:szCs w:val="13"/>
                <w:color w:val="auto"/>
                <w:w w:val="96"/>
              </w:rPr>
              <w:t>10</w:t>
            </w:r>
          </w:p>
        </w:tc>
        <w:tc>
          <w:tcPr>
            <w:tcW w:w="960" w:type="dxa"/>
            <w:vAlign w:val="bottom"/>
          </w:tcPr>
          <w:p>
            <w:pPr>
              <w:jc w:val="center"/>
              <w:spacing w:after="0" w:line="137" w:lineRule="exact"/>
              <w:rPr>
                <w:sz w:val="20"/>
                <w:szCs w:val="20"/>
                <w:color w:val="auto"/>
              </w:rPr>
            </w:pPr>
            <w:r>
              <w:rPr>
                <w:rFonts w:ascii="Arial" w:cs="Arial" w:eastAsia="Arial" w:hAnsi="Arial"/>
                <w:sz w:val="13"/>
                <w:szCs w:val="13"/>
                <w:color w:val="auto"/>
              </w:rPr>
              <w:t>17</w:t>
            </w:r>
          </w:p>
        </w:tc>
        <w:tc>
          <w:tcPr>
            <w:tcW w:w="940" w:type="dxa"/>
            <w:vAlign w:val="bottom"/>
          </w:tcPr>
          <w:p>
            <w:pPr>
              <w:jc w:val="center"/>
              <w:spacing w:after="0" w:line="137" w:lineRule="exact"/>
              <w:rPr>
                <w:sz w:val="20"/>
                <w:szCs w:val="20"/>
                <w:color w:val="auto"/>
              </w:rPr>
            </w:pPr>
            <w:r>
              <w:rPr>
                <w:rFonts w:ascii="Arial" w:cs="Arial" w:eastAsia="Arial" w:hAnsi="Arial"/>
                <w:sz w:val="13"/>
                <w:szCs w:val="13"/>
                <w:color w:val="auto"/>
                <w:w w:val="96"/>
              </w:rPr>
              <w:t>24</w:t>
            </w:r>
          </w:p>
        </w:tc>
        <w:tc>
          <w:tcPr>
            <w:tcW w:w="940" w:type="dxa"/>
            <w:vAlign w:val="bottom"/>
            <w:shd w:val="clear" w:color="auto" w:fill="C0C0C0"/>
          </w:tcPr>
          <w:p>
            <w:pPr>
              <w:jc w:val="center"/>
              <w:spacing w:after="0" w:line="137" w:lineRule="exact"/>
              <w:rPr>
                <w:sz w:val="20"/>
                <w:szCs w:val="20"/>
                <w:color w:val="auto"/>
              </w:rPr>
            </w:pPr>
            <w:r>
              <w:rPr>
                <w:rFonts w:ascii="Arial" w:cs="Arial" w:eastAsia="Arial" w:hAnsi="Arial"/>
                <w:sz w:val="13"/>
                <w:szCs w:val="13"/>
                <w:color w:val="auto"/>
                <w:w w:val="96"/>
              </w:rPr>
              <w:t>29</w:t>
            </w:r>
          </w:p>
        </w:tc>
        <w:tc>
          <w:tcPr>
            <w:tcW w:w="980" w:type="dxa"/>
            <w:vAlign w:val="bottom"/>
            <w:tcBorders>
              <w:right w:val="single" w:sz="8" w:color="auto"/>
            </w:tcBorders>
            <w:shd w:val="clear" w:color="auto" w:fill="C0C0C0"/>
          </w:tcPr>
          <w:p>
            <w:pPr>
              <w:jc w:val="center"/>
              <w:spacing w:after="0" w:line="137" w:lineRule="exact"/>
              <w:rPr>
                <w:sz w:val="20"/>
                <w:szCs w:val="20"/>
                <w:color w:val="auto"/>
              </w:rPr>
            </w:pPr>
            <w:r>
              <w:rPr>
                <w:rFonts w:ascii="Arial" w:cs="Arial" w:eastAsia="Arial" w:hAnsi="Arial"/>
                <w:sz w:val="13"/>
                <w:szCs w:val="13"/>
                <w:color w:val="auto"/>
                <w:w w:val="96"/>
              </w:rPr>
              <w:t>30</w:t>
            </w:r>
          </w:p>
        </w:tc>
      </w:tr>
      <w:tr>
        <w:trPr>
          <w:trHeight w:val="15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 % GDP)</w:t>
            </w:r>
          </w:p>
        </w:tc>
        <w:tc>
          <w:tcPr>
            <w:tcW w:w="920" w:type="dxa"/>
            <w:vAlign w:val="bottom"/>
          </w:tcPr>
          <w:p>
            <w:pPr>
              <w:jc w:val="center"/>
              <w:spacing w:after="0"/>
              <w:rPr>
                <w:sz w:val="20"/>
                <w:szCs w:val="20"/>
                <w:color w:val="auto"/>
              </w:rPr>
            </w:pPr>
            <w:r>
              <w:rPr>
                <w:rFonts w:ascii="Arial" w:cs="Arial" w:eastAsia="Arial" w:hAnsi="Arial"/>
                <w:sz w:val="13"/>
                <w:szCs w:val="13"/>
                <w:color w:val="auto"/>
              </w:rPr>
              <w:t>3.9%</w:t>
            </w:r>
          </w:p>
        </w:tc>
        <w:tc>
          <w:tcPr>
            <w:tcW w:w="960" w:type="dxa"/>
            <w:vAlign w:val="bottom"/>
          </w:tcPr>
          <w:p>
            <w:pPr>
              <w:jc w:val="center"/>
              <w:spacing w:after="0"/>
              <w:rPr>
                <w:sz w:val="20"/>
                <w:szCs w:val="20"/>
                <w:color w:val="auto"/>
              </w:rPr>
            </w:pPr>
            <w:r>
              <w:rPr>
                <w:rFonts w:ascii="Arial" w:cs="Arial" w:eastAsia="Arial" w:hAnsi="Arial"/>
                <w:sz w:val="13"/>
                <w:szCs w:val="13"/>
                <w:color w:val="auto"/>
              </w:rPr>
              <w:t>6.6%</w:t>
            </w:r>
          </w:p>
        </w:tc>
        <w:tc>
          <w:tcPr>
            <w:tcW w:w="940" w:type="dxa"/>
            <w:vAlign w:val="bottom"/>
          </w:tcPr>
          <w:p>
            <w:pPr>
              <w:jc w:val="center"/>
              <w:spacing w:after="0"/>
              <w:rPr>
                <w:sz w:val="20"/>
                <w:szCs w:val="20"/>
                <w:color w:val="auto"/>
              </w:rPr>
            </w:pPr>
            <w:r>
              <w:rPr>
                <w:rFonts w:ascii="Arial" w:cs="Arial" w:eastAsia="Arial" w:hAnsi="Arial"/>
                <w:sz w:val="13"/>
                <w:szCs w:val="13"/>
                <w:color w:val="auto"/>
              </w:rPr>
              <w:t>4.2%</w:t>
            </w:r>
          </w:p>
        </w:tc>
        <w:tc>
          <w:tcPr>
            <w:tcW w:w="960" w:type="dxa"/>
            <w:vAlign w:val="bottom"/>
          </w:tcPr>
          <w:p>
            <w:pPr>
              <w:jc w:val="center"/>
              <w:spacing w:after="0"/>
              <w:rPr>
                <w:sz w:val="20"/>
                <w:szCs w:val="20"/>
                <w:color w:val="auto"/>
              </w:rPr>
            </w:pPr>
            <w:r>
              <w:rPr>
                <w:rFonts w:ascii="Arial" w:cs="Arial" w:eastAsia="Arial" w:hAnsi="Arial"/>
                <w:sz w:val="13"/>
                <w:szCs w:val="13"/>
                <w:color w:val="auto"/>
              </w:rPr>
              <w:t>6.3%</w:t>
            </w:r>
          </w:p>
        </w:tc>
        <w:tc>
          <w:tcPr>
            <w:tcW w:w="940" w:type="dxa"/>
            <w:vAlign w:val="bottom"/>
          </w:tcPr>
          <w:p>
            <w:pPr>
              <w:jc w:val="center"/>
              <w:spacing w:after="0"/>
              <w:rPr>
                <w:sz w:val="20"/>
                <w:szCs w:val="20"/>
                <w:color w:val="auto"/>
              </w:rPr>
            </w:pPr>
            <w:r>
              <w:rPr>
                <w:rFonts w:ascii="Arial" w:cs="Arial" w:eastAsia="Arial" w:hAnsi="Arial"/>
                <w:sz w:val="13"/>
                <w:szCs w:val="13"/>
                <w:color w:val="auto"/>
              </w:rPr>
              <w:t>8.2%</w:t>
            </w:r>
          </w:p>
        </w:tc>
        <w:tc>
          <w:tcPr>
            <w:tcW w:w="94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8.6%</w:t>
            </w:r>
          </w:p>
        </w:tc>
        <w:tc>
          <w:tcPr>
            <w:tcW w:w="9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rPr>
              <w:t>8.2%</w:t>
            </w:r>
          </w:p>
        </w:tc>
      </w:tr>
      <w:tr>
        <w:trPr>
          <w:trHeight w:val="15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Exports</w:t>
            </w:r>
          </w:p>
        </w:tc>
        <w:tc>
          <w:tcPr>
            <w:tcW w:w="920" w:type="dxa"/>
            <w:vAlign w:val="bottom"/>
          </w:tcPr>
          <w:p>
            <w:pPr>
              <w:jc w:val="center"/>
              <w:spacing w:after="0"/>
              <w:rPr>
                <w:sz w:val="20"/>
                <w:szCs w:val="20"/>
                <w:color w:val="auto"/>
              </w:rPr>
            </w:pPr>
            <w:r>
              <w:rPr>
                <w:rFonts w:ascii="Arial" w:cs="Arial" w:eastAsia="Arial" w:hAnsi="Arial"/>
                <w:sz w:val="13"/>
                <w:szCs w:val="13"/>
                <w:color w:val="auto"/>
              </w:rPr>
              <w:t>43</w:t>
            </w:r>
          </w:p>
        </w:tc>
        <w:tc>
          <w:tcPr>
            <w:tcW w:w="960" w:type="dxa"/>
            <w:vAlign w:val="bottom"/>
          </w:tcPr>
          <w:p>
            <w:pPr>
              <w:jc w:val="center"/>
              <w:spacing w:after="0"/>
              <w:rPr>
                <w:sz w:val="20"/>
                <w:szCs w:val="20"/>
                <w:color w:val="auto"/>
              </w:rPr>
            </w:pPr>
            <w:r>
              <w:rPr>
                <w:rFonts w:ascii="Arial" w:cs="Arial" w:eastAsia="Arial" w:hAnsi="Arial"/>
                <w:sz w:val="13"/>
                <w:szCs w:val="13"/>
                <w:color w:val="auto"/>
              </w:rPr>
              <w:t>63</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66</w:t>
            </w:r>
          </w:p>
        </w:tc>
        <w:tc>
          <w:tcPr>
            <w:tcW w:w="960" w:type="dxa"/>
            <w:vAlign w:val="bottom"/>
          </w:tcPr>
          <w:p>
            <w:pPr>
              <w:jc w:val="center"/>
              <w:spacing w:after="0"/>
              <w:rPr>
                <w:sz w:val="20"/>
                <w:szCs w:val="20"/>
                <w:color w:val="auto"/>
              </w:rPr>
            </w:pPr>
            <w:r>
              <w:rPr>
                <w:rFonts w:ascii="Arial" w:cs="Arial" w:eastAsia="Arial" w:hAnsi="Arial"/>
                <w:sz w:val="13"/>
                <w:szCs w:val="13"/>
                <w:color w:val="auto"/>
              </w:rPr>
              <w:t>67</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76</w:t>
            </w:r>
          </w:p>
        </w:tc>
        <w:tc>
          <w:tcPr>
            <w:tcW w:w="94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96"/>
              </w:rPr>
              <w:t>85</w:t>
            </w:r>
          </w:p>
        </w:tc>
        <w:tc>
          <w:tcPr>
            <w:tcW w:w="9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w w:val="96"/>
              </w:rPr>
              <w:t>90</w:t>
            </w:r>
          </w:p>
        </w:tc>
      </w:tr>
      <w:tr>
        <w:trPr>
          <w:trHeight w:val="15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Imports</w:t>
            </w:r>
          </w:p>
        </w:tc>
        <w:tc>
          <w:tcPr>
            <w:tcW w:w="920" w:type="dxa"/>
            <w:vAlign w:val="bottom"/>
          </w:tcPr>
          <w:p>
            <w:pPr>
              <w:jc w:val="center"/>
              <w:spacing w:after="0"/>
              <w:rPr>
                <w:sz w:val="20"/>
                <w:szCs w:val="20"/>
                <w:color w:val="auto"/>
              </w:rPr>
            </w:pPr>
            <w:r>
              <w:rPr>
                <w:rFonts w:ascii="Arial" w:cs="Arial" w:eastAsia="Arial" w:hAnsi="Arial"/>
                <w:sz w:val="13"/>
                <w:szCs w:val="13"/>
                <w:color w:val="auto"/>
              </w:rPr>
              <w:t>35</w:t>
            </w:r>
          </w:p>
        </w:tc>
        <w:tc>
          <w:tcPr>
            <w:tcW w:w="960" w:type="dxa"/>
            <w:vAlign w:val="bottom"/>
          </w:tcPr>
          <w:p>
            <w:pPr>
              <w:jc w:val="center"/>
              <w:spacing w:after="0"/>
              <w:rPr>
                <w:sz w:val="20"/>
                <w:szCs w:val="20"/>
                <w:color w:val="auto"/>
              </w:rPr>
            </w:pPr>
            <w:r>
              <w:rPr>
                <w:rFonts w:ascii="Arial" w:cs="Arial" w:eastAsia="Arial" w:hAnsi="Arial"/>
                <w:sz w:val="13"/>
                <w:szCs w:val="13"/>
                <w:color w:val="auto"/>
              </w:rPr>
              <w:t>48</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56</w:t>
            </w:r>
          </w:p>
        </w:tc>
        <w:tc>
          <w:tcPr>
            <w:tcW w:w="960" w:type="dxa"/>
            <w:vAlign w:val="bottom"/>
          </w:tcPr>
          <w:p>
            <w:pPr>
              <w:jc w:val="center"/>
              <w:spacing w:after="0"/>
              <w:rPr>
                <w:sz w:val="20"/>
                <w:szCs w:val="20"/>
                <w:color w:val="auto"/>
              </w:rPr>
            </w:pPr>
            <w:r>
              <w:rPr>
                <w:rFonts w:ascii="Arial" w:cs="Arial" w:eastAsia="Arial" w:hAnsi="Arial"/>
                <w:sz w:val="13"/>
                <w:szCs w:val="13"/>
                <w:color w:val="auto"/>
              </w:rPr>
              <w:t>50</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52</w:t>
            </w:r>
          </w:p>
        </w:tc>
        <w:tc>
          <w:tcPr>
            <w:tcW w:w="94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96"/>
              </w:rPr>
              <w:t>56</w:t>
            </w:r>
          </w:p>
        </w:tc>
        <w:tc>
          <w:tcPr>
            <w:tcW w:w="9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w w:val="96"/>
              </w:rPr>
              <w:t>60</w:t>
            </w:r>
          </w:p>
        </w:tc>
      </w:tr>
      <w:tr>
        <w:trPr>
          <w:trHeight w:val="15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Current account balance (As % GDP)</w:t>
            </w:r>
          </w:p>
        </w:tc>
        <w:tc>
          <w:tcPr>
            <w:tcW w:w="920" w:type="dxa"/>
            <w:vAlign w:val="bottom"/>
          </w:tcPr>
          <w:p>
            <w:pPr>
              <w:jc w:val="center"/>
              <w:spacing w:after="0"/>
              <w:rPr>
                <w:sz w:val="20"/>
                <w:szCs w:val="20"/>
                <w:color w:val="auto"/>
              </w:rPr>
            </w:pPr>
            <w:r>
              <w:rPr>
                <w:rFonts w:ascii="Arial" w:cs="Arial" w:eastAsia="Arial" w:hAnsi="Arial"/>
                <w:sz w:val="13"/>
                <w:szCs w:val="13"/>
                <w:color w:val="auto"/>
              </w:rPr>
              <w:t>0.8%</w:t>
            </w:r>
          </w:p>
        </w:tc>
        <w:tc>
          <w:tcPr>
            <w:tcW w:w="960" w:type="dxa"/>
            <w:vAlign w:val="bottom"/>
          </w:tcPr>
          <w:p>
            <w:pPr>
              <w:jc w:val="center"/>
              <w:spacing w:after="0"/>
              <w:rPr>
                <w:sz w:val="20"/>
                <w:szCs w:val="20"/>
                <w:color w:val="auto"/>
              </w:rPr>
            </w:pPr>
            <w:r>
              <w:rPr>
                <w:rFonts w:ascii="Arial" w:cs="Arial" w:eastAsia="Arial" w:hAnsi="Arial"/>
                <w:sz w:val="13"/>
                <w:szCs w:val="13"/>
                <w:color w:val="auto"/>
              </w:rPr>
              <w:t>-2.2%</w:t>
            </w:r>
          </w:p>
        </w:tc>
        <w:tc>
          <w:tcPr>
            <w:tcW w:w="940" w:type="dxa"/>
            <w:vAlign w:val="bottom"/>
          </w:tcPr>
          <w:p>
            <w:pPr>
              <w:jc w:val="center"/>
              <w:spacing w:after="0"/>
              <w:rPr>
                <w:sz w:val="20"/>
                <w:szCs w:val="20"/>
                <w:color w:val="auto"/>
              </w:rPr>
            </w:pPr>
            <w:r>
              <w:rPr>
                <w:rFonts w:ascii="Arial" w:cs="Arial" w:eastAsia="Arial" w:hAnsi="Arial"/>
                <w:sz w:val="13"/>
                <w:szCs w:val="13"/>
                <w:color w:val="auto"/>
                <w:w w:val="99"/>
              </w:rPr>
              <w:t>-4.0%</w:t>
            </w:r>
          </w:p>
        </w:tc>
        <w:tc>
          <w:tcPr>
            <w:tcW w:w="960" w:type="dxa"/>
            <w:vAlign w:val="bottom"/>
          </w:tcPr>
          <w:p>
            <w:pPr>
              <w:jc w:val="center"/>
              <w:spacing w:after="0"/>
              <w:rPr>
                <w:sz w:val="20"/>
                <w:szCs w:val="20"/>
                <w:color w:val="auto"/>
              </w:rPr>
            </w:pPr>
            <w:r>
              <w:rPr>
                <w:rFonts w:ascii="Arial" w:cs="Arial" w:eastAsia="Arial" w:hAnsi="Arial"/>
                <w:sz w:val="13"/>
                <w:szCs w:val="13"/>
                <w:color w:val="auto"/>
              </w:rPr>
              <w:t>0.3%</w:t>
            </w:r>
          </w:p>
        </w:tc>
        <w:tc>
          <w:tcPr>
            <w:tcW w:w="940" w:type="dxa"/>
            <w:vAlign w:val="bottom"/>
          </w:tcPr>
          <w:p>
            <w:pPr>
              <w:jc w:val="center"/>
              <w:spacing w:after="0"/>
              <w:rPr>
                <w:sz w:val="20"/>
                <w:szCs w:val="20"/>
                <w:color w:val="auto"/>
              </w:rPr>
            </w:pPr>
            <w:r>
              <w:rPr>
                <w:rFonts w:ascii="Arial" w:cs="Arial" w:eastAsia="Arial" w:hAnsi="Arial"/>
                <w:sz w:val="13"/>
                <w:szCs w:val="13"/>
                <w:color w:val="auto"/>
              </w:rPr>
              <w:t>2.2%</w:t>
            </w:r>
          </w:p>
        </w:tc>
        <w:tc>
          <w:tcPr>
            <w:tcW w:w="94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1.7%</w:t>
            </w:r>
          </w:p>
        </w:tc>
        <w:tc>
          <w:tcPr>
            <w:tcW w:w="9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rPr>
              <w:t>1.2%</w:t>
            </w:r>
          </w:p>
        </w:tc>
      </w:tr>
      <w:tr>
        <w:trPr>
          <w:trHeight w:val="15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Net international reserves (US$ Millions)</w:t>
            </w:r>
          </w:p>
        </w:tc>
        <w:tc>
          <w:tcPr>
            <w:tcW w:w="920" w:type="dxa"/>
            <w:vAlign w:val="bottom"/>
          </w:tcPr>
          <w:p>
            <w:pPr>
              <w:jc w:val="center"/>
              <w:spacing w:after="0"/>
              <w:rPr>
                <w:sz w:val="20"/>
                <w:szCs w:val="20"/>
                <w:color w:val="auto"/>
              </w:rPr>
            </w:pPr>
            <w:r>
              <w:rPr>
                <w:rFonts w:ascii="Arial" w:cs="Arial" w:eastAsia="Arial" w:hAnsi="Arial"/>
                <w:sz w:val="13"/>
                <w:szCs w:val="13"/>
                <w:color w:val="auto"/>
              </w:rPr>
              <w:t>75</w:t>
            </w:r>
          </w:p>
        </w:tc>
        <w:tc>
          <w:tcPr>
            <w:tcW w:w="960" w:type="dxa"/>
            <w:vAlign w:val="bottom"/>
          </w:tcPr>
          <w:p>
            <w:pPr>
              <w:jc w:val="center"/>
              <w:spacing w:after="0"/>
              <w:rPr>
                <w:sz w:val="20"/>
                <w:szCs w:val="20"/>
                <w:color w:val="auto"/>
              </w:rPr>
            </w:pPr>
            <w:r>
              <w:rPr>
                <w:rFonts w:ascii="Arial" w:cs="Arial" w:eastAsia="Arial" w:hAnsi="Arial"/>
                <w:sz w:val="13"/>
                <w:szCs w:val="13"/>
                <w:color w:val="auto"/>
              </w:rPr>
              <w:t>78</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72</w:t>
            </w:r>
          </w:p>
        </w:tc>
        <w:tc>
          <w:tcPr>
            <w:tcW w:w="960" w:type="dxa"/>
            <w:vAlign w:val="bottom"/>
          </w:tcPr>
          <w:p>
            <w:pPr>
              <w:jc w:val="center"/>
              <w:spacing w:after="0"/>
              <w:rPr>
                <w:sz w:val="20"/>
                <w:szCs w:val="20"/>
                <w:color w:val="auto"/>
              </w:rPr>
            </w:pPr>
            <w:r>
              <w:rPr>
                <w:rFonts w:ascii="Arial" w:cs="Arial" w:eastAsia="Arial" w:hAnsi="Arial"/>
                <w:sz w:val="13"/>
                <w:szCs w:val="13"/>
                <w:color w:val="auto"/>
              </w:rPr>
              <w:t>71</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79</w:t>
            </w:r>
          </w:p>
        </w:tc>
        <w:tc>
          <w:tcPr>
            <w:tcW w:w="94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96"/>
              </w:rPr>
              <w:t>88</w:t>
            </w:r>
          </w:p>
        </w:tc>
        <w:tc>
          <w:tcPr>
            <w:tcW w:w="9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w w:val="96"/>
              </w:rPr>
              <w:t>88</w:t>
            </w:r>
          </w:p>
        </w:tc>
      </w:tr>
      <w:tr>
        <w:trPr>
          <w:trHeight w:val="156"/>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 % GDP)</w:t>
            </w: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35.6%</w:t>
            </w:r>
          </w:p>
        </w:tc>
        <w:tc>
          <w:tcPr>
            <w:tcW w:w="960" w:type="dxa"/>
            <w:vAlign w:val="bottom"/>
          </w:tcPr>
          <w:p>
            <w:pPr>
              <w:jc w:val="center"/>
              <w:spacing w:after="0"/>
              <w:rPr>
                <w:sz w:val="20"/>
                <w:szCs w:val="20"/>
                <w:color w:val="auto"/>
              </w:rPr>
            </w:pPr>
            <w:r>
              <w:rPr>
                <w:rFonts w:ascii="Arial" w:cs="Arial" w:eastAsia="Arial" w:hAnsi="Arial"/>
                <w:sz w:val="13"/>
                <w:szCs w:val="13"/>
                <w:color w:val="auto"/>
                <w:w w:val="97"/>
              </w:rPr>
              <w:t>34.2%</w:t>
            </w:r>
          </w:p>
        </w:tc>
        <w:tc>
          <w:tcPr>
            <w:tcW w:w="940" w:type="dxa"/>
            <w:vAlign w:val="bottom"/>
          </w:tcPr>
          <w:p>
            <w:pPr>
              <w:jc w:val="center"/>
              <w:spacing w:after="0"/>
              <w:rPr>
                <w:sz w:val="20"/>
                <w:szCs w:val="20"/>
                <w:color w:val="auto"/>
              </w:rPr>
            </w:pPr>
            <w:r>
              <w:rPr>
                <w:rFonts w:ascii="Arial" w:cs="Arial" w:eastAsia="Arial" w:hAnsi="Arial"/>
                <w:sz w:val="13"/>
                <w:szCs w:val="13"/>
                <w:color w:val="auto"/>
              </w:rPr>
              <w:t>28.9%</w:t>
            </w:r>
          </w:p>
        </w:tc>
        <w:tc>
          <w:tcPr>
            <w:tcW w:w="960" w:type="dxa"/>
            <w:vAlign w:val="bottom"/>
          </w:tcPr>
          <w:p>
            <w:pPr>
              <w:jc w:val="center"/>
              <w:spacing w:after="0"/>
              <w:rPr>
                <w:sz w:val="20"/>
                <w:szCs w:val="20"/>
                <w:color w:val="auto"/>
              </w:rPr>
            </w:pPr>
            <w:r>
              <w:rPr>
                <w:rFonts w:ascii="Arial" w:cs="Arial" w:eastAsia="Arial" w:hAnsi="Arial"/>
                <w:sz w:val="13"/>
                <w:szCs w:val="13"/>
                <w:color w:val="auto"/>
                <w:w w:val="97"/>
              </w:rPr>
              <w:t>26.1%</w:t>
            </w:r>
          </w:p>
        </w:tc>
        <w:tc>
          <w:tcPr>
            <w:tcW w:w="940" w:type="dxa"/>
            <w:vAlign w:val="bottom"/>
          </w:tcPr>
          <w:p>
            <w:pPr>
              <w:jc w:val="center"/>
              <w:spacing w:after="0"/>
              <w:rPr>
                <w:sz w:val="20"/>
                <w:szCs w:val="20"/>
                <w:color w:val="auto"/>
              </w:rPr>
            </w:pPr>
            <w:r>
              <w:rPr>
                <w:rFonts w:ascii="Arial" w:cs="Arial" w:eastAsia="Arial" w:hAnsi="Arial"/>
                <w:sz w:val="13"/>
                <w:szCs w:val="13"/>
                <w:color w:val="auto"/>
              </w:rPr>
              <w:t>26.8%</w:t>
            </w:r>
          </w:p>
        </w:tc>
        <w:tc>
          <w:tcPr>
            <w:tcW w:w="94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26.1%</w:t>
            </w:r>
          </w:p>
        </w:tc>
        <w:tc>
          <w:tcPr>
            <w:tcW w:w="9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w w:val="97"/>
              </w:rPr>
              <w:t>24.1%</w:t>
            </w:r>
          </w:p>
        </w:tc>
      </w:tr>
      <w:tr>
        <w:trPr>
          <w:trHeight w:val="168"/>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 months of imports)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26</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15</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18</w:t>
            </w:r>
          </w:p>
        </w:tc>
        <w:tc>
          <w:tcPr>
            <w:tcW w:w="94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w w:val="96"/>
              </w:rPr>
              <w:t>19</w:t>
            </w:r>
          </w:p>
        </w:tc>
        <w:tc>
          <w:tcPr>
            <w:tcW w:w="9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w w:val="96"/>
              </w:rPr>
              <w:t>18</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Sources: INEI, BCRP y SBS.</w:t>
      </w:r>
    </w:p>
    <w:p>
      <w:pPr>
        <w:spacing w:after="0" w:line="21" w:lineRule="exact"/>
        <w:rPr>
          <w:sz w:val="20"/>
          <w:szCs w:val="20"/>
          <w:color w:val="auto"/>
        </w:rPr>
      </w:pPr>
    </w:p>
    <w:p>
      <w:pPr>
        <w:ind w:left="180" w:hanging="174"/>
        <w:spacing w:after="0"/>
        <w:tabs>
          <w:tab w:leader="none" w:pos="1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Financial System, Current Exchange Rate, End of Period</w:t>
      </w:r>
    </w:p>
    <w:p>
      <w:pPr>
        <w:spacing w:after="0" w:line="18" w:lineRule="exact"/>
        <w:rPr>
          <w:rFonts w:ascii="Arial" w:cs="Arial" w:eastAsia="Arial" w:hAnsi="Arial"/>
          <w:sz w:val="12"/>
          <w:szCs w:val="12"/>
          <w:color w:val="auto"/>
        </w:rPr>
      </w:pPr>
    </w:p>
    <w:p>
      <w:pPr>
        <w:ind w:left="180" w:hanging="174"/>
        <w:spacing w:after="0"/>
        <w:tabs>
          <w:tab w:leader="none" w:pos="1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Inflation target: 1% - 3%</w:t>
      </w:r>
    </w:p>
    <w:p>
      <w:pPr>
        <w:spacing w:after="0" w:line="18" w:lineRule="exact"/>
        <w:rPr>
          <w:rFonts w:ascii="Arial" w:cs="Arial" w:eastAsia="Arial" w:hAnsi="Arial"/>
          <w:sz w:val="12"/>
          <w:szCs w:val="12"/>
          <w:color w:val="auto"/>
        </w:rPr>
      </w:pPr>
    </w:p>
    <w:p>
      <w:pPr>
        <w:ind w:left="180" w:hanging="174"/>
        <w:spacing w:after="0"/>
        <w:tabs>
          <w:tab w:leader="none" w:pos="1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Negative % change indicates depreciation.</w:t>
      </w:r>
    </w:p>
    <w:p>
      <w:pPr>
        <w:spacing w:after="0" w:line="18" w:lineRule="exact"/>
        <w:rPr>
          <w:rFonts w:ascii="Arial" w:cs="Arial" w:eastAsia="Arial" w:hAnsi="Arial"/>
          <w:sz w:val="12"/>
          <w:szCs w:val="12"/>
          <w:color w:val="auto"/>
        </w:rPr>
      </w:pPr>
    </w:p>
    <w:p>
      <w:pPr>
        <w:ind w:left="180" w:hanging="174"/>
        <w:spacing w:after="0"/>
        <w:tabs>
          <w:tab w:leader="none" w:pos="1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Grey area indicate estimates by BCP Economic Research as of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673100</wp:posOffset>
            </wp:positionV>
            <wp:extent cx="670750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116840</wp:posOffset>
            </wp:positionV>
            <wp:extent cx="6014085" cy="4648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14085" cy="464820"/>
                    </a:xfrm>
                    <a:prstGeom prst="rect">
                      <a:avLst/>
                    </a:prstGeom>
                    <a:noFill/>
                  </pic:spPr>
                </pic:pic>
              </a:graphicData>
            </a:graphic>
          </wp:anchor>
        </w:drawing>
      </w:r>
    </w:p>
    <w:p>
      <w:pPr>
        <w:sectPr>
          <w:pgSz w:w="11900" w:h="16840" w:orient="portrait"/>
          <w:cols w:equalWidth="0" w:num="1">
            <w:col w:w="10560"/>
          </w:cols>
          <w:pgMar w:left="660" w:top="931" w:right="680" w:bottom="1440" w:gutter="0" w:footer="0" w:header="0"/>
        </w:sectPr>
      </w:pPr>
    </w:p>
    <w:bookmarkStart w:id="46" w:name="page47"/>
    <w:bookmarkEnd w:id="46"/>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11. Economic Outlook</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20"/>
                <w:szCs w:val="20"/>
                <w:color w:val="auto"/>
              </w:rPr>
            </w:pPr>
            <w:r>
              <w:rPr>
                <w:rFonts w:ascii="Arial" w:cs="Arial" w:eastAsia="Arial" w:hAnsi="Arial"/>
                <w:sz w:val="16"/>
                <w:szCs w:val="16"/>
                <w:b w:val="1"/>
                <w:bCs w:val="1"/>
                <w:color w:val="auto"/>
              </w:rPr>
              <w:t>Main Macroeconomic Variables</w:t>
            </w:r>
          </w:p>
        </w:tc>
        <w:tc>
          <w:tcPr>
            <w:tcW w:w="6000" w:type="dxa"/>
            <w:vAlign w:val="bottom"/>
          </w:tcPr>
          <w:p>
            <w:pPr>
              <w:spacing w:after="0"/>
              <w:rPr>
                <w:sz w:val="18"/>
                <w:szCs w:val="18"/>
                <w:color w:val="auto"/>
              </w:rPr>
            </w:pPr>
          </w:p>
        </w:tc>
      </w:tr>
      <w:tr>
        <w:trPr>
          <w:trHeight w:val="327"/>
        </w:trPr>
        <w:tc>
          <w:tcPr>
            <w:tcW w:w="4580" w:type="dxa"/>
            <w:vAlign w:val="bottom"/>
          </w:tcPr>
          <w:p>
            <w:pPr>
              <w:jc w:val="center"/>
              <w:ind w:left="402"/>
              <w:spacing w:after="0"/>
              <w:rPr>
                <w:sz w:val="20"/>
                <w:szCs w:val="20"/>
                <w:color w:val="auto"/>
              </w:rPr>
            </w:pPr>
            <w:r>
              <w:rPr>
                <w:rFonts w:ascii="Arial" w:cs="Arial" w:eastAsia="Arial" w:hAnsi="Arial"/>
                <w:sz w:val="16"/>
                <w:szCs w:val="16"/>
                <w:b w:val="1"/>
                <w:bCs w:val="1"/>
                <w:color w:val="auto"/>
                <w:w w:val="96"/>
              </w:rPr>
              <w:t>Gross Domestic Product</w:t>
            </w:r>
          </w:p>
        </w:tc>
        <w:tc>
          <w:tcPr>
            <w:tcW w:w="6000" w:type="dxa"/>
            <w:vAlign w:val="bottom"/>
          </w:tcPr>
          <w:p>
            <w:pPr>
              <w:ind w:left="920"/>
              <w:spacing w:after="0"/>
              <w:rPr>
                <w:sz w:val="20"/>
                <w:szCs w:val="20"/>
                <w:color w:val="auto"/>
              </w:rPr>
            </w:pPr>
            <w:r>
              <w:rPr>
                <w:rFonts w:ascii="Arial" w:cs="Arial" w:eastAsia="Arial" w:hAnsi="Arial"/>
                <w:sz w:val="16"/>
                <w:szCs w:val="16"/>
                <w:color w:val="auto"/>
              </w:rPr>
              <w:t>In 3Q25, GDP grew around 3.5% YoY, accelerating compared to the</w:t>
            </w:r>
          </w:p>
        </w:tc>
      </w:tr>
      <w:tr>
        <w:trPr>
          <w:trHeight w:val="180"/>
        </w:trPr>
        <w:tc>
          <w:tcPr>
            <w:tcW w:w="4580" w:type="dxa"/>
            <w:vAlign w:val="bottom"/>
          </w:tcPr>
          <w:p>
            <w:pPr>
              <w:jc w:val="center"/>
              <w:ind w:left="382"/>
              <w:spacing w:after="0" w:line="180" w:lineRule="exact"/>
              <w:rPr>
                <w:sz w:val="20"/>
                <w:szCs w:val="20"/>
                <w:color w:val="auto"/>
              </w:rPr>
            </w:pPr>
            <w:r>
              <w:rPr>
                <w:rFonts w:ascii="Arial" w:cs="Arial" w:eastAsia="Arial" w:hAnsi="Arial"/>
                <w:sz w:val="16"/>
                <w:szCs w:val="16"/>
                <w:color w:val="auto"/>
                <w:w w:val="96"/>
              </w:rPr>
              <w:t>(Annual Real Variations, % YoY)</w:t>
            </w:r>
          </w:p>
        </w:tc>
        <w:tc>
          <w:tcPr>
            <w:tcW w:w="6000" w:type="dxa"/>
            <w:vAlign w:val="bottom"/>
          </w:tcPr>
          <w:p>
            <w:pPr>
              <w:ind w:left="920"/>
              <w:spacing w:after="0" w:line="180" w:lineRule="exact"/>
              <w:rPr>
                <w:sz w:val="20"/>
                <w:szCs w:val="20"/>
                <w:color w:val="auto"/>
              </w:rPr>
            </w:pPr>
            <w:r>
              <w:rPr>
                <w:rFonts w:ascii="Arial" w:cs="Arial" w:eastAsia="Arial" w:hAnsi="Arial"/>
                <w:sz w:val="16"/>
                <w:szCs w:val="16"/>
                <w:color w:val="auto"/>
                <w:w w:val="97"/>
              </w:rPr>
              <w:t>previous quarter (2.8% YoY) due to a rebound in primary sectors such as</w:t>
            </w:r>
          </w:p>
        </w:tc>
      </w:tr>
      <w:tr>
        <w:trPr>
          <w:trHeight w:val="180"/>
        </w:trPr>
        <w:tc>
          <w:tcPr>
            <w:tcW w:w="4580" w:type="dxa"/>
            <w:vAlign w:val="bottom"/>
          </w:tcPr>
          <w:p>
            <w:pPr>
              <w:spacing w:after="0"/>
              <w:rPr>
                <w:sz w:val="15"/>
                <w:szCs w:val="15"/>
                <w:color w:val="auto"/>
              </w:rPr>
            </w:pPr>
          </w:p>
        </w:tc>
        <w:tc>
          <w:tcPr>
            <w:tcW w:w="6000" w:type="dxa"/>
            <w:vAlign w:val="bottom"/>
          </w:tcPr>
          <w:p>
            <w:pPr>
              <w:ind w:left="920"/>
              <w:spacing w:after="0" w:line="180" w:lineRule="exact"/>
              <w:rPr>
                <w:sz w:val="20"/>
                <w:szCs w:val="20"/>
                <w:color w:val="auto"/>
              </w:rPr>
            </w:pPr>
            <w:r>
              <w:rPr>
                <w:rFonts w:ascii="Arial" w:cs="Arial" w:eastAsia="Arial" w:hAnsi="Arial"/>
                <w:sz w:val="16"/>
                <w:szCs w:val="16"/>
                <w:color w:val="auto"/>
              </w:rPr>
              <w:t>agriculture,  fishing,  and  hydrocarbons.  Non-primary sectors  grew</w:t>
            </w:r>
          </w:p>
        </w:tc>
      </w:tr>
      <w:tr>
        <w:trPr>
          <w:trHeight w:val="180"/>
        </w:trPr>
        <w:tc>
          <w:tcPr>
            <w:tcW w:w="4580" w:type="dxa"/>
            <w:vAlign w:val="bottom"/>
          </w:tcPr>
          <w:p>
            <w:pPr>
              <w:spacing w:after="0"/>
              <w:rPr>
                <w:sz w:val="15"/>
                <w:szCs w:val="15"/>
                <w:color w:val="auto"/>
              </w:rPr>
            </w:pPr>
          </w:p>
        </w:tc>
        <w:tc>
          <w:tcPr>
            <w:tcW w:w="6000" w:type="dxa"/>
            <w:vAlign w:val="bottom"/>
          </w:tcPr>
          <w:p>
            <w:pPr>
              <w:ind w:left="920"/>
              <w:spacing w:after="0" w:line="180" w:lineRule="exact"/>
              <w:rPr>
                <w:sz w:val="20"/>
                <w:szCs w:val="20"/>
                <w:color w:val="auto"/>
              </w:rPr>
            </w:pPr>
            <w:r>
              <w:rPr>
                <w:rFonts w:ascii="Arial" w:cs="Arial" w:eastAsia="Arial" w:hAnsi="Arial"/>
                <w:sz w:val="16"/>
                <w:szCs w:val="16"/>
                <w:color w:val="auto"/>
              </w:rPr>
              <w:t>approximately  3.4%  YoY  (2Q25:  3.2%  YoY).  Meanwhile,  domestic</w:t>
            </w:r>
          </w:p>
        </w:tc>
      </w:tr>
      <w:tr>
        <w:trPr>
          <w:trHeight w:val="180"/>
        </w:trPr>
        <w:tc>
          <w:tcPr>
            <w:tcW w:w="4580" w:type="dxa"/>
            <w:vAlign w:val="bottom"/>
          </w:tcPr>
          <w:p>
            <w:pPr>
              <w:spacing w:after="0"/>
              <w:rPr>
                <w:sz w:val="15"/>
                <w:szCs w:val="15"/>
                <w:color w:val="auto"/>
              </w:rPr>
            </w:pPr>
          </w:p>
        </w:tc>
        <w:tc>
          <w:tcPr>
            <w:tcW w:w="6000" w:type="dxa"/>
            <w:vAlign w:val="bottom"/>
          </w:tcPr>
          <w:p>
            <w:pPr>
              <w:ind w:left="920"/>
              <w:spacing w:after="0" w:line="180" w:lineRule="exact"/>
              <w:rPr>
                <w:sz w:val="20"/>
                <w:szCs w:val="20"/>
                <w:color w:val="auto"/>
              </w:rPr>
            </w:pPr>
            <w:r>
              <w:rPr>
                <w:rFonts w:ascii="Arial" w:cs="Arial" w:eastAsia="Arial" w:hAnsi="Arial"/>
                <w:sz w:val="16"/>
                <w:szCs w:val="16"/>
                <w:color w:val="auto"/>
              </w:rPr>
              <w:t>demand is estimated to have grown around 6% YoY, marking its fourth</w:t>
            </w:r>
          </w:p>
        </w:tc>
      </w:tr>
      <w:tr>
        <w:trPr>
          <w:trHeight w:val="180"/>
        </w:trPr>
        <w:tc>
          <w:tcPr>
            <w:tcW w:w="4580" w:type="dxa"/>
            <w:vAlign w:val="bottom"/>
          </w:tcPr>
          <w:p>
            <w:pPr>
              <w:spacing w:after="0"/>
              <w:rPr>
                <w:sz w:val="15"/>
                <w:szCs w:val="15"/>
                <w:color w:val="auto"/>
              </w:rPr>
            </w:pPr>
          </w:p>
        </w:tc>
        <w:tc>
          <w:tcPr>
            <w:tcW w:w="6000" w:type="dxa"/>
            <w:vAlign w:val="bottom"/>
          </w:tcPr>
          <w:p>
            <w:pPr>
              <w:ind w:left="920"/>
              <w:spacing w:after="0" w:line="180" w:lineRule="exact"/>
              <w:rPr>
                <w:sz w:val="20"/>
                <w:szCs w:val="20"/>
                <w:color w:val="auto"/>
              </w:rPr>
            </w:pPr>
            <w:r>
              <w:rPr>
                <w:rFonts w:ascii="Arial" w:cs="Arial" w:eastAsia="Arial" w:hAnsi="Arial"/>
                <w:sz w:val="16"/>
                <w:szCs w:val="16"/>
                <w:color w:val="auto"/>
              </w:rPr>
              <w:t>consecutive quarter growing at that rate, in a context of high terms of</w:t>
            </w:r>
          </w:p>
        </w:tc>
      </w:tr>
      <w:tr>
        <w:trPr>
          <w:trHeight w:val="180"/>
        </w:trPr>
        <w:tc>
          <w:tcPr>
            <w:tcW w:w="4580" w:type="dxa"/>
            <w:vAlign w:val="bottom"/>
          </w:tcPr>
          <w:p>
            <w:pPr>
              <w:spacing w:after="0"/>
              <w:rPr>
                <w:sz w:val="15"/>
                <w:szCs w:val="15"/>
                <w:color w:val="auto"/>
              </w:rPr>
            </w:pPr>
          </w:p>
        </w:tc>
        <w:tc>
          <w:tcPr>
            <w:tcW w:w="6000" w:type="dxa"/>
            <w:vAlign w:val="bottom"/>
          </w:tcPr>
          <w:p>
            <w:pPr>
              <w:ind w:left="920"/>
              <w:spacing w:after="0" w:line="180" w:lineRule="exact"/>
              <w:rPr>
                <w:sz w:val="20"/>
                <w:szCs w:val="20"/>
                <w:color w:val="auto"/>
              </w:rPr>
            </w:pPr>
            <w:r>
              <w:rPr>
                <w:rFonts w:ascii="Arial" w:cs="Arial" w:eastAsia="Arial" w:hAnsi="Arial"/>
                <w:sz w:val="16"/>
                <w:szCs w:val="16"/>
                <w:color w:val="auto"/>
              </w:rPr>
              <w:t>trade, a recovery in formal employment, and inflation comfortably within</w:t>
            </w:r>
          </w:p>
        </w:tc>
      </w:tr>
      <w:tr>
        <w:trPr>
          <w:trHeight w:val="205"/>
        </w:trPr>
        <w:tc>
          <w:tcPr>
            <w:tcW w:w="4580" w:type="dxa"/>
            <w:vAlign w:val="bottom"/>
          </w:tcPr>
          <w:p>
            <w:pPr>
              <w:spacing w:after="0"/>
              <w:rPr>
                <w:sz w:val="17"/>
                <w:szCs w:val="17"/>
                <w:color w:val="auto"/>
              </w:rPr>
            </w:pPr>
          </w:p>
        </w:tc>
        <w:tc>
          <w:tcPr>
            <w:tcW w:w="6000" w:type="dxa"/>
            <w:vAlign w:val="bottom"/>
          </w:tcPr>
          <w:p>
            <w:pPr>
              <w:ind w:left="920"/>
              <w:spacing w:after="0"/>
              <w:rPr>
                <w:sz w:val="20"/>
                <w:szCs w:val="20"/>
                <w:color w:val="auto"/>
              </w:rPr>
            </w:pPr>
            <w:r>
              <w:rPr>
                <w:rFonts w:ascii="Arial" w:cs="Arial" w:eastAsia="Arial" w:hAnsi="Arial"/>
                <w:sz w:val="16"/>
                <w:szCs w:val="16"/>
                <w:color w:val="auto"/>
              </w:rPr>
              <w:t>the BCRP’s target range.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-694055</wp:posOffset>
            </wp:positionV>
            <wp:extent cx="2675255" cy="11436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75255" cy="1143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40"/>
        <w:spacing w:after="0" w:line="262" w:lineRule="auto"/>
        <w:rPr>
          <w:sz w:val="20"/>
          <w:szCs w:val="20"/>
          <w:color w:val="auto"/>
        </w:rPr>
      </w:pPr>
      <w:r>
        <w:rPr>
          <w:rFonts w:ascii="Arial" w:cs="Arial" w:eastAsia="Arial" w:hAnsi="Arial"/>
          <w:sz w:val="16"/>
          <w:szCs w:val="16"/>
          <w:color w:val="auto"/>
        </w:rPr>
        <w:t>It is important to highlight the double-digit growth in key indicators for private investment, such as heavy vehicle sales, imports of capital goods, and terms of trade (at a 75-year high). Meanwhile, investment expectations remain in the optimistic range, according to the BCRP survey.</w:t>
      </w:r>
    </w:p>
    <w:p>
      <w:pPr>
        <w:spacing w:after="0" w:line="123"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4260" w:type="dxa"/>
            <w:vAlign w:val="bottom"/>
          </w:tcPr>
          <w:p>
            <w:pPr>
              <w:jc w:val="center"/>
              <w:ind w:right="502"/>
              <w:spacing w:after="0"/>
              <w:rPr>
                <w:sz w:val="20"/>
                <w:szCs w:val="20"/>
                <w:color w:val="auto"/>
              </w:rPr>
            </w:pPr>
            <w:r>
              <w:rPr>
                <w:rFonts w:ascii="Arial" w:cs="Arial" w:eastAsia="Arial" w:hAnsi="Arial"/>
                <w:sz w:val="16"/>
                <w:szCs w:val="16"/>
                <w:b w:val="1"/>
                <w:bCs w:val="1"/>
                <w:color w:val="auto"/>
                <w:w w:val="97"/>
              </w:rPr>
              <w:t>Annual Inflation and Central Bank Reference Rate</w:t>
            </w:r>
          </w:p>
        </w:tc>
        <w:tc>
          <w:tcPr>
            <w:tcW w:w="5640" w:type="dxa"/>
            <w:vAlign w:val="bottom"/>
          </w:tcPr>
          <w:p>
            <w:pPr>
              <w:ind w:left="560"/>
              <w:spacing w:after="0"/>
              <w:rPr>
                <w:sz w:val="20"/>
                <w:szCs w:val="20"/>
                <w:color w:val="auto"/>
              </w:rPr>
            </w:pPr>
            <w:r>
              <w:rPr>
                <w:rFonts w:ascii="Arial" w:cs="Arial" w:eastAsia="Arial" w:hAnsi="Arial"/>
                <w:sz w:val="16"/>
                <w:szCs w:val="16"/>
                <w:color w:val="auto"/>
              </w:rPr>
              <w:t>The annual inflation rate in Metropolitan Lima slowed from 1.7% YoY at</w:t>
            </w:r>
          </w:p>
        </w:tc>
      </w:tr>
      <w:tr>
        <w:trPr>
          <w:trHeight w:val="180"/>
        </w:trPr>
        <w:tc>
          <w:tcPr>
            <w:tcW w:w="4260" w:type="dxa"/>
            <w:vAlign w:val="bottom"/>
          </w:tcPr>
          <w:p>
            <w:pPr>
              <w:jc w:val="right"/>
              <w:ind w:right="2202"/>
              <w:spacing w:after="0" w:line="180" w:lineRule="exact"/>
              <w:rPr>
                <w:sz w:val="20"/>
                <w:szCs w:val="20"/>
                <w:color w:val="auto"/>
              </w:rPr>
            </w:pPr>
            <w:r>
              <w:rPr>
                <w:rFonts w:ascii="Arial" w:cs="Arial" w:eastAsia="Arial" w:hAnsi="Arial"/>
                <w:sz w:val="16"/>
                <w:szCs w:val="16"/>
                <w:color w:val="auto"/>
              </w:rPr>
              <w:t>(%)</w:t>
            </w:r>
          </w:p>
        </w:tc>
        <w:tc>
          <w:tcPr>
            <w:tcW w:w="5640" w:type="dxa"/>
            <w:vAlign w:val="bottom"/>
          </w:tcPr>
          <w:p>
            <w:pPr>
              <w:ind w:left="560"/>
              <w:spacing w:after="0" w:line="180" w:lineRule="exact"/>
              <w:rPr>
                <w:sz w:val="20"/>
                <w:szCs w:val="20"/>
                <w:color w:val="auto"/>
              </w:rPr>
            </w:pPr>
            <w:r>
              <w:rPr>
                <w:rFonts w:ascii="Arial" w:cs="Arial" w:eastAsia="Arial" w:hAnsi="Arial"/>
                <w:sz w:val="16"/>
                <w:szCs w:val="16"/>
                <w:color w:val="auto"/>
                <w:w w:val="97"/>
              </w:rPr>
              <w:t>the end of 2Q25 to 1.4% at the end of 3Q25, below 2.0% (the midpoint of</w:t>
            </w:r>
          </w:p>
        </w:tc>
      </w:tr>
      <w:tr>
        <w:trPr>
          <w:trHeight w:val="180"/>
        </w:trPr>
        <w:tc>
          <w:tcPr>
            <w:tcW w:w="4260" w:type="dxa"/>
            <w:vAlign w:val="bottom"/>
          </w:tcPr>
          <w:p>
            <w:pPr>
              <w:spacing w:after="0"/>
              <w:rPr>
                <w:sz w:val="15"/>
                <w:szCs w:val="15"/>
                <w:color w:val="auto"/>
              </w:rPr>
            </w:pPr>
          </w:p>
        </w:tc>
        <w:tc>
          <w:tcPr>
            <w:tcW w:w="5640" w:type="dxa"/>
            <w:vAlign w:val="bottom"/>
          </w:tcPr>
          <w:p>
            <w:pPr>
              <w:ind w:left="560"/>
              <w:spacing w:after="0" w:line="180" w:lineRule="exact"/>
              <w:rPr>
                <w:sz w:val="20"/>
                <w:szCs w:val="20"/>
                <w:color w:val="auto"/>
              </w:rPr>
            </w:pPr>
            <w:r>
              <w:rPr>
                <w:rFonts w:ascii="Arial" w:cs="Arial" w:eastAsia="Arial" w:hAnsi="Arial"/>
                <w:sz w:val="16"/>
                <w:szCs w:val="16"/>
                <w:color w:val="auto"/>
              </w:rPr>
              <w:t>the BCRP’s target range of 1%–3%) for the tenth consecutive month.</w:t>
            </w:r>
          </w:p>
        </w:tc>
      </w:tr>
      <w:tr>
        <w:trPr>
          <w:trHeight w:val="180"/>
        </w:trPr>
        <w:tc>
          <w:tcPr>
            <w:tcW w:w="4260" w:type="dxa"/>
            <w:vAlign w:val="bottom"/>
          </w:tcPr>
          <w:p>
            <w:pPr>
              <w:spacing w:after="0"/>
              <w:rPr>
                <w:sz w:val="15"/>
                <w:szCs w:val="15"/>
                <w:color w:val="auto"/>
              </w:rPr>
            </w:pPr>
          </w:p>
        </w:tc>
        <w:tc>
          <w:tcPr>
            <w:tcW w:w="5640" w:type="dxa"/>
            <w:vAlign w:val="bottom"/>
          </w:tcPr>
          <w:p>
            <w:pPr>
              <w:ind w:left="560"/>
              <w:spacing w:after="0" w:line="180" w:lineRule="exact"/>
              <w:rPr>
                <w:sz w:val="20"/>
                <w:szCs w:val="20"/>
                <w:color w:val="auto"/>
              </w:rPr>
            </w:pPr>
            <w:r>
              <w:rPr>
                <w:rFonts w:ascii="Arial" w:cs="Arial" w:eastAsia="Arial" w:hAnsi="Arial"/>
                <w:sz w:val="16"/>
                <w:szCs w:val="16"/>
                <w:color w:val="auto"/>
              </w:rPr>
              <w:t>This makes it one of the lowest inflation rates among emerging and</w:t>
            </w:r>
          </w:p>
        </w:tc>
      </w:tr>
      <w:tr>
        <w:trPr>
          <w:trHeight w:val="180"/>
        </w:trPr>
        <w:tc>
          <w:tcPr>
            <w:tcW w:w="4260" w:type="dxa"/>
            <w:vAlign w:val="bottom"/>
          </w:tcPr>
          <w:p>
            <w:pPr>
              <w:spacing w:after="0"/>
              <w:rPr>
                <w:sz w:val="15"/>
                <w:szCs w:val="15"/>
                <w:color w:val="auto"/>
              </w:rPr>
            </w:pPr>
          </w:p>
        </w:tc>
        <w:tc>
          <w:tcPr>
            <w:tcW w:w="5640" w:type="dxa"/>
            <w:vAlign w:val="bottom"/>
          </w:tcPr>
          <w:p>
            <w:pPr>
              <w:ind w:left="560"/>
              <w:spacing w:after="0" w:line="180" w:lineRule="exact"/>
              <w:rPr>
                <w:sz w:val="20"/>
                <w:szCs w:val="20"/>
                <w:color w:val="auto"/>
              </w:rPr>
            </w:pPr>
            <w:r>
              <w:rPr>
                <w:rFonts w:ascii="Arial" w:cs="Arial" w:eastAsia="Arial" w:hAnsi="Arial"/>
                <w:sz w:val="16"/>
                <w:szCs w:val="16"/>
                <w:color w:val="auto"/>
              </w:rPr>
              <w:t>developed economies. Meanwhile, core inflation (excluding food and</w:t>
            </w:r>
          </w:p>
        </w:tc>
      </w:tr>
      <w:tr>
        <w:trPr>
          <w:trHeight w:val="180"/>
        </w:trPr>
        <w:tc>
          <w:tcPr>
            <w:tcW w:w="4260" w:type="dxa"/>
            <w:vAlign w:val="bottom"/>
          </w:tcPr>
          <w:p>
            <w:pPr>
              <w:spacing w:after="0"/>
              <w:rPr>
                <w:sz w:val="15"/>
                <w:szCs w:val="15"/>
                <w:color w:val="auto"/>
              </w:rPr>
            </w:pPr>
          </w:p>
        </w:tc>
        <w:tc>
          <w:tcPr>
            <w:tcW w:w="5640" w:type="dxa"/>
            <w:vAlign w:val="bottom"/>
          </w:tcPr>
          <w:p>
            <w:pPr>
              <w:ind w:left="560"/>
              <w:spacing w:after="0" w:line="180" w:lineRule="exact"/>
              <w:rPr>
                <w:sz w:val="20"/>
                <w:szCs w:val="20"/>
                <w:color w:val="auto"/>
              </w:rPr>
            </w:pPr>
            <w:r>
              <w:rPr>
                <w:rFonts w:ascii="Arial" w:cs="Arial" w:eastAsia="Arial" w:hAnsi="Arial"/>
                <w:sz w:val="16"/>
                <w:szCs w:val="16"/>
                <w:color w:val="auto"/>
                <w:w w:val="97"/>
              </w:rPr>
              <w:t>energy) rose slightly from 1.7% to 1.8% over the same period, marking its</w:t>
            </w:r>
          </w:p>
        </w:tc>
      </w:tr>
      <w:tr>
        <w:trPr>
          <w:trHeight w:val="205"/>
        </w:trPr>
        <w:tc>
          <w:tcPr>
            <w:tcW w:w="4260" w:type="dxa"/>
            <w:vAlign w:val="bottom"/>
          </w:tcPr>
          <w:p>
            <w:pPr>
              <w:spacing w:after="0"/>
              <w:rPr>
                <w:sz w:val="17"/>
                <w:szCs w:val="17"/>
                <w:color w:val="auto"/>
              </w:rPr>
            </w:pPr>
          </w:p>
        </w:tc>
        <w:tc>
          <w:tcPr>
            <w:tcW w:w="5640" w:type="dxa"/>
            <w:vAlign w:val="bottom"/>
          </w:tcPr>
          <w:p>
            <w:pPr>
              <w:ind w:left="560"/>
              <w:spacing w:after="0"/>
              <w:rPr>
                <w:sz w:val="20"/>
                <w:szCs w:val="20"/>
                <w:color w:val="auto"/>
              </w:rPr>
            </w:pPr>
            <w:r>
              <w:rPr>
                <w:rFonts w:ascii="Arial" w:cs="Arial" w:eastAsia="Arial" w:hAnsi="Arial"/>
                <w:sz w:val="16"/>
                <w:szCs w:val="16"/>
                <w:color w:val="auto"/>
              </w:rPr>
              <w:t>seventh consecutive month below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-579755</wp:posOffset>
            </wp:positionV>
            <wp:extent cx="2469515" cy="1043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69515" cy="104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At its October 2025 monetary policy meeting, the BCRP decided to keep its rate at 4.25%, after cutting it by 25 basis points in September. Thus, it has accumulated three cuts so far this year (75 basis points). Since September 2023, when the easing cycle began, the reference rate has been reduced by a total of 350 basis points.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jc w:val="center"/>
              <w:ind w:left="122"/>
              <w:spacing w:after="0"/>
              <w:rPr>
                <w:sz w:val="20"/>
                <w:szCs w:val="20"/>
                <w:color w:val="auto"/>
              </w:rPr>
            </w:pPr>
            <w:r>
              <w:rPr>
                <w:rFonts w:ascii="Arial" w:cs="Arial" w:eastAsia="Arial" w:hAnsi="Arial"/>
                <w:sz w:val="16"/>
                <w:szCs w:val="16"/>
                <w:b w:val="1"/>
                <w:bCs w:val="1"/>
                <w:color w:val="auto"/>
                <w:w w:val="97"/>
              </w:rPr>
              <w:t>Fiscal Balance and Current Account Balance</w:t>
            </w:r>
          </w:p>
        </w:tc>
        <w:tc>
          <w:tcPr>
            <w:tcW w:w="5740" w:type="dxa"/>
            <w:vAlign w:val="bottom"/>
            <w:gridSpan w:val="2"/>
          </w:tcPr>
          <w:p>
            <w:pPr>
              <w:ind w:left="660"/>
              <w:spacing w:after="0"/>
              <w:rPr>
                <w:sz w:val="20"/>
                <w:szCs w:val="20"/>
                <w:color w:val="auto"/>
              </w:rPr>
            </w:pPr>
            <w:r>
              <w:rPr>
                <w:rFonts w:ascii="Arial" w:cs="Arial" w:eastAsia="Arial" w:hAnsi="Arial"/>
                <w:sz w:val="16"/>
                <w:szCs w:val="16"/>
                <w:color w:val="auto"/>
                <w:w w:val="96"/>
              </w:rPr>
              <w:t>The annualized fiscal deficit as of September 2025 stood at 2.4% of GDP,</w:t>
            </w:r>
          </w:p>
        </w:tc>
      </w:tr>
      <w:tr>
        <w:trPr>
          <w:trHeight w:val="180"/>
        </w:trPr>
        <w:tc>
          <w:tcPr>
            <w:tcW w:w="4840" w:type="dxa"/>
            <w:vAlign w:val="bottom"/>
          </w:tcPr>
          <w:p>
            <w:pPr>
              <w:jc w:val="center"/>
              <w:ind w:left="142"/>
              <w:spacing w:after="0" w:line="180" w:lineRule="exact"/>
              <w:rPr>
                <w:sz w:val="20"/>
                <w:szCs w:val="20"/>
                <w:color w:val="auto"/>
              </w:rPr>
            </w:pPr>
            <w:r>
              <w:rPr>
                <w:rFonts w:ascii="Arial" w:cs="Arial" w:eastAsia="Arial" w:hAnsi="Arial"/>
                <w:sz w:val="16"/>
                <w:szCs w:val="16"/>
                <w:color w:val="auto"/>
                <w:w w:val="97"/>
              </w:rPr>
              <w:t>(% of GDP, Quarter)</w:t>
            </w:r>
          </w:p>
        </w:tc>
        <w:tc>
          <w:tcPr>
            <w:tcW w:w="5740" w:type="dxa"/>
            <w:vAlign w:val="bottom"/>
            <w:gridSpan w:val="2"/>
          </w:tcPr>
          <w:p>
            <w:pPr>
              <w:ind w:left="660"/>
              <w:spacing w:after="0" w:line="180" w:lineRule="exact"/>
              <w:rPr>
                <w:sz w:val="20"/>
                <w:szCs w:val="20"/>
                <w:color w:val="auto"/>
              </w:rPr>
            </w:pPr>
            <w:r>
              <w:rPr>
                <w:rFonts w:ascii="Arial" w:cs="Arial" w:eastAsia="Arial" w:hAnsi="Arial"/>
                <w:sz w:val="16"/>
                <w:szCs w:val="16"/>
                <w:color w:val="auto"/>
              </w:rPr>
              <w:t>its lowest level since 1Q23. In 3Q25, fiscal revenues increased 8.4%</w:t>
            </w:r>
          </w:p>
        </w:tc>
      </w:tr>
      <w:tr>
        <w:trPr>
          <w:trHeight w:val="180"/>
        </w:trPr>
        <w:tc>
          <w:tcPr>
            <w:tcW w:w="4840" w:type="dxa"/>
            <w:vAlign w:val="bottom"/>
          </w:tcPr>
          <w:p>
            <w:pPr>
              <w:spacing w:after="0"/>
              <w:rPr>
                <w:sz w:val="15"/>
                <w:szCs w:val="15"/>
                <w:color w:val="auto"/>
              </w:rPr>
            </w:pPr>
          </w:p>
        </w:tc>
        <w:tc>
          <w:tcPr>
            <w:tcW w:w="5740" w:type="dxa"/>
            <w:vAlign w:val="bottom"/>
            <w:gridSpan w:val="2"/>
          </w:tcPr>
          <w:p>
            <w:pPr>
              <w:ind w:left="660"/>
              <w:spacing w:after="0" w:line="180" w:lineRule="exact"/>
              <w:rPr>
                <w:sz w:val="20"/>
                <w:szCs w:val="20"/>
                <w:color w:val="auto"/>
              </w:rPr>
            </w:pPr>
            <w:r>
              <w:rPr>
                <w:rFonts w:ascii="Arial" w:cs="Arial" w:eastAsia="Arial" w:hAnsi="Arial"/>
                <w:sz w:val="16"/>
                <w:szCs w:val="16"/>
                <w:color w:val="auto"/>
              </w:rPr>
              <w:t>YoY, driven by higher corporate income tax collections and domestic</w:t>
            </w:r>
          </w:p>
        </w:tc>
      </w:tr>
      <w:tr>
        <w:trPr>
          <w:trHeight w:val="180"/>
        </w:trPr>
        <w:tc>
          <w:tcPr>
            <w:tcW w:w="4840" w:type="dxa"/>
            <w:vAlign w:val="bottom"/>
          </w:tcPr>
          <w:p>
            <w:pPr>
              <w:spacing w:after="0"/>
              <w:rPr>
                <w:sz w:val="15"/>
                <w:szCs w:val="15"/>
                <w:color w:val="auto"/>
              </w:rPr>
            </w:pPr>
          </w:p>
        </w:tc>
        <w:tc>
          <w:tcPr>
            <w:tcW w:w="5740" w:type="dxa"/>
            <w:vAlign w:val="bottom"/>
            <w:gridSpan w:val="2"/>
          </w:tcPr>
          <w:p>
            <w:pPr>
              <w:ind w:left="660"/>
              <w:spacing w:after="0" w:line="180" w:lineRule="exact"/>
              <w:rPr>
                <w:sz w:val="20"/>
                <w:szCs w:val="20"/>
                <w:color w:val="auto"/>
              </w:rPr>
            </w:pPr>
            <w:r>
              <w:rPr>
                <w:rFonts w:ascii="Arial" w:cs="Arial" w:eastAsia="Arial" w:hAnsi="Arial"/>
                <w:sz w:val="16"/>
                <w:szCs w:val="16"/>
                <w:color w:val="auto"/>
              </w:rPr>
              <w:t>general  sales  tax,  in  a  context  of  cyclical  economic  recovery  and</w:t>
            </w:r>
          </w:p>
        </w:tc>
      </w:tr>
      <w:tr>
        <w:trPr>
          <w:trHeight w:val="180"/>
        </w:trPr>
        <w:tc>
          <w:tcPr>
            <w:tcW w:w="4840" w:type="dxa"/>
            <w:vAlign w:val="bottom"/>
          </w:tcPr>
          <w:p>
            <w:pPr>
              <w:spacing w:after="0"/>
              <w:rPr>
                <w:sz w:val="15"/>
                <w:szCs w:val="15"/>
                <w:color w:val="auto"/>
              </w:rPr>
            </w:pPr>
          </w:p>
        </w:tc>
        <w:tc>
          <w:tcPr>
            <w:tcW w:w="5740" w:type="dxa"/>
            <w:vAlign w:val="bottom"/>
            <w:gridSpan w:val="2"/>
          </w:tcPr>
          <w:p>
            <w:pPr>
              <w:ind w:left="660"/>
              <w:spacing w:after="0" w:line="180" w:lineRule="exact"/>
              <w:rPr>
                <w:sz w:val="20"/>
                <w:szCs w:val="20"/>
                <w:color w:val="auto"/>
              </w:rPr>
            </w:pPr>
            <w:r>
              <w:rPr>
                <w:rFonts w:ascii="Arial" w:cs="Arial" w:eastAsia="Arial" w:hAnsi="Arial"/>
                <w:sz w:val="16"/>
                <w:szCs w:val="16"/>
                <w:color w:val="auto"/>
                <w:w w:val="98"/>
              </w:rPr>
              <w:t>historically high terms of trade. Meanwhile, non-financial public spending</w:t>
            </w:r>
          </w:p>
        </w:tc>
      </w:tr>
      <w:tr>
        <w:trPr>
          <w:trHeight w:val="180"/>
        </w:trPr>
        <w:tc>
          <w:tcPr>
            <w:tcW w:w="4840" w:type="dxa"/>
            <w:vAlign w:val="bottom"/>
          </w:tcPr>
          <w:p>
            <w:pPr>
              <w:spacing w:after="0"/>
              <w:rPr>
                <w:sz w:val="15"/>
                <w:szCs w:val="15"/>
                <w:color w:val="auto"/>
              </w:rPr>
            </w:pPr>
          </w:p>
        </w:tc>
        <w:tc>
          <w:tcPr>
            <w:tcW w:w="5740" w:type="dxa"/>
            <w:vAlign w:val="bottom"/>
            <w:gridSpan w:val="2"/>
          </w:tcPr>
          <w:p>
            <w:pPr>
              <w:ind w:left="660"/>
              <w:spacing w:after="0" w:line="180" w:lineRule="exact"/>
              <w:rPr>
                <w:sz w:val="20"/>
                <w:szCs w:val="20"/>
                <w:color w:val="auto"/>
              </w:rPr>
            </w:pPr>
            <w:r>
              <w:rPr>
                <w:rFonts w:ascii="Arial" w:cs="Arial" w:eastAsia="Arial" w:hAnsi="Arial"/>
                <w:sz w:val="16"/>
                <w:szCs w:val="16"/>
                <w:color w:val="auto"/>
                <w:w w:val="99"/>
              </w:rPr>
              <w:t>remained practically stable (-0.8% YoY), reflecting a 7.7% YoY increase</w:t>
            </w:r>
          </w:p>
        </w:tc>
      </w:tr>
      <w:tr>
        <w:trPr>
          <w:trHeight w:val="180"/>
        </w:trPr>
        <w:tc>
          <w:tcPr>
            <w:tcW w:w="4840" w:type="dxa"/>
            <w:vAlign w:val="bottom"/>
          </w:tcPr>
          <w:p>
            <w:pPr>
              <w:spacing w:after="0"/>
              <w:rPr>
                <w:sz w:val="15"/>
                <w:szCs w:val="15"/>
                <w:color w:val="auto"/>
              </w:rPr>
            </w:pPr>
          </w:p>
        </w:tc>
        <w:tc>
          <w:tcPr>
            <w:tcW w:w="5740" w:type="dxa"/>
            <w:vAlign w:val="bottom"/>
            <w:gridSpan w:val="2"/>
          </w:tcPr>
          <w:p>
            <w:pPr>
              <w:ind w:left="660"/>
              <w:spacing w:after="0" w:line="180" w:lineRule="exact"/>
              <w:rPr>
                <w:sz w:val="20"/>
                <w:szCs w:val="20"/>
                <w:color w:val="auto"/>
              </w:rPr>
            </w:pPr>
            <w:r>
              <w:rPr>
                <w:rFonts w:ascii="Arial" w:cs="Arial" w:eastAsia="Arial" w:hAnsi="Arial"/>
                <w:sz w:val="16"/>
                <w:szCs w:val="16"/>
                <w:color w:val="auto"/>
                <w:w w:val="99"/>
              </w:rPr>
              <w:t>in current expenditures (wages: +5.1% and goods and services: +8.6%)</w:t>
            </w:r>
          </w:p>
        </w:tc>
      </w:tr>
      <w:tr>
        <w:trPr>
          <w:trHeight w:val="205"/>
        </w:trPr>
        <w:tc>
          <w:tcPr>
            <w:tcW w:w="4840" w:type="dxa"/>
            <w:vAlign w:val="bottom"/>
          </w:tcPr>
          <w:p>
            <w:pPr>
              <w:spacing w:after="0"/>
              <w:rPr>
                <w:sz w:val="17"/>
                <w:szCs w:val="17"/>
                <w:color w:val="auto"/>
              </w:rPr>
            </w:pPr>
          </w:p>
        </w:tc>
        <w:tc>
          <w:tcPr>
            <w:tcW w:w="5740" w:type="dxa"/>
            <w:vAlign w:val="bottom"/>
            <w:gridSpan w:val="2"/>
          </w:tcPr>
          <w:p>
            <w:pPr>
              <w:ind w:left="660"/>
              <w:spacing w:after="0"/>
              <w:rPr>
                <w:sz w:val="20"/>
                <w:szCs w:val="20"/>
                <w:color w:val="auto"/>
              </w:rPr>
            </w:pPr>
            <w:r>
              <w:rPr>
                <w:rFonts w:ascii="Arial" w:cs="Arial" w:eastAsia="Arial" w:hAnsi="Arial"/>
                <w:sz w:val="16"/>
                <w:szCs w:val="16"/>
                <w:color w:val="auto"/>
              </w:rPr>
              <w:t>and a 5.0% YoY rise in public investment.</w:t>
            </w:r>
          </w:p>
        </w:tc>
      </w:tr>
      <w:tr>
        <w:trPr>
          <w:trHeight w:val="2211"/>
        </w:trPr>
        <w:tc>
          <w:tcPr>
            <w:tcW w:w="48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-2110740</wp:posOffset>
            </wp:positionV>
            <wp:extent cx="5960745" cy="20046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0745" cy="2004695"/>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sectPr>
      </w:pPr>
    </w:p>
    <w:bookmarkStart w:id="47" w:name="page48"/>
    <w:bookmarkEnd w:id="47"/>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11. Economic Outlook</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three main rating agencies assign different assessments to Peru’s sovereign debt. Moody’s gives it a Baa1 rating (three notches above investment grade), Fitch assigns BBB (two notches above investment grade), and S&amp;P rates it BBB- (the minimum investment grade level). All three maintain a stable outlook for the country’s credit rating.</w:t>
      </w:r>
    </w:p>
    <w:p>
      <w:pPr>
        <w:spacing w:after="0" w:line="162"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Regarding external accounts, the current account surplus closed 2Q25 at 1.9% of GDP (accumulated over the last four quarters), a decrease compared to the 2.2% of GDP surplus at the end of 1Q25. Thus, it has recorded seven consecutive quarters of surplus, marking the longest surplus episode since the 2004–2007 period.</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12-month accumulated trade balance surplus as of August 2025 stood at US$26.9 billion (a historical high). Imports grew 10.1% YoY to US$56.2 billion, driven by a 14.4% increase in capital goods and an 18.1% rise in consumer goods. Exports grew 15.1% to US$83.0 billion, reaching a record high. Export growth was led by gold shipments (+41% YoY) amid favorable prices.</w:t>
      </w:r>
    </w:p>
    <w:p>
      <w:pPr>
        <w:spacing w:after="0" w:line="15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In August 2025, terms of trade grew 13.0% YoY, remaining near historical highs, driven by a 10.9% YoY increase in export prices (mainly due to higher prices for gold, silver, and copper). Import prices, meanwhile, fell 1.9% YoY amid lower prices for oil and industrial inputs.</w:t>
      </w:r>
    </w:p>
    <w:p>
      <w:pPr>
        <w:sectPr>
          <w:pgSz w:w="11900" w:h="16840" w:orient="portrait"/>
          <w:cols w:equalWidth="0" w:num="1">
            <w:col w:w="10580"/>
          </w:cols>
          <w:pgMar w:left="660" w:top="931" w:right="660" w:bottom="1440" w:gutter="0" w:footer="0" w:header="0"/>
        </w:sectPr>
      </w:pP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Exchange Rate</w:t>
      </w:r>
    </w:p>
    <w:p>
      <w:pPr>
        <w:spacing w:after="0" w:line="3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(PEN per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-3810</wp:posOffset>
            </wp:positionV>
            <wp:extent cx="2530475" cy="14712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30475" cy="1471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According to the BCRP, the exchange rate closed 3Q25 at USDPEN 3.47, its lowest level since June 2020. Thus, the exchange rate appreciated 1.9% compared to the end of 2Q25 and 7.8% compared to the end of 4Q24 (USDPEN 3.77). Global dollar weakness stabilized in 3Q25, and the DXY index appreciated 0.9% versus the previous quarter, although appetite for regional currencies continued. Most appreciated (Mexican peso +2.3%, Brazilian real +2.0%, and Colombian peso +4.1%), except for the Chilean peso (which depreciated 3.3%) due to political uncertainty ahead of the November elections. Year-to-date through the end of 3Q25, the global dollar DXY has depreciated by about 10%.</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During 3Q25, the BCRP did not intervene in the spot foreign exchange market. However, it intervened in the forward market by partially renewing (allowing to expire) FX swap sales, which reduced the balance of this instrument by PEN 5.6 billion to PEN 38.7 billion between 2Q25 and 3Q25. Year -to -date, the balance has fallen by about PEN 10 billion, and on May 13 it intervened only once in the spot market with the sale of US$1 million.</w:t>
      </w:r>
    </w:p>
    <w:p>
      <w:pPr>
        <w:spacing w:after="0" w:line="146" w:lineRule="exact"/>
        <w:rPr>
          <w:sz w:val="20"/>
          <w:szCs w:val="20"/>
          <w:color w:val="auto"/>
        </w:rPr>
      </w:pPr>
    </w:p>
    <w:p>
      <w:pPr>
        <w:sectPr>
          <w:pgSz w:w="11900" w:h="16840" w:orient="portrait"/>
          <w:cols w:equalWidth="0" w:num="2">
            <w:col w:w="4780" w:space="720"/>
            <w:col w:w="5080"/>
          </w:cols>
          <w:pgMar w:left="660" w:top="931" w:right="660" w:bottom="1440" w:gutter="0" w:footer="0" w:header="0"/>
          <w:type w:val="continuous"/>
        </w:sectPr>
      </w:pPr>
    </w:p>
    <w:p>
      <w:pPr>
        <w:jc w:val="both"/>
        <w:ind w:right="20"/>
        <w:spacing w:after="0" w:line="248" w:lineRule="auto"/>
        <w:rPr>
          <w:sz w:val="20"/>
          <w:szCs w:val="20"/>
          <w:color w:val="auto"/>
        </w:rPr>
      </w:pPr>
      <w:r>
        <w:rPr>
          <w:rFonts w:ascii="Arial" w:cs="Arial" w:eastAsia="Arial" w:hAnsi="Arial"/>
          <w:sz w:val="16"/>
          <w:szCs w:val="16"/>
          <w:color w:val="auto"/>
        </w:rPr>
        <w:t>Net International Reserves (NIR) closed 3Q25 at US$85.1 billion, similar to US$85.2 billion at the end of 2Q25 and above the US$79.0 billion recorded at the end of 4Q24. Meanwhile, the BCRP’s foreign exchange position closed 3Q25 at US$57.2 billion, an increase of US$1.2 billion during 3Q25 and US$3.7 billion compared to the end of 4Q24.</w:t>
      </w:r>
    </w:p>
    <w:p>
      <w:pPr>
        <w:spacing w:after="0" w:line="15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On September 17, Congress approved the eighth pension funds withdrawal. According to the SBS, the estimated potential withdrawal amounts to S/. 31.6 billion. And on October 10, Congress approved the impeachment of President Dina Boluarte, with 122 votes in favor, for “permanent moral incapacity.” The President of Congress, Jose Jerí, assumed the position of interim president in accordance with Article 115 of the Political Constitution of Peru, which establishes that, in the event of the president’s vacancy and the absence of vice presidents, the President of Congress must assume the role of head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640080</wp:posOffset>
            </wp:positionV>
            <wp:extent cx="670750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106680</wp:posOffset>
            </wp:positionV>
            <wp:extent cx="5922645" cy="4419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22645" cy="441960"/>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type w:val="continuous"/>
        </w:sectPr>
      </w:pPr>
    </w:p>
    <w:bookmarkStart w:id="48" w:name="page49"/>
    <w:bookmarkEnd w:id="48"/>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11. Economic Outlook</w:t>
      </w:r>
    </w:p>
    <w:p>
      <w:pPr>
        <w:spacing w:after="0" w:line="240"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150" w:lineRule="exact"/>
        <w:rPr>
          <w:sz w:val="20"/>
          <w:szCs w:val="20"/>
          <w:color w:val="auto"/>
        </w:rPr>
      </w:pPr>
    </w:p>
    <w:p>
      <w:pPr>
        <w:ind w:left="120" w:hanging="114"/>
        <w:spacing w:after="0"/>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occurrence of natural disasters or political or social instability in Peru;</w:t>
      </w:r>
    </w:p>
    <w:p>
      <w:pPr>
        <w:spacing w:after="0" w:line="10" w:lineRule="exact"/>
        <w:rPr>
          <w:rFonts w:ascii="Arial" w:cs="Arial" w:eastAsia="Arial" w:hAnsi="Arial"/>
          <w:sz w:val="16"/>
          <w:szCs w:val="16"/>
          <w:color w:val="auto"/>
        </w:rPr>
      </w:pPr>
    </w:p>
    <w:p>
      <w:pPr>
        <w:ind w:left="120" w:right="200" w:hanging="114"/>
        <w:spacing w:after="0" w:line="234" w:lineRule="auto"/>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adequacy of the dividends that our subsidiaries are able to pay to us, which may affect our ability to pay dividends to shareholders and corporate expenses;</w:t>
      </w:r>
    </w:p>
    <w:p>
      <w:pPr>
        <w:spacing w:after="0" w:line="1" w:lineRule="exact"/>
        <w:rPr>
          <w:rFonts w:ascii="Arial" w:cs="Arial" w:eastAsia="Arial" w:hAnsi="Arial"/>
          <w:sz w:val="16"/>
          <w:szCs w:val="16"/>
          <w:color w:val="auto"/>
        </w:rPr>
      </w:pPr>
    </w:p>
    <w:p>
      <w:pPr>
        <w:ind w:left="120" w:hanging="114"/>
        <w:spacing w:after="0" w:line="234" w:lineRule="auto"/>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Performance of, and volatility in, financial markets, including Latin-American and other markets;</w:t>
      </w:r>
    </w:p>
    <w:p>
      <w:pPr>
        <w:ind w:left="120" w:hanging="114"/>
        <w:spacing w:after="0" w:line="234" w:lineRule="auto"/>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frequency, severity and types of insured loss events;</w:t>
      </w:r>
    </w:p>
    <w:p>
      <w:pPr>
        <w:ind w:left="120" w:hanging="114"/>
        <w:spacing w:after="0" w:line="234" w:lineRule="auto"/>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Fluctuations in interest rate levels;</w:t>
      </w:r>
    </w:p>
    <w:p>
      <w:pPr>
        <w:ind w:left="120" w:hanging="114"/>
        <w:spacing w:after="0" w:line="234" w:lineRule="auto"/>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Foreign currency exchange rates, including the Sol/US Dollar exchange rate;</w:t>
      </w:r>
    </w:p>
    <w:p>
      <w:pPr>
        <w:ind w:left="120" w:hanging="114"/>
        <w:spacing w:after="0" w:line="234" w:lineRule="auto"/>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Deterioration in the quality of our loan portfolio;</w:t>
      </w:r>
    </w:p>
    <w:p>
      <w:pPr>
        <w:ind w:left="120" w:hanging="114"/>
        <w:spacing w:after="0" w:line="234" w:lineRule="auto"/>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Increasing levels of competition in Peru and other markets in which we operate;</w:t>
      </w:r>
    </w:p>
    <w:p>
      <w:pPr>
        <w:ind w:left="120" w:hanging="114"/>
        <w:spacing w:after="0" w:line="234" w:lineRule="auto"/>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Developments and changes in laws and regulations affecting the financial sector and adoption of new international guidelines;</w:t>
      </w:r>
    </w:p>
    <w:p>
      <w:pPr>
        <w:ind w:left="120" w:hanging="114"/>
        <w:spacing w:after="0" w:line="234" w:lineRule="auto"/>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Changes in the policies of central banks and/or foreign governments;</w:t>
      </w:r>
    </w:p>
    <w:p>
      <w:pPr>
        <w:ind w:left="120" w:hanging="114"/>
        <w:spacing w:after="0" w:line="234" w:lineRule="auto"/>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Effectiveness of our risk management policies and of our operational and security systems;</w:t>
      </w:r>
    </w:p>
    <w:p>
      <w:pPr>
        <w:ind w:left="120" w:hanging="114"/>
        <w:spacing w:after="0" w:line="234" w:lineRule="auto"/>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Losses associated with counterparty exposures;</w:t>
      </w:r>
    </w:p>
    <w:p>
      <w:pPr>
        <w:ind w:left="120" w:right="220" w:hanging="114"/>
        <w:spacing w:after="0" w:line="234" w:lineRule="auto"/>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scope of the coronavirus (“COVID-19”) outbreak, actions taken to contain the COVID-19 and related economic effects from such actions and our ability to maintain adequate staffing; and</w:t>
      </w:r>
    </w:p>
    <w:p>
      <w:pPr>
        <w:spacing w:after="0" w:line="1" w:lineRule="exact"/>
        <w:rPr>
          <w:rFonts w:ascii="Arial" w:cs="Arial" w:eastAsia="Arial" w:hAnsi="Arial"/>
          <w:sz w:val="16"/>
          <w:szCs w:val="16"/>
          <w:color w:val="auto"/>
        </w:rPr>
      </w:pPr>
    </w:p>
    <w:p>
      <w:pPr>
        <w:ind w:left="120" w:hanging="114"/>
        <w:spacing w:after="0"/>
        <w:tabs>
          <w:tab w:leader="none" w:pos="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Changes in Bermuda laws and regulations applicable to so-called non-resident entities.</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See “Item 3. Key Information—3. D Risk Factors” and “Item 5. Operating and Financial Review and Prospects” in our most recent Annual Report on Form 20-F filed with the U.S. Securities and Exchange Commission for additional information and other such factors. You are cautioned not to place undue reliance on these forward-looking statements, which speak only as of the date hereof and are based only on information currently available to us. Therefore, you should not rely on any of these forward-looking statements.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647700</wp:posOffset>
            </wp:positionV>
            <wp:extent cx="670750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106680</wp:posOffset>
            </wp:positionV>
            <wp:extent cx="5899785" cy="4495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99785" cy="449580"/>
                    </a:xfrm>
                    <a:prstGeom prst="rect">
                      <a:avLst/>
                    </a:prstGeom>
                    <a:noFill/>
                  </pic:spPr>
                </pic:pic>
              </a:graphicData>
            </a:graphic>
          </wp:anchor>
        </w:drawing>
      </w:r>
    </w:p>
    <w:p>
      <w:pPr>
        <w:sectPr>
          <w:pgSz w:w="11900" w:h="16840" w:orient="portrait"/>
          <w:cols w:equalWidth="0" w:num="1">
            <w:col w:w="10580"/>
          </w:cols>
          <w:pgMar w:left="660" w:top="931" w:right="66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634"/>
        </w:trPr>
        <w:tc>
          <w:tcPr>
            <w:tcW w:w="640" w:type="dxa"/>
            <w:vAlign w:val="bottom"/>
            <w:shd w:val="clear" w:color="auto" w:fill="000000"/>
          </w:tcPr>
          <w:p>
            <w:pPr>
              <w:spacing w:after="0"/>
              <w:rPr>
                <w:sz w:val="24"/>
                <w:szCs w:val="24"/>
                <w:color w:val="auto"/>
              </w:rPr>
            </w:pPr>
          </w:p>
        </w:tc>
        <w:tc>
          <w:tcPr>
            <w:tcW w:w="5880" w:type="dxa"/>
            <w:vAlign w:val="bottom"/>
            <w:shd w:val="clear" w:color="auto" w:fill="000000"/>
          </w:tcPr>
          <w:p>
            <w:pPr>
              <w:ind w:left="192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3"/>
                <w:szCs w:val="13"/>
                <w:color w:val="FFFFFF"/>
              </w:rPr>
              <w:t>Earnings Release 3Q / 2025</w:t>
            </w:r>
          </w:p>
        </w:tc>
        <w:tc>
          <w:tcPr>
            <w:tcW w:w="4040" w:type="dxa"/>
            <w:vAlign w:val="bottom"/>
            <w:shd w:val="clear" w:color="auto" w:fill="000000"/>
          </w:tcPr>
          <w:p>
            <w:pPr>
              <w:jc w:val="right"/>
              <w:spacing w:after="0"/>
              <w:rPr>
                <w:sz w:val="20"/>
                <w:szCs w:val="20"/>
                <w:color w:val="auto"/>
              </w:rPr>
            </w:pPr>
            <w:r>
              <w:rPr>
                <w:rFonts w:ascii="Arial" w:cs="Arial" w:eastAsia="Arial" w:hAnsi="Arial"/>
                <w:sz w:val="13"/>
                <w:szCs w:val="13"/>
                <w:color w:val="ED3FA8"/>
              </w:rPr>
              <w:t>Analysis of 3Q25 Consolidated Results</w:t>
            </w:r>
          </w:p>
        </w:tc>
      </w:tr>
      <w:tr>
        <w:trPr>
          <w:trHeight w:val="410"/>
        </w:trPr>
        <w:tc>
          <w:tcPr>
            <w:tcW w:w="6520" w:type="dxa"/>
            <w:vAlign w:val="bottom"/>
            <w:gridSpan w:val="2"/>
            <w:shd w:val="clear" w:color="auto" w:fill="000000"/>
          </w:tcPr>
          <w:p>
            <w:pPr>
              <w:spacing w:after="0"/>
              <w:rPr>
                <w:sz w:val="24"/>
                <w:szCs w:val="24"/>
                <w:color w:val="auto"/>
              </w:rPr>
            </w:pPr>
          </w:p>
        </w:tc>
        <w:tc>
          <w:tcPr>
            <w:tcW w:w="4040" w:type="dxa"/>
            <w:vAlign w:val="bottom"/>
            <w:shd w:val="clear" w:color="auto" w:fill="000000"/>
          </w:tcPr>
          <w:p>
            <w:pPr>
              <w:spacing w:after="0"/>
              <w:rPr>
                <w:sz w:val="24"/>
                <w:szCs w:val="24"/>
                <w:color w:val="auto"/>
              </w:rPr>
            </w:pPr>
          </w:p>
        </w:tc>
      </w:tr>
      <w:tr>
        <w:trPr>
          <w:trHeight w:val="786"/>
        </w:trPr>
        <w:tc>
          <w:tcPr>
            <w:tcW w:w="6520" w:type="dxa"/>
            <w:vAlign w:val="bottom"/>
            <w:gridSpan w:val="2"/>
          </w:tcPr>
          <w:p>
            <w:pPr>
              <w:spacing w:after="0"/>
              <w:rPr>
                <w:sz w:val="20"/>
                <w:szCs w:val="20"/>
                <w:color w:val="auto"/>
              </w:rPr>
            </w:pPr>
            <w:r>
              <w:rPr>
                <w:rFonts w:ascii="Arial" w:cs="Arial" w:eastAsia="Arial" w:hAnsi="Arial"/>
                <w:sz w:val="47"/>
                <w:szCs w:val="47"/>
                <w:b w:val="1"/>
                <w:bCs w:val="1"/>
                <w:color w:val="E93BAC"/>
              </w:rPr>
              <w:t xml:space="preserve">12 </w:t>
            </w:r>
            <w:r>
              <w:rPr>
                <w:rFonts w:ascii="Arial" w:cs="Arial" w:eastAsia="Arial" w:hAnsi="Arial"/>
                <w:sz w:val="28"/>
                <w:szCs w:val="28"/>
                <w:color w:val="E93BAC"/>
              </w:rPr>
              <w:t>Appendix</w:t>
            </w:r>
          </w:p>
        </w:tc>
        <w:tc>
          <w:tcPr>
            <w:tcW w:w="4040" w:type="dxa"/>
            <w:vAlign w:val="bottom"/>
          </w:tcPr>
          <w:p>
            <w:pPr>
              <w:spacing w:after="0"/>
              <w:rPr>
                <w:sz w:val="24"/>
                <w:szCs w:val="24"/>
                <w:color w:val="auto"/>
              </w:rPr>
            </w:pPr>
          </w:p>
        </w:tc>
      </w:tr>
      <w:tr>
        <w:trPr>
          <w:trHeight w:val="348"/>
        </w:trPr>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Evolution of Loans in Average Daily Balances</w:t>
            </w:r>
          </w:p>
        </w:tc>
        <w:tc>
          <w:tcPr>
            <w:tcW w:w="4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2"/>
        </w:trPr>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Loan Portfolio Quality</w:t>
            </w:r>
          </w:p>
        </w:tc>
        <w:tc>
          <w:tcPr>
            <w:tcW w:w="4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2"/>
        </w:trPr>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Net Interest Income (NII)</w:t>
            </w:r>
          </w:p>
        </w:tc>
        <w:tc>
          <w:tcPr>
            <w:tcW w:w="4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2"/>
        </w:trPr>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Net Interest Margin (NIM) and Risk Adjusted NIM</w:t>
            </w:r>
          </w:p>
        </w:tc>
        <w:tc>
          <w:tcPr>
            <w:tcW w:w="4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60"/>
        </w:trPr>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Physical Point of Contact</w:t>
            </w:r>
          </w:p>
        </w:tc>
        <w:tc>
          <w:tcPr>
            <w:tcW w:w="4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2"/>
        </w:trPr>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Regulatory Capital</w:t>
            </w:r>
          </w:p>
        </w:tc>
        <w:tc>
          <w:tcPr>
            <w:tcW w:w="4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2"/>
        </w:trPr>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and Ratios by Business</w:t>
            </w:r>
          </w:p>
        </w:tc>
        <w:tc>
          <w:tcPr>
            <w:tcW w:w="4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2"/>
        </w:trPr>
        <w:tc>
          <w:tcPr>
            <w:tcW w:w="6520" w:type="dxa"/>
            <w:vAlign w:val="bottom"/>
            <w:gridSpan w:val="2"/>
          </w:tcPr>
          <w:p>
            <w:pPr>
              <w:ind w:left="540"/>
              <w:spacing w:after="0"/>
              <w:rPr>
                <w:sz w:val="20"/>
                <w:szCs w:val="20"/>
                <w:color w:val="auto"/>
              </w:rPr>
            </w:pPr>
            <w:r>
              <w:rPr>
                <w:rFonts w:ascii="Arial" w:cs="Arial" w:eastAsia="Arial" w:hAnsi="Arial"/>
                <w:sz w:val="18"/>
                <w:szCs w:val="18"/>
                <w:b w:val="1"/>
                <w:bCs w:val="1"/>
                <w:color w:val="auto"/>
              </w:rPr>
              <w:t>12.7.1. Credicorp Consolidated</w:t>
            </w:r>
          </w:p>
        </w:tc>
        <w:tc>
          <w:tcPr>
            <w:tcW w:w="4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2"/>
        </w:trPr>
        <w:tc>
          <w:tcPr>
            <w:tcW w:w="6520" w:type="dxa"/>
            <w:vAlign w:val="bottom"/>
            <w:gridSpan w:val="2"/>
          </w:tcPr>
          <w:p>
            <w:pPr>
              <w:ind w:left="540"/>
              <w:spacing w:after="0"/>
              <w:rPr>
                <w:sz w:val="20"/>
                <w:szCs w:val="20"/>
                <w:color w:val="auto"/>
              </w:rPr>
            </w:pPr>
            <w:r>
              <w:rPr>
                <w:rFonts w:ascii="Arial" w:cs="Arial" w:eastAsia="Arial" w:hAnsi="Arial"/>
                <w:sz w:val="18"/>
                <w:szCs w:val="18"/>
                <w:b w:val="1"/>
                <w:bCs w:val="1"/>
                <w:color w:val="auto"/>
              </w:rPr>
              <w:t>12.7.2. Credicorp Stand-alone</w:t>
            </w:r>
          </w:p>
        </w:tc>
        <w:tc>
          <w:tcPr>
            <w:tcW w:w="4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2"/>
        </w:trPr>
        <w:tc>
          <w:tcPr>
            <w:tcW w:w="6520" w:type="dxa"/>
            <w:vAlign w:val="bottom"/>
            <w:gridSpan w:val="2"/>
          </w:tcPr>
          <w:p>
            <w:pPr>
              <w:ind w:left="540"/>
              <w:spacing w:after="0"/>
              <w:rPr>
                <w:sz w:val="20"/>
                <w:szCs w:val="20"/>
                <w:color w:val="auto"/>
              </w:rPr>
            </w:pPr>
            <w:r>
              <w:rPr>
                <w:rFonts w:ascii="Arial" w:cs="Arial" w:eastAsia="Arial" w:hAnsi="Arial"/>
                <w:sz w:val="18"/>
                <w:szCs w:val="18"/>
                <w:b w:val="1"/>
                <w:bCs w:val="1"/>
                <w:color w:val="auto"/>
              </w:rPr>
              <w:t>12.7.3. BCP Consolidated</w:t>
            </w:r>
          </w:p>
        </w:tc>
        <w:tc>
          <w:tcPr>
            <w:tcW w:w="4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2"/>
        </w:trPr>
        <w:tc>
          <w:tcPr>
            <w:tcW w:w="6520" w:type="dxa"/>
            <w:vAlign w:val="bottom"/>
            <w:gridSpan w:val="2"/>
          </w:tcPr>
          <w:p>
            <w:pPr>
              <w:ind w:left="540"/>
              <w:spacing w:after="0"/>
              <w:rPr>
                <w:sz w:val="20"/>
                <w:szCs w:val="20"/>
                <w:color w:val="auto"/>
              </w:rPr>
            </w:pPr>
            <w:r>
              <w:rPr>
                <w:rFonts w:ascii="Arial" w:cs="Arial" w:eastAsia="Arial" w:hAnsi="Arial"/>
                <w:sz w:val="18"/>
                <w:szCs w:val="18"/>
                <w:b w:val="1"/>
                <w:bCs w:val="1"/>
                <w:color w:val="auto"/>
              </w:rPr>
              <w:t>12.7.4. BCP Stand-alone</w:t>
            </w:r>
          </w:p>
        </w:tc>
        <w:tc>
          <w:tcPr>
            <w:tcW w:w="4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2"/>
        </w:trPr>
        <w:tc>
          <w:tcPr>
            <w:tcW w:w="6520" w:type="dxa"/>
            <w:vAlign w:val="bottom"/>
            <w:gridSpan w:val="2"/>
          </w:tcPr>
          <w:p>
            <w:pPr>
              <w:ind w:left="540"/>
              <w:spacing w:after="0"/>
              <w:rPr>
                <w:sz w:val="20"/>
                <w:szCs w:val="20"/>
                <w:color w:val="auto"/>
              </w:rPr>
            </w:pPr>
            <w:r>
              <w:rPr>
                <w:rFonts w:ascii="Arial" w:cs="Arial" w:eastAsia="Arial" w:hAnsi="Arial"/>
                <w:sz w:val="18"/>
                <w:szCs w:val="18"/>
                <w:b w:val="1"/>
                <w:bCs w:val="1"/>
                <w:color w:val="auto"/>
              </w:rPr>
              <w:t>12.7.5. BCP Bolivia</w:t>
            </w:r>
          </w:p>
        </w:tc>
        <w:tc>
          <w:tcPr>
            <w:tcW w:w="4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2"/>
        </w:trPr>
        <w:tc>
          <w:tcPr>
            <w:tcW w:w="6520" w:type="dxa"/>
            <w:vAlign w:val="bottom"/>
            <w:gridSpan w:val="2"/>
          </w:tcPr>
          <w:p>
            <w:pPr>
              <w:ind w:left="540"/>
              <w:spacing w:after="0"/>
              <w:rPr>
                <w:sz w:val="20"/>
                <w:szCs w:val="20"/>
                <w:color w:val="auto"/>
              </w:rPr>
            </w:pPr>
            <w:r>
              <w:rPr>
                <w:rFonts w:ascii="Arial" w:cs="Arial" w:eastAsia="Arial" w:hAnsi="Arial"/>
                <w:sz w:val="18"/>
                <w:szCs w:val="18"/>
                <w:b w:val="1"/>
                <w:bCs w:val="1"/>
                <w:color w:val="auto"/>
              </w:rPr>
              <w:t>12.7.6. Mibanco</w:t>
            </w:r>
          </w:p>
        </w:tc>
        <w:tc>
          <w:tcPr>
            <w:tcW w:w="4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2"/>
        </w:trPr>
        <w:tc>
          <w:tcPr>
            <w:tcW w:w="6520" w:type="dxa"/>
            <w:vAlign w:val="bottom"/>
            <w:gridSpan w:val="2"/>
          </w:tcPr>
          <w:p>
            <w:pPr>
              <w:ind w:left="540"/>
              <w:spacing w:after="0"/>
              <w:rPr>
                <w:sz w:val="20"/>
                <w:szCs w:val="20"/>
                <w:color w:val="auto"/>
              </w:rPr>
            </w:pPr>
            <w:r>
              <w:rPr>
                <w:rFonts w:ascii="Arial" w:cs="Arial" w:eastAsia="Arial" w:hAnsi="Arial"/>
                <w:sz w:val="18"/>
                <w:szCs w:val="18"/>
                <w:b w:val="1"/>
                <w:bCs w:val="1"/>
                <w:color w:val="auto"/>
              </w:rPr>
              <w:t>12.7.7. Prima AFP</w:t>
            </w:r>
          </w:p>
        </w:tc>
        <w:tc>
          <w:tcPr>
            <w:tcW w:w="4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2"/>
        </w:trPr>
        <w:tc>
          <w:tcPr>
            <w:tcW w:w="6520" w:type="dxa"/>
            <w:vAlign w:val="bottom"/>
            <w:gridSpan w:val="2"/>
          </w:tcPr>
          <w:p>
            <w:pPr>
              <w:ind w:left="540"/>
              <w:spacing w:after="0"/>
              <w:rPr>
                <w:sz w:val="20"/>
                <w:szCs w:val="20"/>
                <w:color w:val="auto"/>
              </w:rPr>
            </w:pPr>
            <w:r>
              <w:rPr>
                <w:rFonts w:ascii="Arial" w:cs="Arial" w:eastAsia="Arial" w:hAnsi="Arial"/>
                <w:sz w:val="18"/>
                <w:szCs w:val="18"/>
                <w:b w:val="1"/>
                <w:bCs w:val="1"/>
                <w:color w:val="auto"/>
              </w:rPr>
              <w:t>12.7.8. Grupo Pacifico</w:t>
            </w:r>
          </w:p>
        </w:tc>
        <w:tc>
          <w:tcPr>
            <w:tcW w:w="4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2"/>
        </w:trPr>
        <w:tc>
          <w:tcPr>
            <w:tcW w:w="6520" w:type="dxa"/>
            <w:vAlign w:val="bottom"/>
            <w:gridSpan w:val="2"/>
          </w:tcPr>
          <w:p>
            <w:pPr>
              <w:ind w:left="540"/>
              <w:spacing w:after="0"/>
              <w:rPr>
                <w:sz w:val="20"/>
                <w:szCs w:val="20"/>
                <w:color w:val="auto"/>
              </w:rPr>
            </w:pPr>
            <w:r>
              <w:rPr>
                <w:rFonts w:ascii="Arial" w:cs="Arial" w:eastAsia="Arial" w:hAnsi="Arial"/>
                <w:sz w:val="18"/>
                <w:szCs w:val="18"/>
                <w:b w:val="1"/>
                <w:bCs w:val="1"/>
                <w:color w:val="auto"/>
              </w:rPr>
              <w:t>12.7.9. Investment Management and Advisory</w:t>
            </w:r>
          </w:p>
        </w:tc>
        <w:tc>
          <w:tcPr>
            <w:tcW w:w="4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2"/>
        </w:trPr>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Table of Calculations</w:t>
            </w:r>
          </w:p>
        </w:tc>
        <w:tc>
          <w:tcPr>
            <w:tcW w:w="40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2"/>
        </w:trPr>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Glossary of terms</w:t>
            </w:r>
          </w:p>
        </w:tc>
        <w:tc>
          <w:tcPr>
            <w:tcW w:w="40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078"/>
        </w:trPr>
        <w:tc>
          <w:tcPr>
            <w:tcW w:w="64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-5250815</wp:posOffset>
            </wp:positionV>
            <wp:extent cx="982980" cy="2057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82980" cy="205740"/>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-593725</wp:posOffset>
            </wp:positionV>
            <wp:extent cx="6014085" cy="4876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14085" cy="487680"/>
                    </a:xfrm>
                    <a:prstGeom prst="rect">
                      <a:avLst/>
                    </a:prstGeom>
                    <a:noFill/>
                  </pic:spPr>
                </pic:pic>
              </a:graphicData>
            </a:graphic>
          </wp:anchor>
        </w:drawing>
      </w:r>
    </w:p>
    <w:p>
      <w:pPr>
        <w:sectPr>
          <w:pgSz w:w="11900" w:h="16840" w:orient="portrait"/>
          <w:cols w:equalWidth="0" w:num="1">
            <w:col w:w="10560"/>
          </w:cols>
          <w:pgMar w:left="660" w:top="570" w:right="680" w:bottom="1440" w:gutter="0" w:footer="0" w:header="0"/>
        </w:sectPr>
      </w:pPr>
    </w:p>
    <w:bookmarkStart w:id="50" w:name="page51"/>
    <w:bookmarkEnd w:id="50"/>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8686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07505" cy="86868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Evolution of Loans in Average Daily Balances</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 xml:space="preserve">Total Loans (in Average Daily Balances) </w:t>
      </w:r>
      <w:r>
        <w:rPr>
          <w:rFonts w:ascii="Arial" w:cs="Arial" w:eastAsia="Arial" w:hAnsi="Arial"/>
          <w:sz w:val="26"/>
          <w:szCs w:val="26"/>
          <w:b w:val="1"/>
          <w:bCs w:val="1"/>
          <w:color w:val="auto"/>
          <w:vertAlign w:val="superscript"/>
        </w:rPr>
        <w:t>(1)(2)</w:t>
      </w:r>
    </w:p>
    <w:tbl>
      <w:tblPr>
        <w:tblLayout w:type="fixed"/>
        <w:tblInd w:w="10" w:type="dxa"/>
        <w:tblCellMar>
          <w:top w:w="0" w:type="dxa"/>
          <w:left w:w="0" w:type="dxa"/>
          <w:bottom w:w="0" w:type="dxa"/>
          <w:right w:w="0" w:type="dxa"/>
        </w:tblCellMar>
      </w:tblPr>
      <w:tr>
        <w:trPr>
          <w:trHeight w:val="148"/>
        </w:trPr>
        <w:tc>
          <w:tcPr>
            <w:tcW w:w="1640" w:type="dxa"/>
            <w:vAlign w:val="bottom"/>
            <w:tcBorders>
              <w:top w:val="single" w:sz="8" w:color="auto"/>
              <w:left w:val="single" w:sz="8" w:color="auto"/>
              <w:right w:val="single" w:sz="8" w:color="auto"/>
            </w:tcBorders>
            <w:vMerge w:val="restart"/>
            <w:shd w:val="clear" w:color="auto" w:fill="33CCCC"/>
          </w:tcPr>
          <w:p>
            <w:pPr>
              <w:ind w:left="20"/>
              <w:spacing w:after="0"/>
              <w:rPr>
                <w:sz w:val="20"/>
                <w:szCs w:val="20"/>
                <w:color w:val="auto"/>
              </w:rPr>
            </w:pPr>
            <w:r>
              <w:rPr>
                <w:rFonts w:ascii="Arial" w:cs="Arial" w:eastAsia="Arial" w:hAnsi="Arial"/>
                <w:sz w:val="12"/>
                <w:szCs w:val="12"/>
                <w:b w:val="1"/>
                <w:bCs w:val="1"/>
                <w:color w:val="FFFFFF"/>
              </w:rPr>
              <w:t>Total Loans</w:t>
            </w:r>
          </w:p>
        </w:tc>
        <w:tc>
          <w:tcPr>
            <w:tcW w:w="880" w:type="dxa"/>
            <w:vAlign w:val="bottom"/>
            <w:tcBorders>
              <w:top w:val="single" w:sz="8" w:color="auto"/>
            </w:tcBorders>
            <w:shd w:val="clear" w:color="auto" w:fill="33CCCC"/>
          </w:tcPr>
          <w:p>
            <w:pPr>
              <w:spacing w:after="0"/>
              <w:rPr>
                <w:sz w:val="12"/>
                <w:szCs w:val="12"/>
                <w:color w:val="auto"/>
              </w:rPr>
            </w:pPr>
          </w:p>
        </w:tc>
        <w:tc>
          <w:tcPr>
            <w:tcW w:w="92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As of</w:t>
            </w:r>
          </w:p>
        </w:tc>
        <w:tc>
          <w:tcPr>
            <w:tcW w:w="880" w:type="dxa"/>
            <w:vAlign w:val="bottom"/>
            <w:tcBorders>
              <w:top w:val="single" w:sz="8" w:color="auto"/>
              <w:right w:val="single" w:sz="8" w:color="auto"/>
            </w:tcBorders>
            <w:shd w:val="clear" w:color="auto" w:fill="33CCCC"/>
          </w:tcPr>
          <w:p>
            <w:pPr>
              <w:spacing w:after="0"/>
              <w:rPr>
                <w:sz w:val="12"/>
                <w:szCs w:val="12"/>
                <w:color w:val="auto"/>
              </w:rPr>
            </w:pPr>
          </w:p>
        </w:tc>
        <w:tc>
          <w:tcPr>
            <w:tcW w:w="1740" w:type="dxa"/>
            <w:vAlign w:val="bottom"/>
            <w:tcBorders>
              <w:top w:val="single" w:sz="8" w:color="auto"/>
              <w:right w:val="single" w:sz="8" w:color="auto"/>
            </w:tcBorders>
            <w:gridSpan w:val="2"/>
            <w:shd w:val="clear" w:color="auto" w:fill="33CCCC"/>
          </w:tcPr>
          <w:p>
            <w:pPr>
              <w:ind w:left="400"/>
              <w:spacing w:after="0"/>
              <w:rPr>
                <w:sz w:val="20"/>
                <w:szCs w:val="20"/>
                <w:color w:val="auto"/>
              </w:rPr>
            </w:pPr>
            <w:r>
              <w:rPr>
                <w:rFonts w:ascii="Arial" w:cs="Arial" w:eastAsia="Arial" w:hAnsi="Arial"/>
                <w:sz w:val="12"/>
                <w:szCs w:val="12"/>
                <w:b w:val="1"/>
                <w:bCs w:val="1"/>
                <w:color w:val="FFFFFF"/>
              </w:rPr>
              <w:t>Volume change</w:t>
            </w:r>
          </w:p>
        </w:tc>
        <w:tc>
          <w:tcPr>
            <w:tcW w:w="1840" w:type="dxa"/>
            <w:vAlign w:val="bottom"/>
            <w:tcBorders>
              <w:top w:val="single" w:sz="8" w:color="auto"/>
              <w:right w:val="single" w:sz="8" w:color="auto"/>
            </w:tcBorders>
            <w:gridSpan w:val="2"/>
            <w:shd w:val="clear" w:color="auto" w:fill="33CCCC"/>
          </w:tcPr>
          <w:p>
            <w:pPr>
              <w:ind w:left="620"/>
              <w:spacing w:after="0"/>
              <w:rPr>
                <w:sz w:val="20"/>
                <w:szCs w:val="20"/>
                <w:color w:val="auto"/>
              </w:rPr>
            </w:pPr>
            <w:r>
              <w:rPr>
                <w:rFonts w:ascii="Arial" w:cs="Arial" w:eastAsia="Arial" w:hAnsi="Arial"/>
                <w:sz w:val="12"/>
                <w:szCs w:val="12"/>
                <w:b w:val="1"/>
                <w:bCs w:val="1"/>
                <w:color w:val="FFFFFF"/>
              </w:rPr>
              <w:t>% change</w:t>
            </w:r>
          </w:p>
        </w:tc>
        <w:tc>
          <w:tcPr>
            <w:tcW w:w="660" w:type="dxa"/>
            <w:vAlign w:val="bottom"/>
            <w:tcBorders>
              <w:top w:val="single" w:sz="8" w:color="auto"/>
            </w:tcBorders>
            <w:shd w:val="clear" w:color="auto" w:fill="33CCCC"/>
          </w:tcPr>
          <w:p>
            <w:pPr>
              <w:spacing w:after="0"/>
              <w:rPr>
                <w:sz w:val="12"/>
                <w:szCs w:val="12"/>
                <w:color w:val="auto"/>
              </w:rPr>
            </w:pPr>
          </w:p>
        </w:tc>
        <w:tc>
          <w:tcPr>
            <w:tcW w:w="1300" w:type="dxa"/>
            <w:vAlign w:val="bottom"/>
            <w:tcBorders>
              <w:top w:val="single" w:sz="8" w:color="auto"/>
            </w:tcBorders>
            <w:shd w:val="clear" w:color="auto" w:fill="33CCCC"/>
          </w:tcPr>
          <w:p>
            <w:pPr>
              <w:ind w:left="60"/>
              <w:spacing w:after="0"/>
              <w:rPr>
                <w:sz w:val="20"/>
                <w:szCs w:val="20"/>
                <w:color w:val="auto"/>
              </w:rPr>
            </w:pPr>
            <w:r>
              <w:rPr>
                <w:rFonts w:ascii="Arial" w:cs="Arial" w:eastAsia="Arial" w:hAnsi="Arial"/>
                <w:sz w:val="12"/>
                <w:szCs w:val="12"/>
                <w:b w:val="1"/>
                <w:bCs w:val="1"/>
                <w:color w:val="FFFFFF"/>
              </w:rPr>
              <w:t>% Part. in total loans</w:t>
            </w:r>
          </w:p>
        </w:tc>
        <w:tc>
          <w:tcPr>
            <w:tcW w:w="720" w:type="dxa"/>
            <w:vAlign w:val="bottom"/>
            <w:tcBorders>
              <w:top w:val="single" w:sz="8" w:color="auto"/>
              <w:right w:val="single" w:sz="8" w:color="auto"/>
            </w:tcBorders>
            <w:shd w:val="clear" w:color="auto" w:fill="33CCCC"/>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640" w:type="dxa"/>
            <w:vAlign w:val="bottom"/>
            <w:tcBorders>
              <w:left w:val="single" w:sz="8" w:color="auto"/>
              <w:right w:val="single" w:sz="8" w:color="auto"/>
            </w:tcBorders>
            <w:vMerge w:val="continue"/>
            <w:shd w:val="clear" w:color="auto" w:fill="33CCCC"/>
          </w:tcPr>
          <w:p>
            <w:pPr>
              <w:spacing w:after="0"/>
              <w:rPr>
                <w:sz w:val="6"/>
                <w:szCs w:val="6"/>
                <w:color w:val="auto"/>
              </w:rPr>
            </w:pPr>
          </w:p>
        </w:tc>
        <w:tc>
          <w:tcPr>
            <w:tcW w:w="880" w:type="dxa"/>
            <w:vAlign w:val="bottom"/>
            <w:shd w:val="clear" w:color="auto" w:fill="33CCCC"/>
          </w:tcPr>
          <w:p>
            <w:pPr>
              <w:spacing w:after="0"/>
              <w:rPr>
                <w:sz w:val="6"/>
                <w:szCs w:val="6"/>
                <w:color w:val="auto"/>
              </w:rPr>
            </w:pPr>
          </w:p>
        </w:tc>
        <w:tc>
          <w:tcPr>
            <w:tcW w:w="920" w:type="dxa"/>
            <w:vAlign w:val="bottom"/>
            <w:shd w:val="clear" w:color="auto" w:fill="33CCCC"/>
          </w:tcPr>
          <w:p>
            <w:pPr>
              <w:spacing w:after="0"/>
              <w:rPr>
                <w:sz w:val="6"/>
                <w:szCs w:val="6"/>
                <w:color w:val="auto"/>
              </w:rPr>
            </w:pPr>
          </w:p>
        </w:tc>
        <w:tc>
          <w:tcPr>
            <w:tcW w:w="880" w:type="dxa"/>
            <w:vAlign w:val="bottom"/>
            <w:tcBorders>
              <w:right w:val="single" w:sz="8" w:color="auto"/>
            </w:tcBorders>
            <w:shd w:val="clear" w:color="auto" w:fill="33CCCC"/>
          </w:tcPr>
          <w:p>
            <w:pPr>
              <w:spacing w:after="0"/>
              <w:rPr>
                <w:sz w:val="6"/>
                <w:szCs w:val="6"/>
                <w:color w:val="auto"/>
              </w:rPr>
            </w:pPr>
          </w:p>
        </w:tc>
        <w:tc>
          <w:tcPr>
            <w:tcW w:w="840" w:type="dxa"/>
            <w:vAlign w:val="bottom"/>
            <w:shd w:val="clear" w:color="auto" w:fill="33CCCC"/>
          </w:tcPr>
          <w:p>
            <w:pPr>
              <w:spacing w:after="0"/>
              <w:rPr>
                <w:sz w:val="6"/>
                <w:szCs w:val="6"/>
                <w:color w:val="auto"/>
              </w:rPr>
            </w:pPr>
          </w:p>
        </w:tc>
        <w:tc>
          <w:tcPr>
            <w:tcW w:w="900" w:type="dxa"/>
            <w:vAlign w:val="bottom"/>
            <w:tcBorders>
              <w:right w:val="single" w:sz="8" w:color="auto"/>
            </w:tcBorders>
            <w:shd w:val="clear" w:color="auto" w:fill="33CCCC"/>
          </w:tcPr>
          <w:p>
            <w:pPr>
              <w:spacing w:after="0"/>
              <w:rPr>
                <w:sz w:val="6"/>
                <w:szCs w:val="6"/>
                <w:color w:val="auto"/>
              </w:rPr>
            </w:pPr>
          </w:p>
        </w:tc>
        <w:tc>
          <w:tcPr>
            <w:tcW w:w="900" w:type="dxa"/>
            <w:vAlign w:val="bottom"/>
            <w:shd w:val="clear" w:color="auto" w:fill="33CCCC"/>
          </w:tcPr>
          <w:p>
            <w:pPr>
              <w:spacing w:after="0"/>
              <w:rPr>
                <w:sz w:val="6"/>
                <w:szCs w:val="6"/>
                <w:color w:val="auto"/>
              </w:rPr>
            </w:pPr>
          </w:p>
        </w:tc>
        <w:tc>
          <w:tcPr>
            <w:tcW w:w="940" w:type="dxa"/>
            <w:vAlign w:val="bottom"/>
            <w:tcBorders>
              <w:right w:val="single" w:sz="8" w:color="auto"/>
            </w:tcBorders>
            <w:shd w:val="clear" w:color="auto" w:fill="33CCCC"/>
          </w:tcPr>
          <w:p>
            <w:pPr>
              <w:spacing w:after="0"/>
              <w:rPr>
                <w:sz w:val="6"/>
                <w:szCs w:val="6"/>
                <w:color w:val="auto"/>
              </w:rPr>
            </w:pPr>
          </w:p>
        </w:tc>
        <w:tc>
          <w:tcPr>
            <w:tcW w:w="660" w:type="dxa"/>
            <w:vAlign w:val="bottom"/>
            <w:shd w:val="clear" w:color="auto" w:fill="33CCCC"/>
          </w:tcPr>
          <w:p>
            <w:pPr>
              <w:spacing w:after="0"/>
              <w:rPr>
                <w:sz w:val="6"/>
                <w:szCs w:val="6"/>
                <w:color w:val="auto"/>
              </w:rPr>
            </w:pPr>
          </w:p>
        </w:tc>
        <w:tc>
          <w:tcPr>
            <w:tcW w:w="1300" w:type="dxa"/>
            <w:vAlign w:val="bottom"/>
            <w:shd w:val="clear" w:color="auto" w:fill="33CCCC"/>
          </w:tcPr>
          <w:p>
            <w:pPr>
              <w:spacing w:after="0"/>
              <w:rPr>
                <w:sz w:val="6"/>
                <w:szCs w:val="6"/>
                <w:color w:val="auto"/>
              </w:rPr>
            </w:pPr>
          </w:p>
        </w:tc>
        <w:tc>
          <w:tcPr>
            <w:tcW w:w="720" w:type="dxa"/>
            <w:vAlign w:val="bottom"/>
            <w:tcBorders>
              <w:right w:val="single" w:sz="8" w:color="auto"/>
            </w:tcBorders>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164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color w:val="FFFFFF"/>
              </w:rPr>
              <w:t>(S/ millions)</w:t>
            </w:r>
          </w:p>
        </w:tc>
        <w:tc>
          <w:tcPr>
            <w:tcW w:w="880" w:type="dxa"/>
            <w:vAlign w:val="bottom"/>
            <w:vMerge w:val="restart"/>
            <w:shd w:val="clear" w:color="auto" w:fill="33CCCC"/>
          </w:tcPr>
          <w:p>
            <w:pPr>
              <w:ind w:left="240"/>
              <w:spacing w:after="0"/>
              <w:rPr>
                <w:sz w:val="20"/>
                <w:szCs w:val="20"/>
                <w:color w:val="auto"/>
              </w:rPr>
            </w:pPr>
            <w:r>
              <w:rPr>
                <w:rFonts w:ascii="Arial" w:cs="Arial" w:eastAsia="Arial" w:hAnsi="Arial"/>
                <w:sz w:val="12"/>
                <w:szCs w:val="12"/>
                <w:b w:val="1"/>
                <w:bCs w:val="1"/>
                <w:color w:val="FFFFFF"/>
              </w:rPr>
              <w:t>Sep 24</w:t>
            </w:r>
          </w:p>
        </w:tc>
        <w:tc>
          <w:tcPr>
            <w:tcW w:w="920" w:type="dxa"/>
            <w:vAlign w:val="bottom"/>
            <w:vMerge w:val="restart"/>
            <w:shd w:val="clear" w:color="auto" w:fill="33CCCC"/>
          </w:tcPr>
          <w:p>
            <w:pPr>
              <w:jc w:val="center"/>
              <w:spacing w:after="0"/>
              <w:rPr>
                <w:sz w:val="20"/>
                <w:szCs w:val="20"/>
                <w:color w:val="auto"/>
              </w:rPr>
            </w:pPr>
            <w:r>
              <w:rPr>
                <w:rFonts w:ascii="Arial" w:cs="Arial" w:eastAsia="Arial" w:hAnsi="Arial"/>
                <w:sz w:val="12"/>
                <w:szCs w:val="12"/>
                <w:b w:val="1"/>
                <w:bCs w:val="1"/>
                <w:color w:val="FFFFFF"/>
                <w:w w:val="94"/>
              </w:rPr>
              <w:t>Jun 25</w:t>
            </w:r>
          </w:p>
        </w:tc>
        <w:tc>
          <w:tcPr>
            <w:tcW w:w="880" w:type="dxa"/>
            <w:vAlign w:val="bottom"/>
            <w:tcBorders>
              <w:right w:val="single" w:sz="8" w:color="auto"/>
            </w:tcBorders>
            <w:vMerge w:val="restart"/>
            <w:shd w:val="clear" w:color="auto" w:fill="33CCCC"/>
          </w:tcPr>
          <w:p>
            <w:pPr>
              <w:ind w:left="240"/>
              <w:spacing w:after="0"/>
              <w:rPr>
                <w:sz w:val="20"/>
                <w:szCs w:val="20"/>
                <w:color w:val="auto"/>
              </w:rPr>
            </w:pPr>
            <w:r>
              <w:rPr>
                <w:rFonts w:ascii="Arial" w:cs="Arial" w:eastAsia="Arial" w:hAnsi="Arial"/>
                <w:sz w:val="12"/>
                <w:szCs w:val="12"/>
                <w:b w:val="1"/>
                <w:bCs w:val="1"/>
                <w:color w:val="FFFFFF"/>
              </w:rPr>
              <w:t>Sep 25</w:t>
            </w:r>
          </w:p>
        </w:tc>
        <w:tc>
          <w:tcPr>
            <w:tcW w:w="840" w:type="dxa"/>
            <w:vAlign w:val="bottom"/>
            <w:vMerge w:val="restart"/>
            <w:shd w:val="clear" w:color="auto" w:fill="33CCCC"/>
          </w:tcPr>
          <w:p>
            <w:pPr>
              <w:ind w:left="280"/>
              <w:spacing w:after="0"/>
              <w:rPr>
                <w:sz w:val="20"/>
                <w:szCs w:val="20"/>
                <w:color w:val="auto"/>
              </w:rPr>
            </w:pPr>
            <w:r>
              <w:rPr>
                <w:rFonts w:ascii="Arial" w:cs="Arial" w:eastAsia="Arial" w:hAnsi="Arial"/>
                <w:sz w:val="12"/>
                <w:szCs w:val="12"/>
                <w:b w:val="1"/>
                <w:bCs w:val="1"/>
                <w:color w:val="FFFFFF"/>
              </w:rPr>
              <w:t>QoQ</w:t>
            </w:r>
          </w:p>
        </w:tc>
        <w:tc>
          <w:tcPr>
            <w:tcW w:w="900" w:type="dxa"/>
            <w:vAlign w:val="bottom"/>
            <w:tcBorders>
              <w:right w:val="single" w:sz="8" w:color="auto"/>
            </w:tcBorders>
            <w:vMerge w:val="restart"/>
            <w:shd w:val="clear" w:color="auto" w:fill="33CCCC"/>
          </w:tcPr>
          <w:p>
            <w:pPr>
              <w:ind w:left="320"/>
              <w:spacing w:after="0"/>
              <w:rPr>
                <w:sz w:val="20"/>
                <w:szCs w:val="20"/>
                <w:color w:val="auto"/>
              </w:rPr>
            </w:pPr>
            <w:r>
              <w:rPr>
                <w:rFonts w:ascii="Arial" w:cs="Arial" w:eastAsia="Arial" w:hAnsi="Arial"/>
                <w:sz w:val="12"/>
                <w:szCs w:val="12"/>
                <w:b w:val="1"/>
                <w:bCs w:val="1"/>
                <w:color w:val="FFFFFF"/>
              </w:rPr>
              <w:t>YoY</w:t>
            </w:r>
          </w:p>
        </w:tc>
        <w:tc>
          <w:tcPr>
            <w:tcW w:w="900" w:type="dxa"/>
            <w:vAlign w:val="bottom"/>
            <w:vMerge w:val="restart"/>
            <w:shd w:val="clear" w:color="auto" w:fill="33CCCC"/>
          </w:tcPr>
          <w:p>
            <w:pPr>
              <w:ind w:left="300"/>
              <w:spacing w:after="0"/>
              <w:rPr>
                <w:sz w:val="20"/>
                <w:szCs w:val="20"/>
                <w:color w:val="auto"/>
              </w:rPr>
            </w:pPr>
            <w:r>
              <w:rPr>
                <w:rFonts w:ascii="Arial" w:cs="Arial" w:eastAsia="Arial" w:hAnsi="Arial"/>
                <w:sz w:val="12"/>
                <w:szCs w:val="12"/>
                <w:b w:val="1"/>
                <w:bCs w:val="1"/>
                <w:color w:val="FFFFFF"/>
              </w:rPr>
              <w:t>QoQ</w:t>
            </w:r>
          </w:p>
        </w:tc>
        <w:tc>
          <w:tcPr>
            <w:tcW w:w="940" w:type="dxa"/>
            <w:vAlign w:val="bottom"/>
            <w:tcBorders>
              <w:right w:val="single" w:sz="8" w:color="auto"/>
            </w:tcBorders>
            <w:vMerge w:val="restart"/>
            <w:shd w:val="clear" w:color="auto" w:fill="33CCCC"/>
          </w:tcPr>
          <w:p>
            <w:pPr>
              <w:ind w:left="340"/>
              <w:spacing w:after="0"/>
              <w:rPr>
                <w:sz w:val="20"/>
                <w:szCs w:val="20"/>
                <w:color w:val="auto"/>
              </w:rPr>
            </w:pPr>
            <w:r>
              <w:rPr>
                <w:rFonts w:ascii="Arial" w:cs="Arial" w:eastAsia="Arial" w:hAnsi="Arial"/>
                <w:sz w:val="12"/>
                <w:szCs w:val="12"/>
                <w:b w:val="1"/>
                <w:bCs w:val="1"/>
                <w:color w:val="FFFFFF"/>
              </w:rPr>
              <w:t>YoY</w:t>
            </w:r>
          </w:p>
        </w:tc>
        <w:tc>
          <w:tcPr>
            <w:tcW w:w="660" w:type="dxa"/>
            <w:vAlign w:val="bottom"/>
            <w:vMerge w:val="restart"/>
            <w:shd w:val="clear" w:color="auto" w:fill="33CCCC"/>
          </w:tcPr>
          <w:p>
            <w:pPr>
              <w:ind w:left="240"/>
              <w:spacing w:after="0"/>
              <w:rPr>
                <w:sz w:val="20"/>
                <w:szCs w:val="20"/>
                <w:color w:val="auto"/>
              </w:rPr>
            </w:pPr>
            <w:r>
              <w:rPr>
                <w:rFonts w:ascii="Arial" w:cs="Arial" w:eastAsia="Arial" w:hAnsi="Arial"/>
                <w:sz w:val="12"/>
                <w:szCs w:val="12"/>
                <w:b w:val="1"/>
                <w:bCs w:val="1"/>
                <w:color w:val="FFFFFF"/>
              </w:rPr>
              <w:t>Sep 24</w:t>
            </w:r>
          </w:p>
        </w:tc>
        <w:tc>
          <w:tcPr>
            <w:tcW w:w="1300" w:type="dxa"/>
            <w:vAlign w:val="bottom"/>
            <w:vMerge w:val="restart"/>
            <w:shd w:val="clear" w:color="auto" w:fill="33CCCC"/>
          </w:tcPr>
          <w:p>
            <w:pPr>
              <w:ind w:left="440"/>
              <w:spacing w:after="0"/>
              <w:rPr>
                <w:sz w:val="20"/>
                <w:szCs w:val="20"/>
                <w:color w:val="auto"/>
              </w:rPr>
            </w:pPr>
            <w:r>
              <w:rPr>
                <w:rFonts w:ascii="Arial" w:cs="Arial" w:eastAsia="Arial" w:hAnsi="Arial"/>
                <w:sz w:val="12"/>
                <w:szCs w:val="12"/>
                <w:b w:val="1"/>
                <w:bCs w:val="1"/>
                <w:color w:val="FFFFFF"/>
              </w:rPr>
              <w:t>Jun 25</w:t>
            </w:r>
          </w:p>
        </w:tc>
        <w:tc>
          <w:tcPr>
            <w:tcW w:w="720" w:type="dxa"/>
            <w:vAlign w:val="bottom"/>
            <w:tcBorders>
              <w:right w:val="single" w:sz="8" w:color="auto"/>
            </w:tcBorders>
            <w:vMerge w:val="restart"/>
            <w:shd w:val="clear" w:color="auto" w:fill="33CCCC"/>
          </w:tcPr>
          <w:p>
            <w:pPr>
              <w:ind w:left="40"/>
              <w:spacing w:after="0"/>
              <w:rPr>
                <w:sz w:val="20"/>
                <w:szCs w:val="20"/>
                <w:color w:val="auto"/>
              </w:rPr>
            </w:pPr>
            <w:r>
              <w:rPr>
                <w:rFonts w:ascii="Arial" w:cs="Arial" w:eastAsia="Arial" w:hAnsi="Arial"/>
                <w:sz w:val="12"/>
                <w:szCs w:val="12"/>
                <w:b w:val="1"/>
                <w:bCs w:val="1"/>
                <w:color w:val="FFFFFF"/>
              </w:rPr>
              <w:t>Sep 25</w:t>
            </w:r>
          </w:p>
        </w:tc>
        <w:tc>
          <w:tcPr>
            <w:tcW w:w="0" w:type="dxa"/>
            <w:vAlign w:val="bottom"/>
          </w:tcPr>
          <w:p>
            <w:pPr>
              <w:spacing w:after="0"/>
              <w:rPr>
                <w:sz w:val="1"/>
                <w:szCs w:val="1"/>
                <w:color w:val="auto"/>
              </w:rPr>
            </w:pPr>
          </w:p>
        </w:tc>
      </w:tr>
      <w:tr>
        <w:trPr>
          <w:trHeight w:val="82"/>
        </w:trPr>
        <w:tc>
          <w:tcPr>
            <w:tcW w:w="1640" w:type="dxa"/>
            <w:vAlign w:val="bottom"/>
            <w:tcBorders>
              <w:left w:val="single" w:sz="8" w:color="auto"/>
              <w:bottom w:val="single" w:sz="8" w:color="auto"/>
              <w:right w:val="single" w:sz="8" w:color="auto"/>
            </w:tcBorders>
            <w:shd w:val="clear" w:color="auto" w:fill="33CCCC"/>
          </w:tcPr>
          <w:p>
            <w:pPr>
              <w:spacing w:after="0"/>
              <w:rPr>
                <w:sz w:val="7"/>
                <w:szCs w:val="7"/>
                <w:color w:val="auto"/>
              </w:rPr>
            </w:pPr>
          </w:p>
        </w:tc>
        <w:tc>
          <w:tcPr>
            <w:tcW w:w="880" w:type="dxa"/>
            <w:vAlign w:val="bottom"/>
            <w:tcBorders>
              <w:bottom w:val="single" w:sz="8" w:color="auto"/>
            </w:tcBorders>
            <w:vMerge w:val="continue"/>
            <w:shd w:val="clear" w:color="auto" w:fill="33CCCC"/>
          </w:tcPr>
          <w:p>
            <w:pPr>
              <w:spacing w:after="0"/>
              <w:rPr>
                <w:sz w:val="7"/>
                <w:szCs w:val="7"/>
                <w:color w:val="auto"/>
              </w:rPr>
            </w:pPr>
          </w:p>
        </w:tc>
        <w:tc>
          <w:tcPr>
            <w:tcW w:w="920" w:type="dxa"/>
            <w:vAlign w:val="bottom"/>
            <w:tcBorders>
              <w:bottom w:val="single" w:sz="8" w:color="auto"/>
            </w:tcBorders>
            <w:vMerge w:val="continue"/>
            <w:shd w:val="clear" w:color="auto" w:fill="33CCCC"/>
          </w:tcPr>
          <w:p>
            <w:pPr>
              <w:spacing w:after="0"/>
              <w:rPr>
                <w:sz w:val="7"/>
                <w:szCs w:val="7"/>
                <w:color w:val="auto"/>
              </w:rPr>
            </w:pPr>
          </w:p>
        </w:tc>
        <w:tc>
          <w:tcPr>
            <w:tcW w:w="88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840" w:type="dxa"/>
            <w:vAlign w:val="bottom"/>
            <w:tcBorders>
              <w:bottom w:val="single" w:sz="8" w:color="auto"/>
            </w:tcBorders>
            <w:vMerge w:val="continue"/>
            <w:shd w:val="clear" w:color="auto" w:fill="33CCCC"/>
          </w:tcPr>
          <w:p>
            <w:pPr>
              <w:spacing w:after="0"/>
              <w:rPr>
                <w:sz w:val="7"/>
                <w:szCs w:val="7"/>
                <w:color w:val="auto"/>
              </w:rPr>
            </w:pPr>
          </w:p>
        </w:tc>
        <w:tc>
          <w:tcPr>
            <w:tcW w:w="90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900" w:type="dxa"/>
            <w:vAlign w:val="bottom"/>
            <w:tcBorders>
              <w:bottom w:val="single" w:sz="8" w:color="auto"/>
            </w:tcBorders>
            <w:vMerge w:val="continue"/>
            <w:shd w:val="clear" w:color="auto" w:fill="33CCCC"/>
          </w:tcPr>
          <w:p>
            <w:pPr>
              <w:spacing w:after="0"/>
              <w:rPr>
                <w:sz w:val="7"/>
                <w:szCs w:val="7"/>
                <w:color w:val="auto"/>
              </w:rPr>
            </w:pPr>
          </w:p>
        </w:tc>
        <w:tc>
          <w:tcPr>
            <w:tcW w:w="94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660" w:type="dxa"/>
            <w:vAlign w:val="bottom"/>
            <w:tcBorders>
              <w:bottom w:val="single" w:sz="8" w:color="auto"/>
            </w:tcBorders>
            <w:vMerge w:val="continue"/>
            <w:shd w:val="clear" w:color="auto" w:fill="33CCCC"/>
          </w:tcPr>
          <w:p>
            <w:pPr>
              <w:spacing w:after="0"/>
              <w:rPr>
                <w:sz w:val="7"/>
                <w:szCs w:val="7"/>
                <w:color w:val="auto"/>
              </w:rPr>
            </w:pPr>
          </w:p>
        </w:tc>
        <w:tc>
          <w:tcPr>
            <w:tcW w:w="1300" w:type="dxa"/>
            <w:vAlign w:val="bottom"/>
            <w:tcBorders>
              <w:bottom w:val="single" w:sz="8" w:color="auto"/>
            </w:tcBorders>
            <w:vMerge w:val="continue"/>
            <w:shd w:val="clear" w:color="auto" w:fill="33CCCC"/>
          </w:tcPr>
          <w:p>
            <w:pPr>
              <w:spacing w:after="0"/>
              <w:rPr>
                <w:sz w:val="7"/>
                <w:szCs w:val="7"/>
                <w:color w:val="auto"/>
              </w:rPr>
            </w:pPr>
          </w:p>
        </w:tc>
        <w:tc>
          <w:tcPr>
            <w:tcW w:w="72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BCP Stand-alone</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116,637</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119,142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121,189</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2,047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4,552</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1.7%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3.9%</w:t>
            </w:r>
          </w:p>
        </w:tc>
        <w:tc>
          <w:tcPr>
            <w:tcW w:w="660" w:type="dxa"/>
            <w:vAlign w:val="bottom"/>
          </w:tcPr>
          <w:p>
            <w:pPr>
              <w:jc w:val="center"/>
              <w:ind w:left="140"/>
              <w:spacing w:after="0"/>
              <w:rPr>
                <w:sz w:val="20"/>
                <w:szCs w:val="20"/>
                <w:color w:val="auto"/>
              </w:rPr>
            </w:pPr>
            <w:r>
              <w:rPr>
                <w:rFonts w:ascii="Arial" w:cs="Arial" w:eastAsia="Arial" w:hAnsi="Arial"/>
                <w:sz w:val="12"/>
                <w:szCs w:val="12"/>
                <w:b w:val="1"/>
                <w:bCs w:val="1"/>
                <w:color w:val="auto"/>
                <w:w w:val="99"/>
              </w:rPr>
              <w:t>82.2%</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9"/>
              </w:rPr>
              <w:t>81.8%</w:t>
            </w:r>
          </w:p>
        </w:tc>
        <w:tc>
          <w:tcPr>
            <w:tcW w:w="72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9"/>
              </w:rPr>
              <w:t>82.6%</w:t>
            </w:r>
          </w:p>
        </w:tc>
        <w:tc>
          <w:tcPr>
            <w:tcW w:w="0" w:type="dxa"/>
            <w:vAlign w:val="bottom"/>
          </w:tcPr>
          <w:p>
            <w:pPr>
              <w:spacing w:after="0"/>
              <w:rPr>
                <w:sz w:val="1"/>
                <w:szCs w:val="1"/>
                <w:color w:val="auto"/>
              </w:rPr>
            </w:pPr>
          </w:p>
        </w:tc>
      </w:tr>
      <w:tr>
        <w:trPr>
          <w:trHeight w:val="157"/>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Wholesale Banking</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7"/>
              </w:rPr>
              <w:t>52,817</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7"/>
              </w:rPr>
              <w:t>54,096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54,645</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549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1,828</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1.0%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3.5%</w:t>
            </w:r>
          </w:p>
        </w:tc>
        <w:tc>
          <w:tcPr>
            <w:tcW w:w="660" w:type="dxa"/>
            <w:vAlign w:val="bottom"/>
          </w:tcPr>
          <w:p>
            <w:pPr>
              <w:jc w:val="center"/>
              <w:ind w:left="140"/>
              <w:spacing w:after="0"/>
              <w:rPr>
                <w:sz w:val="20"/>
                <w:szCs w:val="20"/>
                <w:color w:val="auto"/>
              </w:rPr>
            </w:pPr>
            <w:r>
              <w:rPr>
                <w:rFonts w:ascii="Arial" w:cs="Arial" w:eastAsia="Arial" w:hAnsi="Arial"/>
                <w:sz w:val="12"/>
                <w:szCs w:val="12"/>
                <w:b w:val="1"/>
                <w:bCs w:val="1"/>
                <w:color w:val="auto"/>
                <w:w w:val="99"/>
              </w:rPr>
              <w:t>37.2%</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9"/>
              </w:rPr>
              <w:t>37.1%</w:t>
            </w:r>
          </w:p>
        </w:tc>
        <w:tc>
          <w:tcPr>
            <w:tcW w:w="72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9"/>
              </w:rPr>
              <w:t>37.2%</w:t>
            </w: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Corporate</w:t>
            </w: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31,545</w:t>
            </w:r>
          </w:p>
        </w:tc>
        <w:tc>
          <w:tcPr>
            <w:tcW w:w="920" w:type="dxa"/>
            <w:vAlign w:val="bottom"/>
          </w:tcPr>
          <w:p>
            <w:pPr>
              <w:jc w:val="center"/>
              <w:spacing w:after="0"/>
              <w:rPr>
                <w:sz w:val="20"/>
                <w:szCs w:val="20"/>
                <w:color w:val="auto"/>
              </w:rPr>
            </w:pPr>
            <w:r>
              <w:rPr>
                <w:rFonts w:ascii="Arial" w:cs="Arial" w:eastAsia="Arial" w:hAnsi="Arial"/>
                <w:sz w:val="12"/>
                <w:szCs w:val="12"/>
                <w:color w:val="auto"/>
                <w:w w:val="97"/>
              </w:rPr>
              <w:t>32,206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32,544</w:t>
            </w:r>
          </w:p>
        </w:tc>
        <w:tc>
          <w:tcPr>
            <w:tcW w:w="84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338</w:t>
            </w:r>
          </w:p>
        </w:tc>
        <w:tc>
          <w:tcPr>
            <w:tcW w:w="90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color w:val="auto"/>
                <w:w w:val="99"/>
              </w:rPr>
              <w:t>999</w:t>
            </w:r>
          </w:p>
        </w:tc>
        <w:tc>
          <w:tcPr>
            <w:tcW w:w="900" w:type="dxa"/>
            <w:vAlign w:val="bottom"/>
          </w:tcPr>
          <w:p>
            <w:pPr>
              <w:jc w:val="center"/>
              <w:spacing w:after="0"/>
              <w:rPr>
                <w:sz w:val="20"/>
                <w:szCs w:val="20"/>
                <w:color w:val="auto"/>
              </w:rPr>
            </w:pPr>
            <w:r>
              <w:rPr>
                <w:rFonts w:ascii="Arial" w:cs="Arial" w:eastAsia="Arial" w:hAnsi="Arial"/>
                <w:sz w:val="12"/>
                <w:szCs w:val="12"/>
                <w:color w:val="auto"/>
              </w:rPr>
              <w:t>1.1%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3.2%</w:t>
            </w:r>
          </w:p>
        </w:tc>
        <w:tc>
          <w:tcPr>
            <w:tcW w:w="660" w:type="dxa"/>
            <w:vAlign w:val="bottom"/>
          </w:tcPr>
          <w:p>
            <w:pPr>
              <w:jc w:val="center"/>
              <w:ind w:left="140"/>
              <w:spacing w:after="0"/>
              <w:rPr>
                <w:sz w:val="20"/>
                <w:szCs w:val="20"/>
                <w:color w:val="auto"/>
              </w:rPr>
            </w:pPr>
            <w:r>
              <w:rPr>
                <w:rFonts w:ascii="Arial" w:cs="Arial" w:eastAsia="Arial" w:hAnsi="Arial"/>
                <w:sz w:val="12"/>
                <w:szCs w:val="12"/>
                <w:color w:val="auto"/>
                <w:w w:val="99"/>
              </w:rPr>
              <w:t>22.2%</w:t>
            </w:r>
          </w:p>
        </w:tc>
        <w:tc>
          <w:tcPr>
            <w:tcW w:w="1300" w:type="dxa"/>
            <w:vAlign w:val="bottom"/>
          </w:tcPr>
          <w:p>
            <w:pPr>
              <w:jc w:val="center"/>
              <w:spacing w:after="0"/>
              <w:rPr>
                <w:sz w:val="20"/>
                <w:szCs w:val="20"/>
                <w:color w:val="auto"/>
              </w:rPr>
            </w:pPr>
            <w:r>
              <w:rPr>
                <w:rFonts w:ascii="Arial" w:cs="Arial" w:eastAsia="Arial" w:hAnsi="Arial"/>
                <w:sz w:val="12"/>
                <w:szCs w:val="12"/>
                <w:color w:val="auto"/>
                <w:w w:val="99"/>
              </w:rPr>
              <w:t>22.1%</w:t>
            </w:r>
          </w:p>
        </w:tc>
        <w:tc>
          <w:tcPr>
            <w:tcW w:w="72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9"/>
              </w:rPr>
              <w:t>22.2%</w:t>
            </w: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Middle - Market</w:t>
            </w: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21,272</w:t>
            </w:r>
          </w:p>
        </w:tc>
        <w:tc>
          <w:tcPr>
            <w:tcW w:w="920" w:type="dxa"/>
            <w:vAlign w:val="bottom"/>
          </w:tcPr>
          <w:p>
            <w:pPr>
              <w:jc w:val="center"/>
              <w:spacing w:after="0"/>
              <w:rPr>
                <w:sz w:val="20"/>
                <w:szCs w:val="20"/>
                <w:color w:val="auto"/>
              </w:rPr>
            </w:pPr>
            <w:r>
              <w:rPr>
                <w:rFonts w:ascii="Arial" w:cs="Arial" w:eastAsia="Arial" w:hAnsi="Arial"/>
                <w:sz w:val="12"/>
                <w:szCs w:val="12"/>
                <w:color w:val="auto"/>
                <w:w w:val="97"/>
              </w:rPr>
              <w:t>21,891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22,101</w:t>
            </w:r>
          </w:p>
        </w:tc>
        <w:tc>
          <w:tcPr>
            <w:tcW w:w="84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211</w:t>
            </w:r>
          </w:p>
        </w:tc>
        <w:tc>
          <w:tcPr>
            <w:tcW w:w="90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color w:val="auto"/>
                <w:w w:val="99"/>
              </w:rPr>
              <w:t>829</w:t>
            </w:r>
          </w:p>
        </w:tc>
        <w:tc>
          <w:tcPr>
            <w:tcW w:w="900" w:type="dxa"/>
            <w:vAlign w:val="bottom"/>
          </w:tcPr>
          <w:p>
            <w:pPr>
              <w:jc w:val="center"/>
              <w:spacing w:after="0"/>
              <w:rPr>
                <w:sz w:val="20"/>
                <w:szCs w:val="20"/>
                <w:color w:val="auto"/>
              </w:rPr>
            </w:pPr>
            <w:r>
              <w:rPr>
                <w:rFonts w:ascii="Arial" w:cs="Arial" w:eastAsia="Arial" w:hAnsi="Arial"/>
                <w:sz w:val="12"/>
                <w:szCs w:val="12"/>
                <w:color w:val="auto"/>
              </w:rPr>
              <w:t>1.0%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3.9%</w:t>
            </w:r>
          </w:p>
        </w:tc>
        <w:tc>
          <w:tcPr>
            <w:tcW w:w="660" w:type="dxa"/>
            <w:vAlign w:val="bottom"/>
          </w:tcPr>
          <w:p>
            <w:pPr>
              <w:jc w:val="center"/>
              <w:ind w:left="140"/>
              <w:spacing w:after="0"/>
              <w:rPr>
                <w:sz w:val="20"/>
                <w:szCs w:val="20"/>
                <w:color w:val="auto"/>
              </w:rPr>
            </w:pPr>
            <w:r>
              <w:rPr>
                <w:rFonts w:ascii="Arial" w:cs="Arial" w:eastAsia="Arial" w:hAnsi="Arial"/>
                <w:sz w:val="12"/>
                <w:szCs w:val="12"/>
                <w:color w:val="auto"/>
                <w:w w:val="99"/>
              </w:rPr>
              <w:t>15.0%</w:t>
            </w:r>
          </w:p>
        </w:tc>
        <w:tc>
          <w:tcPr>
            <w:tcW w:w="1300" w:type="dxa"/>
            <w:vAlign w:val="bottom"/>
          </w:tcPr>
          <w:p>
            <w:pPr>
              <w:jc w:val="center"/>
              <w:spacing w:after="0"/>
              <w:rPr>
                <w:sz w:val="20"/>
                <w:szCs w:val="20"/>
                <w:color w:val="auto"/>
              </w:rPr>
            </w:pPr>
            <w:r>
              <w:rPr>
                <w:rFonts w:ascii="Arial" w:cs="Arial" w:eastAsia="Arial" w:hAnsi="Arial"/>
                <w:sz w:val="12"/>
                <w:szCs w:val="12"/>
                <w:color w:val="auto"/>
                <w:w w:val="99"/>
              </w:rPr>
              <w:t>15.0%</w:t>
            </w:r>
          </w:p>
        </w:tc>
        <w:tc>
          <w:tcPr>
            <w:tcW w:w="72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9"/>
              </w:rPr>
              <w:t>15.1%</w:t>
            </w: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Retail Banking</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7"/>
              </w:rPr>
              <w:t>63,819</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7"/>
              </w:rPr>
              <w:t>65,046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66,544</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1,498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2,724</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4.3%</w:t>
            </w:r>
          </w:p>
        </w:tc>
        <w:tc>
          <w:tcPr>
            <w:tcW w:w="660" w:type="dxa"/>
            <w:vAlign w:val="bottom"/>
          </w:tcPr>
          <w:p>
            <w:pPr>
              <w:jc w:val="center"/>
              <w:ind w:left="140"/>
              <w:spacing w:after="0"/>
              <w:rPr>
                <w:sz w:val="20"/>
                <w:szCs w:val="20"/>
                <w:color w:val="auto"/>
              </w:rPr>
            </w:pPr>
            <w:r>
              <w:rPr>
                <w:rFonts w:ascii="Arial" w:cs="Arial" w:eastAsia="Arial" w:hAnsi="Arial"/>
                <w:sz w:val="12"/>
                <w:szCs w:val="12"/>
                <w:b w:val="1"/>
                <w:bCs w:val="1"/>
                <w:color w:val="auto"/>
                <w:w w:val="99"/>
              </w:rPr>
              <w:t>45.0%</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9"/>
              </w:rPr>
              <w:t>44.7%</w:t>
            </w:r>
          </w:p>
        </w:tc>
        <w:tc>
          <w:tcPr>
            <w:tcW w:w="72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9"/>
              </w:rPr>
              <w:t>45.4%</w:t>
            </w:r>
          </w:p>
        </w:tc>
        <w:tc>
          <w:tcPr>
            <w:tcW w:w="0" w:type="dxa"/>
            <w:vAlign w:val="bottom"/>
          </w:tcPr>
          <w:p>
            <w:pPr>
              <w:spacing w:after="0"/>
              <w:rPr>
                <w:sz w:val="1"/>
                <w:szCs w:val="1"/>
                <w:color w:val="auto"/>
              </w:rPr>
            </w:pPr>
          </w:p>
        </w:tc>
      </w:tr>
      <w:tr>
        <w:trPr>
          <w:trHeight w:val="155"/>
        </w:trPr>
        <w:tc>
          <w:tcPr>
            <w:tcW w:w="16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SME - Business</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7,732</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7,521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7,751</w:t>
            </w:r>
          </w:p>
        </w:tc>
        <w:tc>
          <w:tcPr>
            <w:tcW w:w="84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230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19</w:t>
            </w:r>
          </w:p>
        </w:tc>
        <w:tc>
          <w:tcPr>
            <w:tcW w:w="900" w:type="dxa"/>
            <w:vAlign w:val="bottom"/>
          </w:tcPr>
          <w:p>
            <w:pPr>
              <w:jc w:val="center"/>
              <w:spacing w:after="0"/>
              <w:rPr>
                <w:sz w:val="20"/>
                <w:szCs w:val="20"/>
                <w:color w:val="auto"/>
              </w:rPr>
            </w:pPr>
            <w:r>
              <w:rPr>
                <w:rFonts w:ascii="Arial" w:cs="Arial" w:eastAsia="Arial" w:hAnsi="Arial"/>
                <w:sz w:val="12"/>
                <w:szCs w:val="12"/>
                <w:color w:val="auto"/>
              </w:rPr>
              <w:t>3.1%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0.2%</w:t>
            </w:r>
          </w:p>
        </w:tc>
        <w:tc>
          <w:tcPr>
            <w:tcW w:w="660" w:type="dxa"/>
            <w:vAlign w:val="bottom"/>
          </w:tcPr>
          <w:p>
            <w:pPr>
              <w:jc w:val="center"/>
              <w:ind w:left="120"/>
              <w:spacing w:after="0"/>
              <w:rPr>
                <w:sz w:val="20"/>
                <w:szCs w:val="20"/>
                <w:color w:val="auto"/>
              </w:rPr>
            </w:pPr>
            <w:r>
              <w:rPr>
                <w:rFonts w:ascii="Arial" w:cs="Arial" w:eastAsia="Arial" w:hAnsi="Arial"/>
                <w:sz w:val="12"/>
                <w:szCs w:val="12"/>
                <w:color w:val="auto"/>
              </w:rPr>
              <w:t>5.4%</w:t>
            </w:r>
          </w:p>
        </w:tc>
        <w:tc>
          <w:tcPr>
            <w:tcW w:w="1300" w:type="dxa"/>
            <w:vAlign w:val="bottom"/>
          </w:tcPr>
          <w:p>
            <w:pPr>
              <w:jc w:val="center"/>
              <w:spacing w:after="0"/>
              <w:rPr>
                <w:sz w:val="20"/>
                <w:szCs w:val="20"/>
                <w:color w:val="auto"/>
              </w:rPr>
            </w:pPr>
            <w:r>
              <w:rPr>
                <w:rFonts w:ascii="Arial" w:cs="Arial" w:eastAsia="Arial" w:hAnsi="Arial"/>
                <w:sz w:val="12"/>
                <w:szCs w:val="12"/>
                <w:color w:val="auto"/>
                <w:w w:val="94"/>
              </w:rPr>
              <w:t>5.2%</w:t>
            </w:r>
          </w:p>
        </w:tc>
        <w:tc>
          <w:tcPr>
            <w:tcW w:w="72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4"/>
              </w:rPr>
              <w:t>5.3%</w:t>
            </w:r>
          </w:p>
        </w:tc>
        <w:tc>
          <w:tcPr>
            <w:tcW w:w="0" w:type="dxa"/>
            <w:vAlign w:val="bottom"/>
          </w:tcPr>
          <w:p>
            <w:pPr>
              <w:spacing w:after="0"/>
              <w:rPr>
                <w:sz w:val="1"/>
                <w:szCs w:val="1"/>
                <w:color w:val="auto"/>
              </w:rPr>
            </w:pPr>
          </w:p>
        </w:tc>
      </w:tr>
      <w:tr>
        <w:trPr>
          <w:trHeight w:val="157"/>
        </w:trPr>
        <w:tc>
          <w:tcPr>
            <w:tcW w:w="16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SME - Pyme</w:t>
            </w: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16,176</w:t>
            </w:r>
          </w:p>
        </w:tc>
        <w:tc>
          <w:tcPr>
            <w:tcW w:w="920" w:type="dxa"/>
            <w:vAlign w:val="bottom"/>
          </w:tcPr>
          <w:p>
            <w:pPr>
              <w:jc w:val="center"/>
              <w:spacing w:after="0"/>
              <w:rPr>
                <w:sz w:val="20"/>
                <w:szCs w:val="20"/>
                <w:color w:val="auto"/>
              </w:rPr>
            </w:pPr>
            <w:r>
              <w:rPr>
                <w:rFonts w:ascii="Arial" w:cs="Arial" w:eastAsia="Arial" w:hAnsi="Arial"/>
                <w:sz w:val="12"/>
                <w:szCs w:val="12"/>
                <w:color w:val="auto"/>
                <w:w w:val="97"/>
              </w:rPr>
              <w:t>15,922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16,193</w:t>
            </w:r>
          </w:p>
        </w:tc>
        <w:tc>
          <w:tcPr>
            <w:tcW w:w="84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271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17</w:t>
            </w:r>
          </w:p>
        </w:tc>
        <w:tc>
          <w:tcPr>
            <w:tcW w:w="900" w:type="dxa"/>
            <w:vAlign w:val="bottom"/>
          </w:tcPr>
          <w:p>
            <w:pPr>
              <w:jc w:val="center"/>
              <w:spacing w:after="0"/>
              <w:rPr>
                <w:sz w:val="20"/>
                <w:szCs w:val="20"/>
                <w:color w:val="auto"/>
              </w:rPr>
            </w:pPr>
            <w:r>
              <w:rPr>
                <w:rFonts w:ascii="Arial" w:cs="Arial" w:eastAsia="Arial" w:hAnsi="Arial"/>
                <w:sz w:val="12"/>
                <w:szCs w:val="12"/>
                <w:color w:val="auto"/>
              </w:rPr>
              <w:t>1.7%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0.1%</w:t>
            </w:r>
          </w:p>
        </w:tc>
        <w:tc>
          <w:tcPr>
            <w:tcW w:w="660" w:type="dxa"/>
            <w:vAlign w:val="bottom"/>
          </w:tcPr>
          <w:p>
            <w:pPr>
              <w:jc w:val="center"/>
              <w:ind w:left="140"/>
              <w:spacing w:after="0"/>
              <w:rPr>
                <w:sz w:val="20"/>
                <w:szCs w:val="20"/>
                <w:color w:val="auto"/>
              </w:rPr>
            </w:pPr>
            <w:r>
              <w:rPr>
                <w:rFonts w:ascii="Arial" w:cs="Arial" w:eastAsia="Arial" w:hAnsi="Arial"/>
                <w:sz w:val="12"/>
                <w:szCs w:val="12"/>
                <w:color w:val="auto"/>
                <w:w w:val="99"/>
              </w:rPr>
              <w:t>11.4%</w:t>
            </w:r>
          </w:p>
        </w:tc>
        <w:tc>
          <w:tcPr>
            <w:tcW w:w="1300" w:type="dxa"/>
            <w:vAlign w:val="bottom"/>
          </w:tcPr>
          <w:p>
            <w:pPr>
              <w:jc w:val="center"/>
              <w:spacing w:after="0"/>
              <w:rPr>
                <w:sz w:val="20"/>
                <w:szCs w:val="20"/>
                <w:color w:val="auto"/>
              </w:rPr>
            </w:pPr>
            <w:r>
              <w:rPr>
                <w:rFonts w:ascii="Arial" w:cs="Arial" w:eastAsia="Arial" w:hAnsi="Arial"/>
                <w:sz w:val="12"/>
                <w:szCs w:val="12"/>
                <w:color w:val="auto"/>
                <w:w w:val="99"/>
              </w:rPr>
              <w:t>10.9%</w:t>
            </w:r>
          </w:p>
        </w:tc>
        <w:tc>
          <w:tcPr>
            <w:tcW w:w="72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9"/>
              </w:rPr>
              <w:t>11.0%</w:t>
            </w:r>
          </w:p>
        </w:tc>
        <w:tc>
          <w:tcPr>
            <w:tcW w:w="0" w:type="dxa"/>
            <w:vAlign w:val="bottom"/>
          </w:tcPr>
          <w:p>
            <w:pPr>
              <w:spacing w:after="0"/>
              <w:rPr>
                <w:sz w:val="1"/>
                <w:szCs w:val="1"/>
                <w:color w:val="auto"/>
              </w:rPr>
            </w:pPr>
          </w:p>
        </w:tc>
      </w:tr>
      <w:tr>
        <w:trPr>
          <w:trHeight w:val="155"/>
        </w:trPr>
        <w:tc>
          <w:tcPr>
            <w:tcW w:w="16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Mortgage</w:t>
            </w: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21,440</w:t>
            </w:r>
          </w:p>
        </w:tc>
        <w:tc>
          <w:tcPr>
            <w:tcW w:w="920" w:type="dxa"/>
            <w:vAlign w:val="bottom"/>
          </w:tcPr>
          <w:p>
            <w:pPr>
              <w:jc w:val="center"/>
              <w:spacing w:after="0"/>
              <w:rPr>
                <w:sz w:val="20"/>
                <w:szCs w:val="20"/>
                <w:color w:val="auto"/>
              </w:rPr>
            </w:pPr>
            <w:r>
              <w:rPr>
                <w:rFonts w:ascii="Arial" w:cs="Arial" w:eastAsia="Arial" w:hAnsi="Arial"/>
                <w:sz w:val="12"/>
                <w:szCs w:val="12"/>
                <w:color w:val="auto"/>
                <w:w w:val="97"/>
              </w:rPr>
              <w:t>22,439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22,986</w:t>
            </w:r>
          </w:p>
        </w:tc>
        <w:tc>
          <w:tcPr>
            <w:tcW w:w="84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547</w:t>
            </w:r>
          </w:p>
        </w:tc>
        <w:tc>
          <w:tcPr>
            <w:tcW w:w="90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color w:val="auto"/>
                <w:w w:val="99"/>
              </w:rPr>
              <w:t>1,546</w:t>
            </w:r>
          </w:p>
        </w:tc>
        <w:tc>
          <w:tcPr>
            <w:tcW w:w="900" w:type="dxa"/>
            <w:vAlign w:val="bottom"/>
          </w:tcPr>
          <w:p>
            <w:pPr>
              <w:jc w:val="center"/>
              <w:spacing w:after="0"/>
              <w:rPr>
                <w:sz w:val="20"/>
                <w:szCs w:val="20"/>
                <w:color w:val="auto"/>
              </w:rPr>
            </w:pPr>
            <w:r>
              <w:rPr>
                <w:rFonts w:ascii="Arial" w:cs="Arial" w:eastAsia="Arial" w:hAnsi="Arial"/>
                <w:sz w:val="12"/>
                <w:szCs w:val="12"/>
                <w:color w:val="auto"/>
              </w:rPr>
              <w:t>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7.2%</w:t>
            </w:r>
          </w:p>
        </w:tc>
        <w:tc>
          <w:tcPr>
            <w:tcW w:w="660" w:type="dxa"/>
            <w:vAlign w:val="bottom"/>
          </w:tcPr>
          <w:p>
            <w:pPr>
              <w:jc w:val="center"/>
              <w:ind w:left="140"/>
              <w:spacing w:after="0"/>
              <w:rPr>
                <w:sz w:val="20"/>
                <w:szCs w:val="20"/>
                <w:color w:val="auto"/>
              </w:rPr>
            </w:pPr>
            <w:r>
              <w:rPr>
                <w:rFonts w:ascii="Arial" w:cs="Arial" w:eastAsia="Arial" w:hAnsi="Arial"/>
                <w:sz w:val="12"/>
                <w:szCs w:val="12"/>
                <w:color w:val="auto"/>
                <w:w w:val="99"/>
              </w:rPr>
              <w:t>15.1%</w:t>
            </w:r>
          </w:p>
        </w:tc>
        <w:tc>
          <w:tcPr>
            <w:tcW w:w="1300" w:type="dxa"/>
            <w:vAlign w:val="bottom"/>
          </w:tcPr>
          <w:p>
            <w:pPr>
              <w:jc w:val="center"/>
              <w:spacing w:after="0"/>
              <w:rPr>
                <w:sz w:val="20"/>
                <w:szCs w:val="20"/>
                <w:color w:val="auto"/>
              </w:rPr>
            </w:pPr>
            <w:r>
              <w:rPr>
                <w:rFonts w:ascii="Arial" w:cs="Arial" w:eastAsia="Arial" w:hAnsi="Arial"/>
                <w:sz w:val="12"/>
                <w:szCs w:val="12"/>
                <w:color w:val="auto"/>
                <w:w w:val="99"/>
              </w:rPr>
              <w:t>15.4%</w:t>
            </w:r>
          </w:p>
        </w:tc>
        <w:tc>
          <w:tcPr>
            <w:tcW w:w="72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9"/>
              </w:rPr>
              <w:t>15.7%</w:t>
            </w:r>
          </w:p>
        </w:tc>
        <w:tc>
          <w:tcPr>
            <w:tcW w:w="0" w:type="dxa"/>
            <w:vAlign w:val="bottom"/>
          </w:tcPr>
          <w:p>
            <w:pPr>
              <w:spacing w:after="0"/>
              <w:rPr>
                <w:sz w:val="1"/>
                <w:szCs w:val="1"/>
                <w:color w:val="auto"/>
              </w:rPr>
            </w:pPr>
          </w:p>
        </w:tc>
      </w:tr>
      <w:tr>
        <w:trPr>
          <w:trHeight w:val="157"/>
        </w:trPr>
        <w:tc>
          <w:tcPr>
            <w:tcW w:w="16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Consumer</w:t>
            </w: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12,615</w:t>
            </w:r>
          </w:p>
        </w:tc>
        <w:tc>
          <w:tcPr>
            <w:tcW w:w="920" w:type="dxa"/>
            <w:vAlign w:val="bottom"/>
          </w:tcPr>
          <w:p>
            <w:pPr>
              <w:jc w:val="center"/>
              <w:spacing w:after="0"/>
              <w:rPr>
                <w:sz w:val="20"/>
                <w:szCs w:val="20"/>
                <w:color w:val="auto"/>
              </w:rPr>
            </w:pPr>
            <w:r>
              <w:rPr>
                <w:rFonts w:ascii="Arial" w:cs="Arial" w:eastAsia="Arial" w:hAnsi="Arial"/>
                <w:sz w:val="12"/>
                <w:szCs w:val="12"/>
                <w:color w:val="auto"/>
                <w:w w:val="97"/>
              </w:rPr>
              <w:t>13,207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13,511</w:t>
            </w:r>
          </w:p>
        </w:tc>
        <w:tc>
          <w:tcPr>
            <w:tcW w:w="840" w:type="dxa"/>
            <w:vAlign w:val="bottom"/>
            <w:shd w:val="clear" w:color="auto" w:fill="00B050"/>
          </w:tcPr>
          <w:p>
            <w:pPr>
              <w:jc w:val="center"/>
              <w:spacing w:after="0"/>
              <w:rPr>
                <w:sz w:val="20"/>
                <w:szCs w:val="20"/>
                <w:color w:val="auto"/>
              </w:rPr>
            </w:pPr>
            <w:r>
              <w:rPr>
                <w:rFonts w:ascii="Arial" w:cs="Arial" w:eastAsia="Arial" w:hAnsi="Arial"/>
                <w:sz w:val="12"/>
                <w:szCs w:val="12"/>
                <w:color w:val="auto"/>
                <w:w w:val="99"/>
              </w:rPr>
              <w:t>305</w:t>
            </w:r>
          </w:p>
        </w:tc>
        <w:tc>
          <w:tcPr>
            <w:tcW w:w="90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color w:val="auto"/>
                <w:w w:val="99"/>
              </w:rPr>
              <w:t>897</w:t>
            </w:r>
          </w:p>
        </w:tc>
        <w:tc>
          <w:tcPr>
            <w:tcW w:w="900" w:type="dxa"/>
            <w:vAlign w:val="bottom"/>
          </w:tcPr>
          <w:p>
            <w:pPr>
              <w:jc w:val="center"/>
              <w:spacing w:after="0"/>
              <w:rPr>
                <w:sz w:val="20"/>
                <w:szCs w:val="20"/>
                <w:color w:val="auto"/>
              </w:rPr>
            </w:pPr>
            <w:r>
              <w:rPr>
                <w:rFonts w:ascii="Arial" w:cs="Arial" w:eastAsia="Arial" w:hAnsi="Arial"/>
                <w:sz w:val="12"/>
                <w:szCs w:val="12"/>
                <w:color w:val="auto"/>
              </w:rPr>
              <w:t>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7.1%</w:t>
            </w:r>
          </w:p>
        </w:tc>
        <w:tc>
          <w:tcPr>
            <w:tcW w:w="660" w:type="dxa"/>
            <w:vAlign w:val="bottom"/>
          </w:tcPr>
          <w:p>
            <w:pPr>
              <w:jc w:val="center"/>
              <w:ind w:left="120"/>
              <w:spacing w:after="0"/>
              <w:rPr>
                <w:sz w:val="20"/>
                <w:szCs w:val="20"/>
                <w:color w:val="auto"/>
              </w:rPr>
            </w:pPr>
            <w:r>
              <w:rPr>
                <w:rFonts w:ascii="Arial" w:cs="Arial" w:eastAsia="Arial" w:hAnsi="Arial"/>
                <w:sz w:val="12"/>
                <w:szCs w:val="12"/>
                <w:color w:val="auto"/>
              </w:rPr>
              <w:t>8.9%</w:t>
            </w:r>
          </w:p>
        </w:tc>
        <w:tc>
          <w:tcPr>
            <w:tcW w:w="1300" w:type="dxa"/>
            <w:vAlign w:val="bottom"/>
          </w:tcPr>
          <w:p>
            <w:pPr>
              <w:jc w:val="center"/>
              <w:spacing w:after="0"/>
              <w:rPr>
                <w:sz w:val="20"/>
                <w:szCs w:val="20"/>
                <w:color w:val="auto"/>
              </w:rPr>
            </w:pPr>
            <w:r>
              <w:rPr>
                <w:rFonts w:ascii="Arial" w:cs="Arial" w:eastAsia="Arial" w:hAnsi="Arial"/>
                <w:sz w:val="12"/>
                <w:szCs w:val="12"/>
                <w:color w:val="auto"/>
                <w:w w:val="94"/>
              </w:rPr>
              <w:t>9.1%</w:t>
            </w:r>
          </w:p>
        </w:tc>
        <w:tc>
          <w:tcPr>
            <w:tcW w:w="72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4"/>
              </w:rPr>
              <w:t>9.2%</w:t>
            </w: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Credit Card</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5,856</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5,957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6,102</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145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246</w:t>
            </w:r>
          </w:p>
        </w:tc>
        <w:tc>
          <w:tcPr>
            <w:tcW w:w="900" w:type="dxa"/>
            <w:vAlign w:val="bottom"/>
          </w:tcPr>
          <w:p>
            <w:pPr>
              <w:jc w:val="center"/>
              <w:spacing w:after="0"/>
              <w:rPr>
                <w:sz w:val="20"/>
                <w:szCs w:val="20"/>
                <w:color w:val="auto"/>
              </w:rPr>
            </w:pPr>
            <w:r>
              <w:rPr>
                <w:rFonts w:ascii="Arial" w:cs="Arial" w:eastAsia="Arial" w:hAnsi="Arial"/>
                <w:sz w:val="12"/>
                <w:szCs w:val="12"/>
                <w:color w:val="auto"/>
              </w:rPr>
              <w:t>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4.2%</w:t>
            </w:r>
          </w:p>
        </w:tc>
        <w:tc>
          <w:tcPr>
            <w:tcW w:w="660" w:type="dxa"/>
            <w:vAlign w:val="bottom"/>
          </w:tcPr>
          <w:p>
            <w:pPr>
              <w:jc w:val="center"/>
              <w:ind w:left="120"/>
              <w:spacing w:after="0"/>
              <w:rPr>
                <w:sz w:val="20"/>
                <w:szCs w:val="20"/>
                <w:color w:val="auto"/>
              </w:rPr>
            </w:pPr>
            <w:r>
              <w:rPr>
                <w:rFonts w:ascii="Arial" w:cs="Arial" w:eastAsia="Arial" w:hAnsi="Arial"/>
                <w:sz w:val="12"/>
                <w:szCs w:val="12"/>
                <w:color w:val="auto"/>
              </w:rPr>
              <w:t>4.1%</w:t>
            </w:r>
          </w:p>
        </w:tc>
        <w:tc>
          <w:tcPr>
            <w:tcW w:w="1300" w:type="dxa"/>
            <w:vAlign w:val="bottom"/>
          </w:tcPr>
          <w:p>
            <w:pPr>
              <w:jc w:val="center"/>
              <w:spacing w:after="0"/>
              <w:rPr>
                <w:sz w:val="20"/>
                <w:szCs w:val="20"/>
                <w:color w:val="auto"/>
              </w:rPr>
            </w:pPr>
            <w:r>
              <w:rPr>
                <w:rFonts w:ascii="Arial" w:cs="Arial" w:eastAsia="Arial" w:hAnsi="Arial"/>
                <w:sz w:val="12"/>
                <w:szCs w:val="12"/>
                <w:color w:val="auto"/>
                <w:w w:val="94"/>
              </w:rPr>
              <w:t>4.1%</w:t>
            </w:r>
          </w:p>
        </w:tc>
        <w:tc>
          <w:tcPr>
            <w:tcW w:w="72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4"/>
              </w:rPr>
              <w:t>4.2%</w:t>
            </w: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Mibanco</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7"/>
              </w:rPr>
              <w:t>12,199</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7"/>
              </w:rPr>
              <w:t>12,514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12,734</w:t>
            </w:r>
          </w:p>
        </w:tc>
        <w:tc>
          <w:tcPr>
            <w:tcW w:w="840" w:type="dxa"/>
            <w:vAlign w:val="bottom"/>
            <w:shd w:val="clear" w:color="auto" w:fill="00B050"/>
          </w:tcPr>
          <w:p>
            <w:pPr>
              <w:jc w:val="center"/>
              <w:spacing w:after="0"/>
              <w:rPr>
                <w:sz w:val="20"/>
                <w:szCs w:val="20"/>
                <w:color w:val="auto"/>
              </w:rPr>
            </w:pPr>
            <w:r>
              <w:rPr>
                <w:rFonts w:ascii="Arial" w:cs="Arial" w:eastAsia="Arial" w:hAnsi="Arial"/>
                <w:sz w:val="12"/>
                <w:szCs w:val="12"/>
                <w:b w:val="1"/>
                <w:bCs w:val="1"/>
                <w:color w:val="auto"/>
                <w:w w:val="99"/>
              </w:rPr>
              <w:t>220</w:t>
            </w:r>
          </w:p>
        </w:tc>
        <w:tc>
          <w:tcPr>
            <w:tcW w:w="90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2"/>
                <w:szCs w:val="12"/>
                <w:b w:val="1"/>
                <w:bCs w:val="1"/>
                <w:color w:val="auto"/>
                <w:w w:val="99"/>
              </w:rPr>
              <w:t>534</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1.8%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4.4%</w:t>
            </w:r>
          </w:p>
        </w:tc>
        <w:tc>
          <w:tcPr>
            <w:tcW w:w="660" w:type="dxa"/>
            <w:vAlign w:val="bottom"/>
          </w:tcPr>
          <w:p>
            <w:pPr>
              <w:jc w:val="center"/>
              <w:ind w:left="120"/>
              <w:spacing w:after="0"/>
              <w:rPr>
                <w:sz w:val="20"/>
                <w:szCs w:val="20"/>
                <w:color w:val="auto"/>
              </w:rPr>
            </w:pPr>
            <w:r>
              <w:rPr>
                <w:rFonts w:ascii="Arial" w:cs="Arial" w:eastAsia="Arial" w:hAnsi="Arial"/>
                <w:sz w:val="12"/>
                <w:szCs w:val="12"/>
                <w:b w:val="1"/>
                <w:bCs w:val="1"/>
                <w:color w:val="auto"/>
              </w:rPr>
              <w:t>8.6%</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4"/>
              </w:rPr>
              <w:t>8.6%</w:t>
            </w:r>
          </w:p>
        </w:tc>
        <w:tc>
          <w:tcPr>
            <w:tcW w:w="72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4"/>
              </w:rPr>
              <w:t>8.7%</w:t>
            </w:r>
          </w:p>
        </w:tc>
        <w:tc>
          <w:tcPr>
            <w:tcW w:w="0" w:type="dxa"/>
            <w:vAlign w:val="bottom"/>
          </w:tcPr>
          <w:p>
            <w:pPr>
              <w:spacing w:after="0"/>
              <w:rPr>
                <w:sz w:val="1"/>
                <w:szCs w:val="1"/>
                <w:color w:val="auto"/>
              </w:rPr>
            </w:pPr>
          </w:p>
        </w:tc>
      </w:tr>
      <w:tr>
        <w:trPr>
          <w:trHeight w:val="155"/>
        </w:trPr>
        <w:tc>
          <w:tcPr>
            <w:tcW w:w="1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Mibanco Colombia</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9"/>
              </w:rPr>
              <w:t>1,721</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9"/>
              </w:rPr>
              <w:t>1,889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2,004</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115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283</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6.1%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16.5%</w:t>
            </w:r>
          </w:p>
        </w:tc>
        <w:tc>
          <w:tcPr>
            <w:tcW w:w="660" w:type="dxa"/>
            <w:vAlign w:val="bottom"/>
          </w:tcPr>
          <w:p>
            <w:pPr>
              <w:jc w:val="center"/>
              <w:ind w:left="120"/>
              <w:spacing w:after="0"/>
              <w:rPr>
                <w:sz w:val="20"/>
                <w:szCs w:val="20"/>
                <w:color w:val="auto"/>
              </w:rPr>
            </w:pPr>
            <w:r>
              <w:rPr>
                <w:rFonts w:ascii="Arial" w:cs="Arial" w:eastAsia="Arial" w:hAnsi="Arial"/>
                <w:sz w:val="12"/>
                <w:szCs w:val="12"/>
                <w:b w:val="1"/>
                <w:bCs w:val="1"/>
                <w:color w:val="auto"/>
              </w:rPr>
              <w:t>1.2%</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4"/>
              </w:rPr>
              <w:t>1.3%</w:t>
            </w:r>
          </w:p>
        </w:tc>
        <w:tc>
          <w:tcPr>
            <w:tcW w:w="72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4"/>
              </w:rPr>
              <w:t>1.4%</w:t>
            </w: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Bolivia</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9"/>
              </w:rPr>
              <w:t>9,555</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7"/>
              </w:rPr>
              <w:t>10,542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9,363</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-1,179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-192</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9"/>
              </w:rPr>
              <w:t>-11.2%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-2.0%</w:t>
            </w:r>
          </w:p>
        </w:tc>
        <w:tc>
          <w:tcPr>
            <w:tcW w:w="660" w:type="dxa"/>
            <w:vAlign w:val="bottom"/>
          </w:tcPr>
          <w:p>
            <w:pPr>
              <w:jc w:val="center"/>
              <w:ind w:left="120"/>
              <w:spacing w:after="0"/>
              <w:rPr>
                <w:sz w:val="20"/>
                <w:szCs w:val="20"/>
                <w:color w:val="auto"/>
              </w:rPr>
            </w:pPr>
            <w:r>
              <w:rPr>
                <w:rFonts w:ascii="Arial" w:cs="Arial" w:eastAsia="Arial" w:hAnsi="Arial"/>
                <w:sz w:val="12"/>
                <w:szCs w:val="12"/>
                <w:b w:val="1"/>
                <w:bCs w:val="1"/>
                <w:color w:val="auto"/>
              </w:rPr>
              <w:t>6.7%</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4"/>
              </w:rPr>
              <w:t>7.2%</w:t>
            </w:r>
          </w:p>
        </w:tc>
        <w:tc>
          <w:tcPr>
            <w:tcW w:w="72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4"/>
              </w:rPr>
              <w:t>6.4%</w:t>
            </w:r>
          </w:p>
        </w:tc>
        <w:tc>
          <w:tcPr>
            <w:tcW w:w="0" w:type="dxa"/>
            <w:vAlign w:val="bottom"/>
          </w:tcPr>
          <w:p>
            <w:pPr>
              <w:spacing w:after="0"/>
              <w:rPr>
                <w:sz w:val="1"/>
                <w:szCs w:val="1"/>
                <w:color w:val="auto"/>
              </w:rPr>
            </w:pPr>
          </w:p>
        </w:tc>
      </w:tr>
      <w:tr>
        <w:trPr>
          <w:trHeight w:val="157"/>
        </w:trPr>
        <w:tc>
          <w:tcPr>
            <w:tcW w:w="1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ASB Bank Corp.</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1,867</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1,560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1,431</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-129</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-436</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-8.3%</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-23.4%</w:t>
            </w:r>
          </w:p>
        </w:tc>
        <w:tc>
          <w:tcPr>
            <w:tcW w:w="660" w:type="dxa"/>
            <w:vAlign w:val="bottom"/>
            <w:tcBorders>
              <w:bottom w:val="single" w:sz="8" w:color="auto"/>
            </w:tcBorders>
          </w:tcPr>
          <w:p>
            <w:pPr>
              <w:jc w:val="center"/>
              <w:ind w:left="120"/>
              <w:spacing w:after="0"/>
              <w:rPr>
                <w:sz w:val="20"/>
                <w:szCs w:val="20"/>
                <w:color w:val="auto"/>
              </w:rPr>
            </w:pPr>
            <w:r>
              <w:rPr>
                <w:rFonts w:ascii="Arial" w:cs="Arial" w:eastAsia="Arial" w:hAnsi="Arial"/>
                <w:sz w:val="12"/>
                <w:szCs w:val="12"/>
                <w:b w:val="1"/>
                <w:bCs w:val="1"/>
                <w:color w:val="auto"/>
              </w:rPr>
              <w:t>1.3%</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1.1%</w:t>
            </w:r>
          </w:p>
        </w:tc>
        <w:tc>
          <w:tcPr>
            <w:tcW w:w="720" w:type="dxa"/>
            <w:vAlign w:val="bottom"/>
            <w:tcBorders>
              <w:bottom w:val="single" w:sz="8" w:color="auto"/>
              <w:right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4"/>
              </w:rPr>
              <w:t>1.0%</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BAP's total loans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141,978</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145,647</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146,720</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1,073</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4,742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0.7%</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3.3%</w:t>
            </w:r>
          </w:p>
        </w:tc>
        <w:tc>
          <w:tcPr>
            <w:tcW w:w="660" w:type="dxa"/>
            <w:vAlign w:val="bottom"/>
            <w:tcBorders>
              <w:bottom w:val="single" w:sz="8" w:color="auto"/>
            </w:tcBorders>
          </w:tcPr>
          <w:p>
            <w:pPr>
              <w:jc w:val="center"/>
              <w:ind w:left="120"/>
              <w:spacing w:after="0"/>
              <w:rPr>
                <w:sz w:val="20"/>
                <w:szCs w:val="20"/>
                <w:color w:val="auto"/>
              </w:rPr>
            </w:pPr>
            <w:r>
              <w:rPr>
                <w:rFonts w:ascii="Arial" w:cs="Arial" w:eastAsia="Arial" w:hAnsi="Arial"/>
                <w:sz w:val="12"/>
                <w:szCs w:val="12"/>
                <w:b w:val="1"/>
                <w:bCs w:val="1"/>
                <w:color w:val="auto"/>
                <w:w w:val="98"/>
              </w:rPr>
              <w:t>100.0%</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100.0%</w:t>
            </w:r>
          </w:p>
        </w:tc>
        <w:tc>
          <w:tcPr>
            <w:tcW w:w="720" w:type="dxa"/>
            <w:vAlign w:val="bottom"/>
            <w:tcBorders>
              <w:bottom w:val="single" w:sz="8" w:color="auto"/>
              <w:right w:val="single" w:sz="8" w:color="auto"/>
            </w:tcBorders>
          </w:tcPr>
          <w:p>
            <w:pPr>
              <w:jc w:val="center"/>
              <w:ind w:right="180"/>
              <w:spacing w:after="0"/>
              <w:rPr>
                <w:sz w:val="20"/>
                <w:szCs w:val="20"/>
                <w:color w:val="auto"/>
              </w:rPr>
            </w:pPr>
            <w:r>
              <w:rPr>
                <w:rFonts w:ascii="Arial" w:cs="Arial" w:eastAsia="Arial" w:hAnsi="Arial"/>
                <w:sz w:val="12"/>
                <w:szCs w:val="12"/>
                <w:b w:val="1"/>
                <w:bCs w:val="1"/>
                <w:color w:val="auto"/>
                <w:w w:val="98"/>
              </w:rPr>
              <w:t>100.0%</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For consolidation purposes, loans generated in FC are converted to LC.</w:t>
      </w:r>
    </w:p>
    <w:p>
      <w:pPr>
        <w:spacing w:after="0" w:line="15" w:lineRule="exact"/>
        <w:rPr>
          <w:sz w:val="20"/>
          <w:szCs w:val="20"/>
          <w:color w:val="auto"/>
        </w:rPr>
      </w:pPr>
    </w:p>
    <w:p>
      <w:pPr>
        <w:ind w:left="160" w:hanging="154"/>
        <w:spacing w:after="0"/>
        <w:tabs>
          <w:tab w:leader="none" w:pos="160" w:val="left"/>
        </w:tabs>
        <w:numPr>
          <w:ilvl w:val="0"/>
          <w:numId w:val="49"/>
        </w:numPr>
        <w:rPr>
          <w:rFonts w:ascii="Arial" w:cs="Arial" w:eastAsia="Arial" w:hAnsi="Arial"/>
          <w:sz w:val="11"/>
          <w:szCs w:val="11"/>
          <w:color w:val="auto"/>
        </w:rPr>
      </w:pPr>
      <w:r>
        <w:rPr>
          <w:rFonts w:ascii="Arial" w:cs="Arial" w:eastAsia="Arial" w:hAnsi="Arial"/>
          <w:sz w:val="11"/>
          <w:szCs w:val="11"/>
          <w:color w:val="auto"/>
        </w:rPr>
        <w:t>Includes Special accounts, and other banking.</w:t>
      </w:r>
    </w:p>
    <w:p>
      <w:pPr>
        <w:spacing w:after="0" w:line="5" w:lineRule="exact"/>
        <w:rPr>
          <w:rFonts w:ascii="Arial" w:cs="Arial" w:eastAsia="Arial" w:hAnsi="Arial"/>
          <w:sz w:val="11"/>
          <w:szCs w:val="11"/>
          <w:color w:val="auto"/>
        </w:rPr>
      </w:pPr>
    </w:p>
    <w:p>
      <w:pPr>
        <w:ind w:left="160" w:hanging="154"/>
        <w:spacing w:after="0"/>
        <w:tabs>
          <w:tab w:leader="none" w:pos="160" w:val="left"/>
        </w:tabs>
        <w:numPr>
          <w:ilvl w:val="0"/>
          <w:numId w:val="49"/>
        </w:numPr>
        <w:rPr>
          <w:rFonts w:ascii="Arial" w:cs="Arial" w:eastAsia="Arial" w:hAnsi="Arial"/>
          <w:sz w:val="11"/>
          <w:szCs w:val="11"/>
          <w:color w:val="auto"/>
        </w:rPr>
      </w:pPr>
      <w:r>
        <w:rPr>
          <w:rFonts w:ascii="Arial" w:cs="Arial" w:eastAsia="Arial" w:hAnsi="Arial"/>
          <w:sz w:val="11"/>
          <w:szCs w:val="11"/>
          <w:color w:val="auto"/>
        </w:rPr>
        <w:t>Portfolio Management Figures. Non-audited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-154940</wp:posOffset>
            </wp:positionV>
            <wp:extent cx="1250315" cy="2209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50315" cy="22098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12.2. Loan Portfolio Quality</w:t>
      </w:r>
    </w:p>
    <w:p>
      <w:pPr>
        <w:spacing w:after="0" w:line="176"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Portfolio Quality Ratios by Segment</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2609850</wp:posOffset>
            </wp:positionV>
            <wp:extent cx="670750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109855</wp:posOffset>
            </wp:positionV>
            <wp:extent cx="6021705" cy="24085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21705" cy="2408555"/>
                    </a:xfrm>
                    <a:prstGeom prst="rect">
                      <a:avLst/>
                    </a:prstGeom>
                    <a:noFill/>
                  </pic:spPr>
                </pic:pic>
              </a:graphicData>
            </a:graphic>
          </wp:anchor>
        </w:drawing>
      </w:r>
    </w:p>
    <w:p>
      <w:pPr>
        <w:sectPr>
          <w:pgSz w:w="11900" w:h="16840" w:orient="portrait"/>
          <w:cols w:equalWidth="0" w:num="1">
            <w:col w:w="10560"/>
          </w:cols>
          <w:pgMar w:left="660" w:top="931" w:right="680" w:bottom="1440" w:gutter="0" w:footer="0" w:header="0"/>
        </w:sectPr>
      </w:pPr>
    </w:p>
    <w:bookmarkStart w:id="51" w:name="page52"/>
    <w:bookmarkEnd w:id="51"/>
    <w:p>
      <w:pPr>
        <w:jc w:val="both"/>
        <w:ind w:left="2500"/>
        <w:spacing w:after="0"/>
        <w:tabs>
          <w:tab w:leader="none" w:pos="2740" w:val="left"/>
          <w:tab w:leader="none" w:pos="816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8686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07505" cy="86868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12. Appendix</w:t>
      </w: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120015</wp:posOffset>
            </wp:positionV>
            <wp:extent cx="5586730" cy="18903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86730" cy="189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2688590</wp:posOffset>
            </wp:positionV>
            <wp:extent cx="670750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120015</wp:posOffset>
            </wp:positionV>
            <wp:extent cx="6029325" cy="24771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29325" cy="2477135"/>
                    </a:xfrm>
                    <a:prstGeom prst="rect">
                      <a:avLst/>
                    </a:prstGeom>
                    <a:noFill/>
                  </pic:spPr>
                </pic:pic>
              </a:graphicData>
            </a:graphic>
          </wp:anchor>
        </w:drawing>
      </w:r>
    </w:p>
    <w:p>
      <w:pPr>
        <w:sectPr>
          <w:pgSz w:w="11900" w:h="16840" w:orient="portrait"/>
          <w:cols w:equalWidth="0" w:num="1">
            <w:col w:w="10460"/>
          </w:cols>
          <w:pgMar w:left="720" w:top="931" w:right="720" w:bottom="1440" w:gutter="0" w:footer="0" w:header="0"/>
        </w:sectPr>
      </w:pPr>
    </w:p>
    <w:bookmarkStart w:id="52" w:name="page53"/>
    <w:bookmarkEnd w:id="52"/>
    <w:p>
      <w:pPr>
        <w:jc w:val="both"/>
        <w:ind w:left="2500"/>
        <w:spacing w:after="0"/>
        <w:tabs>
          <w:tab w:leader="none" w:pos="2740" w:val="left"/>
          <w:tab w:leader="none" w:pos="816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8686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07505" cy="86868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12. Appendix</w:t>
      </w: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120015</wp:posOffset>
            </wp:positionV>
            <wp:extent cx="5586730" cy="1898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86730" cy="189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2642870</wp:posOffset>
            </wp:positionV>
            <wp:extent cx="670750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120015</wp:posOffset>
            </wp:positionV>
            <wp:extent cx="6021705" cy="2431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21705" cy="2431415"/>
                    </a:xfrm>
                    <a:prstGeom prst="rect">
                      <a:avLst/>
                    </a:prstGeom>
                    <a:noFill/>
                  </pic:spPr>
                </pic:pic>
              </a:graphicData>
            </a:graphic>
          </wp:anchor>
        </w:drawing>
      </w:r>
    </w:p>
    <w:p>
      <w:pPr>
        <w:sectPr>
          <w:pgSz w:w="11900" w:h="16840" w:orient="portrait"/>
          <w:cols w:equalWidth="0" w:num="1">
            <w:col w:w="10460"/>
          </w:cols>
          <w:pgMar w:left="720" w:top="931" w:right="720" w:bottom="1440" w:gutter="0" w:footer="0" w:header="0"/>
        </w:sectPr>
      </w:pPr>
    </w:p>
    <w:bookmarkStart w:id="53" w:name="page54"/>
    <w:bookmarkEnd w:id="53"/>
    <w:p>
      <w:pPr>
        <w:jc w:val="both"/>
        <w:ind w:left="2500"/>
        <w:spacing w:after="0"/>
        <w:tabs>
          <w:tab w:leader="none" w:pos="2740" w:val="left"/>
          <w:tab w:leader="none" w:pos="816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8686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07505" cy="86868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12. Appendix</w:t>
      </w:r>
    </w:p>
    <w:p>
      <w:pPr>
        <w:spacing w:after="0" w:line="238"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Credit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120015</wp:posOffset>
            </wp:positionV>
            <wp:extent cx="5441950" cy="18446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41950" cy="184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120015</wp:posOffset>
            </wp:positionV>
            <wp:extent cx="5586730" cy="18903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86730" cy="189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2559050</wp:posOffset>
            </wp:positionV>
            <wp:extent cx="670750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120015</wp:posOffset>
            </wp:positionV>
            <wp:extent cx="6006465" cy="2347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06465" cy="2347595"/>
                    </a:xfrm>
                    <a:prstGeom prst="rect">
                      <a:avLst/>
                    </a:prstGeom>
                    <a:noFill/>
                  </pic:spPr>
                </pic:pic>
              </a:graphicData>
            </a:graphic>
          </wp:anchor>
        </w:drawing>
      </w:r>
    </w:p>
    <w:p>
      <w:pPr>
        <w:sectPr>
          <w:pgSz w:w="11900" w:h="16840" w:orient="portrait"/>
          <w:cols w:equalWidth="0" w:num="1">
            <w:col w:w="10460"/>
          </w:cols>
          <w:pgMar w:left="720" w:top="931" w:right="720" w:bottom="1440" w:gutter="0" w:footer="0" w:header="0"/>
        </w:sectPr>
      </w:pPr>
    </w:p>
    <w:bookmarkStart w:id="54" w:name="page55"/>
    <w:bookmarkEnd w:id="54"/>
    <w:p>
      <w:pPr>
        <w:jc w:val="both"/>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8686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07505" cy="86868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12.3. Net Interest Income (NII)</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NII Summary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42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Net interest income</w:t>
            </w:r>
          </w:p>
        </w:tc>
        <w:tc>
          <w:tcPr>
            <w:tcW w:w="740" w:type="dxa"/>
            <w:vAlign w:val="bottom"/>
            <w:tcBorders>
              <w:top w:val="single" w:sz="8" w:color="auto"/>
            </w:tcBorders>
            <w:shd w:val="clear" w:color="auto" w:fill="33CCCC"/>
          </w:tcPr>
          <w:p>
            <w:pPr>
              <w:spacing w:after="0"/>
              <w:rPr>
                <w:sz w:val="12"/>
                <w:szCs w:val="12"/>
                <w:color w:val="auto"/>
              </w:rPr>
            </w:pPr>
          </w:p>
        </w:tc>
        <w:tc>
          <w:tcPr>
            <w:tcW w:w="780" w:type="dxa"/>
            <w:vAlign w:val="bottom"/>
            <w:tcBorders>
              <w:top w:val="single" w:sz="8" w:color="auto"/>
            </w:tcBorders>
            <w:shd w:val="clear" w:color="auto" w:fill="33CCCC"/>
          </w:tcPr>
          <w:p>
            <w:pPr>
              <w:ind w:left="200"/>
              <w:spacing w:after="0"/>
              <w:rPr>
                <w:sz w:val="20"/>
                <w:szCs w:val="20"/>
                <w:color w:val="auto"/>
              </w:rPr>
            </w:pPr>
            <w:r>
              <w:rPr>
                <w:rFonts w:ascii="Arial" w:cs="Arial" w:eastAsia="Arial" w:hAnsi="Arial"/>
                <w:sz w:val="11"/>
                <w:szCs w:val="11"/>
                <w:b w:val="1"/>
                <w:bCs w:val="1"/>
                <w:color w:val="FFFFFF"/>
              </w:rPr>
              <w:t>Quarter</w:t>
            </w:r>
          </w:p>
        </w:tc>
        <w:tc>
          <w:tcPr>
            <w:tcW w:w="780" w:type="dxa"/>
            <w:vAlign w:val="bottom"/>
            <w:tcBorders>
              <w:top w:val="single" w:sz="8" w:color="auto"/>
              <w:right w:val="single" w:sz="8" w:color="auto"/>
            </w:tcBorders>
            <w:shd w:val="clear" w:color="auto" w:fill="33CCCC"/>
          </w:tcPr>
          <w:p>
            <w:pPr>
              <w:spacing w:after="0"/>
              <w:rPr>
                <w:sz w:val="12"/>
                <w:szCs w:val="12"/>
                <w:color w:val="auto"/>
              </w:rPr>
            </w:pPr>
          </w:p>
        </w:tc>
        <w:tc>
          <w:tcPr>
            <w:tcW w:w="1580" w:type="dxa"/>
            <w:vAlign w:val="bottom"/>
            <w:tcBorders>
              <w:top w:val="single" w:sz="8" w:color="auto"/>
              <w:right w:val="single" w:sz="8" w:color="auto"/>
            </w:tcBorders>
            <w:gridSpan w:val="2"/>
            <w:shd w:val="clear" w:color="auto" w:fill="33CCCC"/>
          </w:tcPr>
          <w:p>
            <w:pPr>
              <w:ind w:left="520"/>
              <w:spacing w:after="0"/>
              <w:rPr>
                <w:sz w:val="20"/>
                <w:szCs w:val="20"/>
                <w:color w:val="auto"/>
              </w:rPr>
            </w:pPr>
            <w:r>
              <w:rPr>
                <w:rFonts w:ascii="Arial" w:cs="Arial" w:eastAsia="Arial" w:hAnsi="Arial"/>
                <w:sz w:val="11"/>
                <w:szCs w:val="11"/>
                <w:b w:val="1"/>
                <w:bCs w:val="1"/>
                <w:color w:val="FFFFFF"/>
              </w:rPr>
              <w:t>% change</w:t>
            </w:r>
          </w:p>
        </w:tc>
        <w:tc>
          <w:tcPr>
            <w:tcW w:w="1540" w:type="dxa"/>
            <w:vAlign w:val="bottom"/>
            <w:tcBorders>
              <w:top w:val="single" w:sz="8" w:color="auto"/>
              <w:right w:val="single" w:sz="8" w:color="auto"/>
            </w:tcBorders>
            <w:gridSpan w:val="2"/>
            <w:shd w:val="clear" w:color="auto" w:fill="33CCCC"/>
          </w:tcPr>
          <w:p>
            <w:pPr>
              <w:ind w:left="620"/>
              <w:spacing w:after="0"/>
              <w:rPr>
                <w:sz w:val="20"/>
                <w:szCs w:val="20"/>
                <w:color w:val="auto"/>
              </w:rPr>
            </w:pPr>
            <w:r>
              <w:rPr>
                <w:rFonts w:ascii="Arial" w:cs="Arial" w:eastAsia="Arial" w:hAnsi="Arial"/>
                <w:sz w:val="11"/>
                <w:szCs w:val="11"/>
                <w:b w:val="1"/>
                <w:bCs w:val="1"/>
                <w:color w:val="FFFFFF"/>
              </w:rPr>
              <w:t>Up to</w:t>
            </w:r>
          </w:p>
        </w:tc>
        <w:tc>
          <w:tcPr>
            <w:tcW w:w="8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 Change</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S/000</w:t>
            </w:r>
          </w:p>
        </w:tc>
        <w:tc>
          <w:tcPr>
            <w:tcW w:w="7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3Q24</w:t>
            </w:r>
          </w:p>
        </w:tc>
        <w:tc>
          <w:tcPr>
            <w:tcW w:w="7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2Q25</w:t>
            </w:r>
          </w:p>
        </w:tc>
        <w:tc>
          <w:tcPr>
            <w:tcW w:w="7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3Q25</w:t>
            </w:r>
          </w:p>
        </w:tc>
        <w:tc>
          <w:tcPr>
            <w:tcW w:w="760" w:type="dxa"/>
            <w:vAlign w:val="bottom"/>
            <w:tcBorders>
              <w:bottom w:val="single" w:sz="8" w:color="auto"/>
            </w:tcBorders>
            <w:shd w:val="clear" w:color="auto" w:fill="33CCCC"/>
          </w:tcPr>
          <w:p>
            <w:pPr>
              <w:jc w:val="center"/>
              <w:ind w:left="6"/>
              <w:spacing w:after="0"/>
              <w:rPr>
                <w:sz w:val="20"/>
                <w:szCs w:val="20"/>
                <w:color w:val="auto"/>
              </w:rPr>
            </w:pPr>
            <w:r>
              <w:rPr>
                <w:rFonts w:ascii="Arial" w:cs="Arial" w:eastAsia="Arial" w:hAnsi="Arial"/>
                <w:sz w:val="11"/>
                <w:szCs w:val="11"/>
                <w:b w:val="1"/>
                <w:bCs w:val="1"/>
                <w:color w:val="FFFFFF"/>
                <w:w w:val="92"/>
              </w:rPr>
              <w:t>QoQ</w:t>
            </w:r>
          </w:p>
        </w:tc>
        <w:tc>
          <w:tcPr>
            <w:tcW w:w="8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YoY</w:t>
            </w:r>
          </w:p>
        </w:tc>
        <w:tc>
          <w:tcPr>
            <w:tcW w:w="780" w:type="dxa"/>
            <w:vAlign w:val="bottom"/>
            <w:tcBorders>
              <w:bottom w:val="single" w:sz="8" w:color="auto"/>
            </w:tcBorders>
            <w:shd w:val="clear" w:color="auto" w:fill="33CCCC"/>
          </w:tcPr>
          <w:p>
            <w:pPr>
              <w:ind w:left="220"/>
              <w:spacing w:after="0"/>
              <w:rPr>
                <w:sz w:val="20"/>
                <w:szCs w:val="20"/>
                <w:color w:val="auto"/>
              </w:rPr>
            </w:pPr>
            <w:r>
              <w:rPr>
                <w:rFonts w:ascii="Arial" w:cs="Arial" w:eastAsia="Arial" w:hAnsi="Arial"/>
                <w:sz w:val="11"/>
                <w:szCs w:val="11"/>
                <w:b w:val="1"/>
                <w:bCs w:val="1"/>
                <w:color w:val="FFFFFF"/>
              </w:rPr>
              <w:t>Sep 24</w:t>
            </w:r>
          </w:p>
        </w:tc>
        <w:tc>
          <w:tcPr>
            <w:tcW w:w="760" w:type="dxa"/>
            <w:vAlign w:val="bottom"/>
            <w:tcBorders>
              <w:bottom w:val="single" w:sz="8" w:color="auto"/>
              <w:right w:val="single" w:sz="8" w:color="auto"/>
            </w:tcBorders>
            <w:shd w:val="clear" w:color="auto" w:fill="33CCCC"/>
          </w:tcPr>
          <w:p>
            <w:pPr>
              <w:ind w:left="200"/>
              <w:spacing w:after="0"/>
              <w:rPr>
                <w:sz w:val="20"/>
                <w:szCs w:val="20"/>
                <w:color w:val="auto"/>
              </w:rPr>
            </w:pPr>
            <w:r>
              <w:rPr>
                <w:rFonts w:ascii="Arial" w:cs="Arial" w:eastAsia="Arial" w:hAnsi="Arial"/>
                <w:sz w:val="11"/>
                <w:szCs w:val="11"/>
                <w:b w:val="1"/>
                <w:bCs w:val="1"/>
                <w:color w:val="FFFFFF"/>
              </w:rPr>
              <w:t>Sep 25</w:t>
            </w:r>
          </w:p>
        </w:tc>
        <w:tc>
          <w:tcPr>
            <w:tcW w:w="8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Sep 25 / Sep 24</w:t>
            </w:r>
          </w:p>
        </w:tc>
        <w:tc>
          <w:tcPr>
            <w:tcW w:w="0" w:type="dxa"/>
            <w:vAlign w:val="bottom"/>
          </w:tcPr>
          <w:p>
            <w:pPr>
              <w:spacing w:after="0"/>
              <w:rPr>
                <w:sz w:val="1"/>
                <w:szCs w:val="1"/>
                <w:color w:val="auto"/>
              </w:rPr>
            </w:pPr>
          </w:p>
        </w:tc>
      </w:tr>
      <w:tr>
        <w:trPr>
          <w:trHeight w:val="124"/>
        </w:trPr>
        <w:tc>
          <w:tcPr>
            <w:tcW w:w="42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Interest income</w:t>
            </w:r>
          </w:p>
        </w:tc>
        <w:tc>
          <w:tcPr>
            <w:tcW w:w="740" w:type="dxa"/>
            <w:vAlign w:val="bottom"/>
          </w:tcPr>
          <w:p>
            <w:pPr>
              <w:jc w:val="center"/>
              <w:ind w:right="6"/>
              <w:spacing w:after="0" w:line="124" w:lineRule="exact"/>
              <w:rPr>
                <w:sz w:val="20"/>
                <w:szCs w:val="20"/>
                <w:color w:val="auto"/>
              </w:rPr>
            </w:pPr>
            <w:r>
              <w:rPr>
                <w:rFonts w:ascii="Arial" w:cs="Arial" w:eastAsia="Arial" w:hAnsi="Arial"/>
                <w:sz w:val="11"/>
                <w:szCs w:val="11"/>
                <w:b w:val="1"/>
                <w:bCs w:val="1"/>
                <w:color w:val="auto"/>
                <w:w w:val="97"/>
              </w:rPr>
              <w:t>4,995,971</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7"/>
              </w:rPr>
              <w:t>4,922,292</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4,987,693</w:t>
            </w: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5"/>
              </w:rPr>
              <w:t>1.3%</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-0.2%</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14,857,135</w:t>
            </w:r>
          </w:p>
        </w:tc>
        <w:tc>
          <w:tcPr>
            <w:tcW w:w="7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14,804,775</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-0.4%</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Interest on loans</w:t>
            </w:r>
          </w:p>
        </w:tc>
        <w:tc>
          <w:tcPr>
            <w:tcW w:w="740" w:type="dxa"/>
            <w:vAlign w:val="bottom"/>
          </w:tcPr>
          <w:p>
            <w:pPr>
              <w:jc w:val="center"/>
              <w:ind w:right="6"/>
              <w:spacing w:after="0"/>
              <w:rPr>
                <w:sz w:val="20"/>
                <w:szCs w:val="20"/>
                <w:color w:val="auto"/>
              </w:rPr>
            </w:pPr>
            <w:r>
              <w:rPr>
                <w:rFonts w:ascii="Arial" w:cs="Arial" w:eastAsia="Arial" w:hAnsi="Arial"/>
                <w:sz w:val="11"/>
                <w:szCs w:val="11"/>
                <w:color w:val="auto"/>
                <w:w w:val="97"/>
              </w:rPr>
              <w:t>3,924,222</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3,840,725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3,960,980</w:t>
            </w:r>
          </w:p>
        </w:tc>
        <w:tc>
          <w:tcPr>
            <w:tcW w:w="760" w:type="dxa"/>
            <w:vAlign w:val="bottom"/>
          </w:tcPr>
          <w:p>
            <w:pPr>
              <w:jc w:val="center"/>
              <w:spacing w:after="0"/>
              <w:rPr>
                <w:sz w:val="20"/>
                <w:szCs w:val="20"/>
                <w:color w:val="auto"/>
              </w:rPr>
            </w:pPr>
            <w:r>
              <w:rPr>
                <w:rFonts w:ascii="Arial" w:cs="Arial" w:eastAsia="Arial" w:hAnsi="Arial"/>
                <w:sz w:val="11"/>
                <w:szCs w:val="11"/>
                <w:color w:val="auto"/>
                <w:w w:val="95"/>
              </w:rPr>
              <w:t>3.1%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0.9%</w:t>
            </w:r>
          </w:p>
        </w:tc>
        <w:tc>
          <w:tcPr>
            <w:tcW w:w="780" w:type="dxa"/>
            <w:vAlign w:val="bottom"/>
          </w:tcPr>
          <w:p>
            <w:pPr>
              <w:jc w:val="center"/>
              <w:spacing w:after="0"/>
              <w:rPr>
                <w:sz w:val="20"/>
                <w:szCs w:val="20"/>
                <w:color w:val="auto"/>
              </w:rPr>
            </w:pPr>
            <w:r>
              <w:rPr>
                <w:rFonts w:ascii="Arial" w:cs="Arial" w:eastAsia="Arial" w:hAnsi="Arial"/>
                <w:sz w:val="11"/>
                <w:szCs w:val="11"/>
                <w:color w:val="auto"/>
                <w:w w:val="98"/>
              </w:rPr>
              <w:t>11,714,388</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11,649,345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-0.6%</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Dividends on investments</w:t>
            </w:r>
          </w:p>
        </w:tc>
        <w:tc>
          <w:tcPr>
            <w:tcW w:w="740" w:type="dxa"/>
            <w:vAlign w:val="bottom"/>
          </w:tcPr>
          <w:p>
            <w:pPr>
              <w:jc w:val="center"/>
              <w:ind w:right="6"/>
              <w:spacing w:after="0"/>
              <w:rPr>
                <w:sz w:val="20"/>
                <w:szCs w:val="20"/>
                <w:color w:val="auto"/>
              </w:rPr>
            </w:pPr>
            <w:r>
              <w:rPr>
                <w:rFonts w:ascii="Arial" w:cs="Arial" w:eastAsia="Arial" w:hAnsi="Arial"/>
                <w:sz w:val="11"/>
                <w:szCs w:val="11"/>
                <w:color w:val="auto"/>
                <w:w w:val="94"/>
              </w:rPr>
              <w:t>13,187</w:t>
            </w:r>
          </w:p>
        </w:tc>
        <w:tc>
          <w:tcPr>
            <w:tcW w:w="780" w:type="dxa"/>
            <w:vAlign w:val="bottom"/>
          </w:tcPr>
          <w:p>
            <w:pPr>
              <w:jc w:val="center"/>
              <w:spacing w:after="0"/>
              <w:rPr>
                <w:sz w:val="20"/>
                <w:szCs w:val="20"/>
                <w:color w:val="auto"/>
              </w:rPr>
            </w:pPr>
            <w:r>
              <w:rPr>
                <w:rFonts w:ascii="Arial" w:cs="Arial" w:eastAsia="Arial" w:hAnsi="Arial"/>
                <w:sz w:val="11"/>
                <w:szCs w:val="11"/>
                <w:color w:val="auto"/>
                <w:w w:val="94"/>
              </w:rPr>
              <w:t>22,923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19,179</w:t>
            </w:r>
          </w:p>
        </w:tc>
        <w:tc>
          <w:tcPr>
            <w:tcW w:w="760" w:type="dxa"/>
            <w:vAlign w:val="bottom"/>
          </w:tcPr>
          <w:p>
            <w:pPr>
              <w:jc w:val="center"/>
              <w:ind w:left="6"/>
              <w:spacing w:after="0"/>
              <w:rPr>
                <w:sz w:val="20"/>
                <w:szCs w:val="20"/>
                <w:color w:val="auto"/>
              </w:rPr>
            </w:pPr>
            <w:r>
              <w:rPr>
                <w:rFonts w:ascii="Arial" w:cs="Arial" w:eastAsia="Arial" w:hAnsi="Arial"/>
                <w:sz w:val="11"/>
                <w:szCs w:val="11"/>
                <w:color w:val="auto"/>
                <w:w w:val="97"/>
              </w:rPr>
              <w:t>-16.3%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45.4%</w:t>
            </w:r>
          </w:p>
        </w:tc>
        <w:tc>
          <w:tcPr>
            <w:tcW w:w="780" w:type="dxa"/>
            <w:vAlign w:val="bottom"/>
          </w:tcPr>
          <w:p>
            <w:pPr>
              <w:jc w:val="center"/>
              <w:spacing w:after="0"/>
              <w:rPr>
                <w:sz w:val="20"/>
                <w:szCs w:val="20"/>
                <w:color w:val="auto"/>
              </w:rPr>
            </w:pPr>
            <w:r>
              <w:rPr>
                <w:rFonts w:ascii="Arial" w:cs="Arial" w:eastAsia="Arial" w:hAnsi="Arial"/>
                <w:sz w:val="11"/>
                <w:szCs w:val="11"/>
                <w:color w:val="auto"/>
              </w:rPr>
              <w:t>34,184</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67,211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96.6%</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Interest on deposits with banks</w:t>
            </w:r>
          </w:p>
        </w:tc>
        <w:tc>
          <w:tcPr>
            <w:tcW w:w="740" w:type="dxa"/>
            <w:vAlign w:val="bottom"/>
          </w:tcPr>
          <w:p>
            <w:pPr>
              <w:jc w:val="center"/>
              <w:ind w:right="6"/>
              <w:spacing w:after="0"/>
              <w:rPr>
                <w:sz w:val="20"/>
                <w:szCs w:val="20"/>
                <w:color w:val="auto"/>
              </w:rPr>
            </w:pPr>
            <w:r>
              <w:rPr>
                <w:rFonts w:ascii="Arial" w:cs="Arial" w:eastAsia="Arial" w:hAnsi="Arial"/>
                <w:sz w:val="11"/>
                <w:szCs w:val="11"/>
                <w:color w:val="auto"/>
              </w:rPr>
              <w:t>365,361</w:t>
            </w:r>
          </w:p>
        </w:tc>
        <w:tc>
          <w:tcPr>
            <w:tcW w:w="780" w:type="dxa"/>
            <w:vAlign w:val="bottom"/>
          </w:tcPr>
          <w:p>
            <w:pPr>
              <w:jc w:val="center"/>
              <w:spacing w:after="0"/>
              <w:rPr>
                <w:sz w:val="20"/>
                <w:szCs w:val="20"/>
                <w:color w:val="auto"/>
              </w:rPr>
            </w:pPr>
            <w:r>
              <w:rPr>
                <w:rFonts w:ascii="Arial" w:cs="Arial" w:eastAsia="Arial" w:hAnsi="Arial"/>
                <w:sz w:val="11"/>
                <w:szCs w:val="11"/>
                <w:color w:val="auto"/>
              </w:rPr>
              <w:t>342,323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316,420</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-7.6%</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-13.4%</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1,019,649</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1,003,365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-1.6%</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Interest on securities</w:t>
            </w:r>
          </w:p>
        </w:tc>
        <w:tc>
          <w:tcPr>
            <w:tcW w:w="740" w:type="dxa"/>
            <w:vAlign w:val="bottom"/>
          </w:tcPr>
          <w:p>
            <w:pPr>
              <w:jc w:val="center"/>
              <w:ind w:right="6"/>
              <w:spacing w:after="0"/>
              <w:rPr>
                <w:sz w:val="20"/>
                <w:szCs w:val="20"/>
                <w:color w:val="auto"/>
              </w:rPr>
            </w:pPr>
            <w:r>
              <w:rPr>
                <w:rFonts w:ascii="Arial" w:cs="Arial" w:eastAsia="Arial" w:hAnsi="Arial"/>
                <w:sz w:val="11"/>
                <w:szCs w:val="11"/>
                <w:color w:val="auto"/>
              </w:rPr>
              <w:t>667,195</w:t>
            </w:r>
          </w:p>
        </w:tc>
        <w:tc>
          <w:tcPr>
            <w:tcW w:w="780" w:type="dxa"/>
            <w:vAlign w:val="bottom"/>
          </w:tcPr>
          <w:p>
            <w:pPr>
              <w:jc w:val="center"/>
              <w:spacing w:after="0"/>
              <w:rPr>
                <w:sz w:val="20"/>
                <w:szCs w:val="20"/>
                <w:color w:val="auto"/>
              </w:rPr>
            </w:pPr>
            <w:r>
              <w:rPr>
                <w:rFonts w:ascii="Arial" w:cs="Arial" w:eastAsia="Arial" w:hAnsi="Arial"/>
                <w:sz w:val="11"/>
                <w:szCs w:val="11"/>
                <w:color w:val="auto"/>
              </w:rPr>
              <w:t>647,186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623,216</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-6.6%</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2,008,167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1,928,274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-4.0%</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Other interest income</w:t>
            </w:r>
          </w:p>
        </w:tc>
        <w:tc>
          <w:tcPr>
            <w:tcW w:w="740" w:type="dxa"/>
            <w:vAlign w:val="bottom"/>
          </w:tcPr>
          <w:p>
            <w:pPr>
              <w:jc w:val="center"/>
              <w:ind w:right="6"/>
              <w:spacing w:after="0"/>
              <w:rPr>
                <w:sz w:val="20"/>
                <w:szCs w:val="20"/>
                <w:color w:val="auto"/>
              </w:rPr>
            </w:pPr>
            <w:r>
              <w:rPr>
                <w:rFonts w:ascii="Arial" w:cs="Arial" w:eastAsia="Arial" w:hAnsi="Arial"/>
                <w:sz w:val="11"/>
                <w:szCs w:val="11"/>
                <w:color w:val="auto"/>
                <w:w w:val="94"/>
              </w:rPr>
              <w:t>26,006</w:t>
            </w:r>
          </w:p>
        </w:tc>
        <w:tc>
          <w:tcPr>
            <w:tcW w:w="780" w:type="dxa"/>
            <w:vAlign w:val="bottom"/>
          </w:tcPr>
          <w:p>
            <w:pPr>
              <w:jc w:val="center"/>
              <w:spacing w:after="0"/>
              <w:rPr>
                <w:sz w:val="20"/>
                <w:szCs w:val="20"/>
                <w:color w:val="auto"/>
              </w:rPr>
            </w:pPr>
            <w:r>
              <w:rPr>
                <w:rFonts w:ascii="Arial" w:cs="Arial" w:eastAsia="Arial" w:hAnsi="Arial"/>
                <w:sz w:val="11"/>
                <w:szCs w:val="11"/>
                <w:color w:val="auto"/>
                <w:w w:val="94"/>
              </w:rPr>
              <w:t>69,135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67,898</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-1.8%</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161.1%</w:t>
            </w:r>
          </w:p>
        </w:tc>
        <w:tc>
          <w:tcPr>
            <w:tcW w:w="780" w:type="dxa"/>
            <w:vAlign w:val="bottom"/>
          </w:tcPr>
          <w:p>
            <w:pPr>
              <w:jc w:val="center"/>
              <w:spacing w:after="0"/>
              <w:rPr>
                <w:sz w:val="20"/>
                <w:szCs w:val="20"/>
                <w:color w:val="auto"/>
              </w:rPr>
            </w:pPr>
            <w:r>
              <w:rPr>
                <w:rFonts w:ascii="Arial" w:cs="Arial" w:eastAsia="Arial" w:hAnsi="Arial"/>
                <w:sz w:val="11"/>
                <w:szCs w:val="11"/>
                <w:color w:val="auto"/>
              </w:rPr>
              <w:t>80,747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156,580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93.9%</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Interest expense</w:t>
            </w:r>
          </w:p>
        </w:tc>
        <w:tc>
          <w:tcPr>
            <w:tcW w:w="740" w:type="dxa"/>
            <w:vAlign w:val="bottom"/>
          </w:tcPr>
          <w:p>
            <w:pPr>
              <w:jc w:val="center"/>
              <w:ind w:right="6"/>
              <w:spacing w:after="0"/>
              <w:rPr>
                <w:sz w:val="20"/>
                <w:szCs w:val="20"/>
                <w:color w:val="auto"/>
              </w:rPr>
            </w:pPr>
            <w:r>
              <w:rPr>
                <w:rFonts w:ascii="Arial" w:cs="Arial" w:eastAsia="Arial" w:hAnsi="Arial"/>
                <w:sz w:val="11"/>
                <w:szCs w:val="11"/>
                <w:b w:val="1"/>
                <w:bCs w:val="1"/>
                <w:color w:val="auto"/>
                <w:w w:val="97"/>
              </w:rPr>
              <w:t>1,405,221</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1,306,921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1,299,864</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7"/>
              </w:rPr>
              <w:t>-0.5%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-7.5%</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4,371,798</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3,929,563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-10.1%</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Interest expense (excluding Net Insurance Financial Expenses)</w:t>
            </w:r>
          </w:p>
        </w:tc>
        <w:tc>
          <w:tcPr>
            <w:tcW w:w="740" w:type="dxa"/>
            <w:vAlign w:val="bottom"/>
          </w:tcPr>
          <w:p>
            <w:pPr>
              <w:jc w:val="center"/>
              <w:ind w:right="6"/>
              <w:spacing w:after="0"/>
              <w:rPr>
                <w:sz w:val="20"/>
                <w:szCs w:val="20"/>
                <w:color w:val="auto"/>
              </w:rPr>
            </w:pPr>
            <w:r>
              <w:rPr>
                <w:rFonts w:ascii="Arial" w:cs="Arial" w:eastAsia="Arial" w:hAnsi="Arial"/>
                <w:sz w:val="11"/>
                <w:szCs w:val="11"/>
                <w:b w:val="1"/>
                <w:bCs w:val="1"/>
                <w:color w:val="auto"/>
                <w:w w:val="97"/>
              </w:rPr>
              <w:t>1,276,643</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1,167,866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1,158,421</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7"/>
              </w:rPr>
              <w:t>-0.8%</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-9.3%</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3,996,530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3,513,443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-12.1%</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Interest on deposits</w:t>
            </w:r>
          </w:p>
        </w:tc>
        <w:tc>
          <w:tcPr>
            <w:tcW w:w="740" w:type="dxa"/>
            <w:vAlign w:val="bottom"/>
          </w:tcPr>
          <w:p>
            <w:pPr>
              <w:jc w:val="center"/>
              <w:ind w:right="6"/>
              <w:spacing w:after="0"/>
              <w:rPr>
                <w:sz w:val="20"/>
                <w:szCs w:val="20"/>
                <w:color w:val="auto"/>
              </w:rPr>
            </w:pPr>
            <w:r>
              <w:rPr>
                <w:rFonts w:ascii="Arial" w:cs="Arial" w:eastAsia="Arial" w:hAnsi="Arial"/>
                <w:sz w:val="11"/>
                <w:szCs w:val="11"/>
                <w:color w:val="auto"/>
              </w:rPr>
              <w:t>677,509</w:t>
            </w:r>
          </w:p>
        </w:tc>
        <w:tc>
          <w:tcPr>
            <w:tcW w:w="780" w:type="dxa"/>
            <w:vAlign w:val="bottom"/>
          </w:tcPr>
          <w:p>
            <w:pPr>
              <w:jc w:val="center"/>
              <w:spacing w:after="0"/>
              <w:rPr>
                <w:sz w:val="20"/>
                <w:szCs w:val="20"/>
                <w:color w:val="auto"/>
              </w:rPr>
            </w:pPr>
            <w:r>
              <w:rPr>
                <w:rFonts w:ascii="Arial" w:cs="Arial" w:eastAsia="Arial" w:hAnsi="Arial"/>
                <w:sz w:val="11"/>
                <w:szCs w:val="11"/>
                <w:color w:val="auto"/>
              </w:rPr>
              <w:t>541,014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565,344</w:t>
            </w:r>
          </w:p>
        </w:tc>
        <w:tc>
          <w:tcPr>
            <w:tcW w:w="760" w:type="dxa"/>
            <w:vAlign w:val="bottom"/>
          </w:tcPr>
          <w:p>
            <w:pPr>
              <w:jc w:val="center"/>
              <w:spacing w:after="0"/>
              <w:rPr>
                <w:sz w:val="20"/>
                <w:szCs w:val="20"/>
                <w:color w:val="auto"/>
              </w:rPr>
            </w:pPr>
            <w:r>
              <w:rPr>
                <w:rFonts w:ascii="Arial" w:cs="Arial" w:eastAsia="Arial" w:hAnsi="Arial"/>
                <w:sz w:val="11"/>
                <w:szCs w:val="11"/>
                <w:color w:val="auto"/>
                <w:w w:val="95"/>
              </w:rPr>
              <w:t>4.5%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-16.6%</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2,195,045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1,725,971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-21.4%</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Interest on borrowed funds</w:t>
            </w:r>
          </w:p>
        </w:tc>
        <w:tc>
          <w:tcPr>
            <w:tcW w:w="740" w:type="dxa"/>
            <w:vAlign w:val="bottom"/>
          </w:tcPr>
          <w:p>
            <w:pPr>
              <w:jc w:val="center"/>
              <w:ind w:right="6"/>
              <w:spacing w:after="0"/>
              <w:rPr>
                <w:sz w:val="20"/>
                <w:szCs w:val="20"/>
                <w:color w:val="auto"/>
              </w:rPr>
            </w:pPr>
            <w:r>
              <w:rPr>
                <w:rFonts w:ascii="Arial" w:cs="Arial" w:eastAsia="Arial" w:hAnsi="Arial"/>
                <w:sz w:val="11"/>
                <w:szCs w:val="11"/>
                <w:color w:val="auto"/>
              </w:rPr>
              <w:t>262,319</w:t>
            </w:r>
          </w:p>
        </w:tc>
        <w:tc>
          <w:tcPr>
            <w:tcW w:w="780" w:type="dxa"/>
            <w:vAlign w:val="bottom"/>
          </w:tcPr>
          <w:p>
            <w:pPr>
              <w:jc w:val="center"/>
              <w:spacing w:after="0"/>
              <w:rPr>
                <w:sz w:val="20"/>
                <w:szCs w:val="20"/>
                <w:color w:val="auto"/>
              </w:rPr>
            </w:pPr>
            <w:r>
              <w:rPr>
                <w:rFonts w:ascii="Arial" w:cs="Arial" w:eastAsia="Arial" w:hAnsi="Arial"/>
                <w:sz w:val="11"/>
                <w:szCs w:val="11"/>
                <w:color w:val="auto"/>
              </w:rPr>
              <w:t>265,710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252,490</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-5.0%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-3.7%</w:t>
            </w:r>
          </w:p>
        </w:tc>
        <w:tc>
          <w:tcPr>
            <w:tcW w:w="780" w:type="dxa"/>
            <w:vAlign w:val="bottom"/>
          </w:tcPr>
          <w:p>
            <w:pPr>
              <w:jc w:val="center"/>
              <w:spacing w:after="0"/>
              <w:rPr>
                <w:sz w:val="20"/>
                <w:szCs w:val="20"/>
                <w:color w:val="auto"/>
              </w:rPr>
            </w:pPr>
            <w:r>
              <w:rPr>
                <w:rFonts w:ascii="Arial" w:cs="Arial" w:eastAsia="Arial" w:hAnsi="Arial"/>
                <w:sz w:val="11"/>
                <w:szCs w:val="11"/>
                <w:color w:val="auto"/>
                <w:w w:val="95"/>
              </w:rPr>
              <w:t>794,488</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784,402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-1.3%</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Interest on bonds and subordinated notes</w:t>
            </w:r>
          </w:p>
        </w:tc>
        <w:tc>
          <w:tcPr>
            <w:tcW w:w="740" w:type="dxa"/>
            <w:vAlign w:val="bottom"/>
          </w:tcPr>
          <w:p>
            <w:pPr>
              <w:jc w:val="center"/>
              <w:ind w:right="6"/>
              <w:spacing w:after="0"/>
              <w:rPr>
                <w:sz w:val="20"/>
                <w:szCs w:val="20"/>
                <w:color w:val="auto"/>
              </w:rPr>
            </w:pPr>
            <w:r>
              <w:rPr>
                <w:rFonts w:ascii="Arial" w:cs="Arial" w:eastAsia="Arial" w:hAnsi="Arial"/>
                <w:sz w:val="11"/>
                <w:szCs w:val="11"/>
                <w:color w:val="auto"/>
              </w:rPr>
              <w:t>200,801</w:t>
            </w:r>
          </w:p>
        </w:tc>
        <w:tc>
          <w:tcPr>
            <w:tcW w:w="780" w:type="dxa"/>
            <w:vAlign w:val="bottom"/>
          </w:tcPr>
          <w:p>
            <w:pPr>
              <w:jc w:val="center"/>
              <w:spacing w:after="0"/>
              <w:rPr>
                <w:sz w:val="20"/>
                <w:szCs w:val="20"/>
                <w:color w:val="auto"/>
              </w:rPr>
            </w:pPr>
            <w:r>
              <w:rPr>
                <w:rFonts w:ascii="Arial" w:cs="Arial" w:eastAsia="Arial" w:hAnsi="Arial"/>
                <w:sz w:val="11"/>
                <w:szCs w:val="11"/>
                <w:color w:val="auto"/>
              </w:rPr>
              <w:t>193,125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164,653</w:t>
            </w:r>
          </w:p>
        </w:tc>
        <w:tc>
          <w:tcPr>
            <w:tcW w:w="760" w:type="dxa"/>
            <w:vAlign w:val="bottom"/>
          </w:tcPr>
          <w:p>
            <w:pPr>
              <w:jc w:val="center"/>
              <w:ind w:left="6"/>
              <w:spacing w:after="0"/>
              <w:rPr>
                <w:sz w:val="20"/>
                <w:szCs w:val="20"/>
                <w:color w:val="auto"/>
              </w:rPr>
            </w:pPr>
            <w:r>
              <w:rPr>
                <w:rFonts w:ascii="Arial" w:cs="Arial" w:eastAsia="Arial" w:hAnsi="Arial"/>
                <w:sz w:val="11"/>
                <w:szCs w:val="11"/>
                <w:color w:val="auto"/>
                <w:w w:val="97"/>
              </w:rPr>
              <w:t>-14.7%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-18.0%</w:t>
            </w:r>
          </w:p>
        </w:tc>
        <w:tc>
          <w:tcPr>
            <w:tcW w:w="780" w:type="dxa"/>
            <w:vAlign w:val="bottom"/>
          </w:tcPr>
          <w:p>
            <w:pPr>
              <w:jc w:val="center"/>
              <w:spacing w:after="0"/>
              <w:rPr>
                <w:sz w:val="20"/>
                <w:szCs w:val="20"/>
                <w:color w:val="auto"/>
              </w:rPr>
            </w:pPr>
            <w:r>
              <w:rPr>
                <w:rFonts w:ascii="Arial" w:cs="Arial" w:eastAsia="Arial" w:hAnsi="Arial"/>
                <w:sz w:val="11"/>
                <w:szCs w:val="11"/>
                <w:color w:val="auto"/>
                <w:w w:val="95"/>
              </w:rPr>
              <w:t>598,170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525,802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-12.1%</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Other interest expense</w:t>
            </w:r>
          </w:p>
        </w:tc>
        <w:tc>
          <w:tcPr>
            <w:tcW w:w="740" w:type="dxa"/>
            <w:vAlign w:val="bottom"/>
          </w:tcPr>
          <w:p>
            <w:pPr>
              <w:jc w:val="center"/>
              <w:ind w:right="6"/>
              <w:spacing w:after="0"/>
              <w:rPr>
                <w:sz w:val="20"/>
                <w:szCs w:val="20"/>
                <w:color w:val="auto"/>
              </w:rPr>
            </w:pPr>
            <w:r>
              <w:rPr>
                <w:rFonts w:ascii="Arial" w:cs="Arial" w:eastAsia="Arial" w:hAnsi="Arial"/>
                <w:sz w:val="11"/>
                <w:szCs w:val="11"/>
                <w:color w:val="auto"/>
              </w:rPr>
              <w:t>136,014</w:t>
            </w:r>
          </w:p>
        </w:tc>
        <w:tc>
          <w:tcPr>
            <w:tcW w:w="780" w:type="dxa"/>
            <w:vAlign w:val="bottom"/>
          </w:tcPr>
          <w:p>
            <w:pPr>
              <w:jc w:val="center"/>
              <w:spacing w:after="0"/>
              <w:rPr>
                <w:sz w:val="20"/>
                <w:szCs w:val="20"/>
                <w:color w:val="auto"/>
              </w:rPr>
            </w:pPr>
            <w:r>
              <w:rPr>
                <w:rFonts w:ascii="Arial" w:cs="Arial" w:eastAsia="Arial" w:hAnsi="Arial"/>
                <w:sz w:val="11"/>
                <w:szCs w:val="11"/>
                <w:color w:val="auto"/>
              </w:rPr>
              <w:t>168,017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175,934</w:t>
            </w:r>
          </w:p>
        </w:tc>
        <w:tc>
          <w:tcPr>
            <w:tcW w:w="760" w:type="dxa"/>
            <w:vAlign w:val="bottom"/>
          </w:tcPr>
          <w:p>
            <w:pPr>
              <w:jc w:val="center"/>
              <w:spacing w:after="0"/>
              <w:rPr>
                <w:sz w:val="20"/>
                <w:szCs w:val="20"/>
                <w:color w:val="auto"/>
              </w:rPr>
            </w:pPr>
            <w:r>
              <w:rPr>
                <w:rFonts w:ascii="Arial" w:cs="Arial" w:eastAsia="Arial" w:hAnsi="Arial"/>
                <w:sz w:val="11"/>
                <w:szCs w:val="11"/>
                <w:color w:val="auto"/>
                <w:w w:val="95"/>
              </w:rPr>
              <w:t>4.7%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29.3%</w:t>
            </w:r>
          </w:p>
        </w:tc>
        <w:tc>
          <w:tcPr>
            <w:tcW w:w="780" w:type="dxa"/>
            <w:vAlign w:val="bottom"/>
          </w:tcPr>
          <w:p>
            <w:pPr>
              <w:jc w:val="center"/>
              <w:spacing w:after="0"/>
              <w:rPr>
                <w:sz w:val="20"/>
                <w:szCs w:val="20"/>
                <w:color w:val="auto"/>
              </w:rPr>
            </w:pPr>
            <w:r>
              <w:rPr>
                <w:rFonts w:ascii="Arial" w:cs="Arial" w:eastAsia="Arial" w:hAnsi="Arial"/>
                <w:sz w:val="11"/>
                <w:szCs w:val="11"/>
                <w:color w:val="auto"/>
                <w:w w:val="95"/>
              </w:rPr>
              <w:t>408,827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477,268</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16.7%</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Net Insurance Financial Expenses</w:t>
            </w:r>
          </w:p>
        </w:tc>
        <w:tc>
          <w:tcPr>
            <w:tcW w:w="74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rPr>
              <w:t>128,578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139,055</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141,443</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1.7%</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10.0%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375,268</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416,120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10.9%</w:t>
            </w:r>
          </w:p>
        </w:tc>
        <w:tc>
          <w:tcPr>
            <w:tcW w:w="0" w:type="dxa"/>
            <w:vAlign w:val="bottom"/>
          </w:tcPr>
          <w:p>
            <w:pPr>
              <w:spacing w:after="0"/>
              <w:rPr>
                <w:sz w:val="1"/>
                <w:szCs w:val="1"/>
                <w:color w:val="auto"/>
              </w:rPr>
            </w:pPr>
          </w:p>
        </w:tc>
      </w:tr>
      <w:tr>
        <w:trPr>
          <w:trHeight w:val="124"/>
        </w:trPr>
        <w:tc>
          <w:tcPr>
            <w:tcW w:w="422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Net interest, similar income and expenses</w:t>
            </w:r>
          </w:p>
        </w:tc>
        <w:tc>
          <w:tcPr>
            <w:tcW w:w="740" w:type="dxa"/>
            <w:vAlign w:val="bottom"/>
            <w:tcBorders>
              <w:bottom w:val="single" w:sz="8" w:color="auto"/>
            </w:tcBorders>
          </w:tcPr>
          <w:p>
            <w:pPr>
              <w:jc w:val="center"/>
              <w:ind w:right="6"/>
              <w:spacing w:after="0" w:line="124" w:lineRule="exact"/>
              <w:rPr>
                <w:sz w:val="20"/>
                <w:szCs w:val="20"/>
                <w:color w:val="auto"/>
              </w:rPr>
            </w:pPr>
            <w:r>
              <w:rPr>
                <w:rFonts w:ascii="Arial" w:cs="Arial" w:eastAsia="Arial" w:hAnsi="Arial"/>
                <w:sz w:val="11"/>
                <w:szCs w:val="11"/>
                <w:b w:val="1"/>
                <w:bCs w:val="1"/>
                <w:color w:val="auto"/>
                <w:w w:val="97"/>
              </w:rPr>
              <w:t>3,590,750</w:t>
            </w:r>
          </w:p>
        </w:tc>
        <w:tc>
          <w:tcPr>
            <w:tcW w:w="7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3,615,371</w:t>
            </w:r>
          </w:p>
        </w:tc>
        <w:tc>
          <w:tcPr>
            <w:tcW w:w="7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3,687,829</w:t>
            </w:r>
          </w:p>
        </w:tc>
        <w:tc>
          <w:tcPr>
            <w:tcW w:w="7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5"/>
              </w:rPr>
              <w:t>2.0%</w:t>
            </w:r>
          </w:p>
        </w:tc>
        <w:tc>
          <w:tcPr>
            <w:tcW w:w="82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5"/>
              </w:rPr>
              <w:t>2.7%</w:t>
            </w:r>
          </w:p>
        </w:tc>
        <w:tc>
          <w:tcPr>
            <w:tcW w:w="7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10,485,337</w:t>
            </w:r>
          </w:p>
        </w:tc>
        <w:tc>
          <w:tcPr>
            <w:tcW w:w="76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10,875,212</w:t>
            </w:r>
          </w:p>
        </w:tc>
        <w:tc>
          <w:tcPr>
            <w:tcW w:w="82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5"/>
              </w:rPr>
              <w:t>3.7%</w:t>
            </w:r>
          </w:p>
        </w:tc>
        <w:tc>
          <w:tcPr>
            <w:tcW w:w="0" w:type="dxa"/>
            <w:vAlign w:val="bottom"/>
          </w:tcPr>
          <w:p>
            <w:pPr>
              <w:spacing w:after="0"/>
              <w:rPr>
                <w:sz w:val="1"/>
                <w:szCs w:val="1"/>
                <w:color w:val="auto"/>
              </w:rPr>
            </w:pPr>
          </w:p>
        </w:tc>
      </w:tr>
      <w:tr>
        <w:trPr>
          <w:trHeight w:val="124"/>
        </w:trPr>
        <w:tc>
          <w:tcPr>
            <w:tcW w:w="422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Provision for credit losses on loan portfolio, net of recoveries</w:t>
            </w:r>
          </w:p>
        </w:tc>
        <w:tc>
          <w:tcPr>
            <w:tcW w:w="740" w:type="dxa"/>
            <w:vAlign w:val="bottom"/>
            <w:tcBorders>
              <w:bottom w:val="single" w:sz="8" w:color="auto"/>
            </w:tcBorders>
          </w:tcPr>
          <w:p>
            <w:pPr>
              <w:jc w:val="center"/>
              <w:ind w:right="6"/>
              <w:spacing w:after="0" w:line="124" w:lineRule="exact"/>
              <w:rPr>
                <w:sz w:val="20"/>
                <w:szCs w:val="20"/>
                <w:color w:val="auto"/>
              </w:rPr>
            </w:pPr>
            <w:r>
              <w:rPr>
                <w:rFonts w:ascii="Arial" w:cs="Arial" w:eastAsia="Arial" w:hAnsi="Arial"/>
                <w:sz w:val="11"/>
                <w:szCs w:val="11"/>
                <w:b w:val="1"/>
                <w:bCs w:val="1"/>
                <w:color w:val="auto"/>
              </w:rPr>
              <w:t>868,081</w:t>
            </w:r>
          </w:p>
        </w:tc>
        <w:tc>
          <w:tcPr>
            <w:tcW w:w="7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575,159</w:t>
            </w:r>
          </w:p>
        </w:tc>
        <w:tc>
          <w:tcPr>
            <w:tcW w:w="7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5"/>
              </w:rPr>
              <w:t>602,918</w:t>
            </w:r>
          </w:p>
        </w:tc>
        <w:tc>
          <w:tcPr>
            <w:tcW w:w="7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5"/>
              </w:rPr>
              <w:t>4.8%</w:t>
            </w:r>
          </w:p>
        </w:tc>
        <w:tc>
          <w:tcPr>
            <w:tcW w:w="82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-30.5%</w:t>
            </w:r>
          </w:p>
        </w:tc>
        <w:tc>
          <w:tcPr>
            <w:tcW w:w="7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2,776,151</w:t>
            </w:r>
          </w:p>
        </w:tc>
        <w:tc>
          <w:tcPr>
            <w:tcW w:w="76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1,759,970</w:t>
            </w:r>
          </w:p>
        </w:tc>
        <w:tc>
          <w:tcPr>
            <w:tcW w:w="82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-36.6%</w:t>
            </w:r>
          </w:p>
        </w:tc>
        <w:tc>
          <w:tcPr>
            <w:tcW w:w="0" w:type="dxa"/>
            <w:vAlign w:val="bottom"/>
          </w:tcPr>
          <w:p>
            <w:pPr>
              <w:spacing w:after="0"/>
              <w:rPr>
                <w:sz w:val="1"/>
                <w:szCs w:val="1"/>
                <w:color w:val="auto"/>
              </w:rPr>
            </w:pPr>
          </w:p>
        </w:tc>
      </w:tr>
      <w:tr>
        <w:trPr>
          <w:trHeight w:val="124"/>
        </w:trPr>
        <w:tc>
          <w:tcPr>
            <w:tcW w:w="42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Net interest, similar income and expenses, after provision for credit losses on</w:t>
            </w:r>
          </w:p>
        </w:tc>
        <w:tc>
          <w:tcPr>
            <w:tcW w:w="74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97"/>
              </w:rPr>
              <w:t>2,722,669</w:t>
            </w: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3,040,212</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7"/>
              </w:rPr>
              <w:t>3,084,911</w:t>
            </w: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1.5%</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6"/>
              </w:rPr>
              <w:t>13.3%</w:t>
            </w: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7,709,186</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7"/>
              </w:rPr>
              <w:t>9,115,242</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76"/>
        </w:trPr>
        <w:tc>
          <w:tcPr>
            <w:tcW w:w="42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loan portfolio</w:t>
            </w: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422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422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Average interest earning assets</w:t>
            </w:r>
          </w:p>
        </w:tc>
        <w:tc>
          <w:tcPr>
            <w:tcW w:w="740" w:type="dxa"/>
            <w:vAlign w:val="bottom"/>
            <w:tcBorders>
              <w:bottom w:val="single" w:sz="8" w:color="auto"/>
            </w:tcBorders>
          </w:tcPr>
          <w:p>
            <w:pPr>
              <w:jc w:val="center"/>
              <w:ind w:right="6"/>
              <w:spacing w:after="0" w:line="124" w:lineRule="exact"/>
              <w:rPr>
                <w:sz w:val="20"/>
                <w:szCs w:val="20"/>
                <w:color w:val="auto"/>
              </w:rPr>
            </w:pPr>
            <w:r>
              <w:rPr>
                <w:rFonts w:ascii="Arial" w:cs="Arial" w:eastAsia="Arial" w:hAnsi="Arial"/>
                <w:sz w:val="11"/>
                <w:szCs w:val="11"/>
                <w:color w:val="auto"/>
                <w:w w:val="98"/>
              </w:rPr>
              <w:t>231,316,507</w:t>
            </w:r>
          </w:p>
        </w:tc>
        <w:tc>
          <w:tcPr>
            <w:tcW w:w="7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w w:val="98"/>
              </w:rPr>
              <w:t>233,761,957</w:t>
            </w:r>
          </w:p>
        </w:tc>
        <w:tc>
          <w:tcPr>
            <w:tcW w:w="7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8"/>
              </w:rPr>
              <w:t>233,285,291</w:t>
            </w:r>
          </w:p>
        </w:tc>
        <w:tc>
          <w:tcPr>
            <w:tcW w:w="7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-0.2%</w:t>
            </w:r>
          </w:p>
        </w:tc>
        <w:tc>
          <w:tcPr>
            <w:tcW w:w="82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0.9%</w:t>
            </w:r>
          </w:p>
        </w:tc>
        <w:tc>
          <w:tcPr>
            <w:tcW w:w="7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w w:val="98"/>
              </w:rPr>
              <w:t>229,452,866</w:t>
            </w:r>
          </w:p>
        </w:tc>
        <w:tc>
          <w:tcPr>
            <w:tcW w:w="76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8"/>
              </w:rPr>
              <w:t>237,958,451</w:t>
            </w:r>
          </w:p>
        </w:tc>
        <w:tc>
          <w:tcPr>
            <w:tcW w:w="82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3.7%</w:t>
            </w:r>
          </w:p>
        </w:tc>
        <w:tc>
          <w:tcPr>
            <w:tcW w:w="0" w:type="dxa"/>
            <w:vAlign w:val="bottom"/>
          </w:tcPr>
          <w:p>
            <w:pPr>
              <w:spacing w:after="0"/>
              <w:rPr>
                <w:sz w:val="1"/>
                <w:szCs w:val="1"/>
                <w:color w:val="auto"/>
              </w:rPr>
            </w:pPr>
          </w:p>
        </w:tc>
      </w:tr>
      <w:tr>
        <w:trPr>
          <w:trHeight w:val="112"/>
        </w:trPr>
        <w:tc>
          <w:tcPr>
            <w:tcW w:w="4220" w:type="dxa"/>
            <w:vAlign w:val="bottom"/>
            <w:tcBorders>
              <w:left w:val="single" w:sz="8" w:color="auto"/>
              <w:right w:val="single" w:sz="8" w:color="auto"/>
            </w:tcBorders>
          </w:tcPr>
          <w:p>
            <w:pPr>
              <w:ind w:left="20"/>
              <w:spacing w:after="0" w:line="112" w:lineRule="exact"/>
              <w:rPr>
                <w:sz w:val="20"/>
                <w:szCs w:val="20"/>
                <w:color w:val="auto"/>
              </w:rPr>
            </w:pPr>
            <w:r>
              <w:rPr>
                <w:rFonts w:ascii="Arial" w:cs="Arial" w:eastAsia="Arial" w:hAnsi="Arial"/>
                <w:sz w:val="8"/>
                <w:szCs w:val="8"/>
                <w:b w:val="1"/>
                <w:bCs w:val="1"/>
                <w:color w:val="auto"/>
              </w:rPr>
              <w:t xml:space="preserve">Net interest margin </w:t>
            </w:r>
            <w:r>
              <w:rPr>
                <w:rFonts w:ascii="Arial" w:cs="Arial" w:eastAsia="Arial" w:hAnsi="Arial"/>
                <w:sz w:val="12"/>
                <w:szCs w:val="12"/>
                <w:b w:val="1"/>
                <w:bCs w:val="1"/>
                <w:color w:val="auto"/>
                <w:vertAlign w:val="superscript"/>
              </w:rPr>
              <w:t>(1)</w:t>
            </w:r>
          </w:p>
        </w:tc>
        <w:tc>
          <w:tcPr>
            <w:tcW w:w="74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6"/>
              </w:rPr>
              <w:t>6.43%</w:t>
            </w:r>
          </w:p>
        </w:tc>
        <w:tc>
          <w:tcPr>
            <w:tcW w:w="78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6"/>
              </w:rPr>
              <w:t>6.42%</w:t>
            </w:r>
          </w:p>
        </w:tc>
        <w:tc>
          <w:tcPr>
            <w:tcW w:w="78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1"/>
                <w:szCs w:val="11"/>
                <w:b w:val="1"/>
                <w:bCs w:val="1"/>
                <w:color w:val="auto"/>
                <w:w w:val="96"/>
              </w:rPr>
              <w:t>6.57%</w:t>
            </w:r>
          </w:p>
        </w:tc>
        <w:tc>
          <w:tcPr>
            <w:tcW w:w="760" w:type="dxa"/>
            <w:vAlign w:val="bottom"/>
          </w:tcPr>
          <w:p>
            <w:pPr>
              <w:jc w:val="center"/>
              <w:ind w:left="6"/>
              <w:spacing w:after="0" w:line="112" w:lineRule="exact"/>
              <w:rPr>
                <w:sz w:val="20"/>
                <w:szCs w:val="20"/>
                <w:color w:val="auto"/>
              </w:rPr>
            </w:pPr>
            <w:r>
              <w:rPr>
                <w:rFonts w:ascii="Arial" w:cs="Arial" w:eastAsia="Arial" w:hAnsi="Arial"/>
                <w:sz w:val="11"/>
                <w:szCs w:val="11"/>
                <w:b w:val="1"/>
                <w:bCs w:val="1"/>
                <w:color w:val="auto"/>
                <w:w w:val="97"/>
              </w:rPr>
              <w:t>15 bps</w:t>
            </w:r>
          </w:p>
        </w:tc>
        <w:tc>
          <w:tcPr>
            <w:tcW w:w="82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1"/>
                <w:szCs w:val="11"/>
                <w:b w:val="1"/>
                <w:bCs w:val="1"/>
                <w:color w:val="auto"/>
                <w:w w:val="97"/>
              </w:rPr>
              <w:t>14 bps</w:t>
            </w:r>
          </w:p>
        </w:tc>
        <w:tc>
          <w:tcPr>
            <w:tcW w:w="78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6.3%</w:t>
            </w:r>
          </w:p>
        </w:tc>
        <w:tc>
          <w:tcPr>
            <w:tcW w:w="76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1"/>
                <w:szCs w:val="11"/>
                <w:b w:val="1"/>
                <w:bCs w:val="1"/>
                <w:color w:val="auto"/>
                <w:w w:val="95"/>
              </w:rPr>
              <w:t>6.3%</w:t>
            </w:r>
          </w:p>
        </w:tc>
        <w:tc>
          <w:tcPr>
            <w:tcW w:w="82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1"/>
                <w:szCs w:val="11"/>
                <w:b w:val="1"/>
                <w:bCs w:val="1"/>
                <w:color w:val="auto"/>
                <w:w w:val="97"/>
              </w:rPr>
              <w:t>2 bps</w:t>
            </w:r>
          </w:p>
        </w:tc>
        <w:tc>
          <w:tcPr>
            <w:tcW w:w="0" w:type="dxa"/>
            <w:vAlign w:val="bottom"/>
          </w:tcPr>
          <w:p>
            <w:pPr>
              <w:spacing w:after="0"/>
              <w:rPr>
                <w:sz w:val="1"/>
                <w:szCs w:val="1"/>
                <w:color w:val="auto"/>
              </w:rPr>
            </w:pPr>
          </w:p>
        </w:tc>
      </w:tr>
      <w:tr>
        <w:trPr>
          <w:trHeight w:val="132"/>
        </w:trPr>
        <w:tc>
          <w:tcPr>
            <w:tcW w:w="4220" w:type="dxa"/>
            <w:vAlign w:val="bottom"/>
            <w:tcBorders>
              <w:left w:val="single" w:sz="8" w:color="auto"/>
              <w:right w:val="single" w:sz="8" w:color="auto"/>
            </w:tcBorders>
          </w:tcPr>
          <w:p>
            <w:pPr>
              <w:ind w:left="20"/>
              <w:spacing w:after="0" w:line="132" w:lineRule="exact"/>
              <w:rPr>
                <w:sz w:val="20"/>
                <w:szCs w:val="20"/>
                <w:color w:val="auto"/>
              </w:rPr>
            </w:pPr>
            <w:r>
              <w:rPr>
                <w:rFonts w:ascii="Arial" w:cs="Arial" w:eastAsia="Arial" w:hAnsi="Arial"/>
                <w:sz w:val="10"/>
                <w:szCs w:val="10"/>
                <w:b w:val="1"/>
                <w:bCs w:val="1"/>
                <w:color w:val="auto"/>
              </w:rPr>
              <w:t xml:space="preserve">Risk-adjusted Net interest margin </w:t>
            </w:r>
            <w:r>
              <w:rPr>
                <w:rFonts w:ascii="Arial" w:cs="Arial" w:eastAsia="Arial" w:hAnsi="Arial"/>
                <w:sz w:val="15"/>
                <w:szCs w:val="15"/>
                <w:b w:val="1"/>
                <w:bCs w:val="1"/>
                <w:color w:val="auto"/>
                <w:vertAlign w:val="superscript"/>
              </w:rPr>
              <w:t>(1)</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6"/>
              </w:rPr>
              <w:t>4.93%</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6"/>
              </w:rPr>
              <w:t>5.44%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5.53%</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7"/>
              </w:rPr>
              <w:t>9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60 bps</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4.7%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5.3%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64 bps</w:t>
            </w:r>
          </w:p>
        </w:tc>
        <w:tc>
          <w:tcPr>
            <w:tcW w:w="0" w:type="dxa"/>
            <w:vAlign w:val="bottom"/>
          </w:tcPr>
          <w:p>
            <w:pPr>
              <w:spacing w:after="0"/>
              <w:rPr>
                <w:sz w:val="1"/>
                <w:szCs w:val="1"/>
                <w:color w:val="auto"/>
              </w:rPr>
            </w:pPr>
          </w:p>
        </w:tc>
      </w:tr>
      <w:tr>
        <w:trPr>
          <w:trHeight w:val="144"/>
        </w:trPr>
        <w:tc>
          <w:tcPr>
            <w:tcW w:w="422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1"/>
                <w:szCs w:val="11"/>
                <w:b w:val="1"/>
                <w:bCs w:val="1"/>
                <w:color w:val="auto"/>
              </w:rPr>
              <w:t xml:space="preserve">Net provisions for loan losses / Net interest income </w:t>
            </w:r>
            <w:r>
              <w:rPr>
                <w:rFonts w:ascii="Arial" w:cs="Arial" w:eastAsia="Arial" w:hAnsi="Arial"/>
                <w:sz w:val="16"/>
                <w:szCs w:val="16"/>
                <w:b w:val="1"/>
                <w:bCs w:val="1"/>
                <w:color w:val="auto"/>
                <w:vertAlign w:val="superscript"/>
              </w:rPr>
              <w:t>(1)</w:t>
            </w:r>
          </w:p>
        </w:tc>
        <w:tc>
          <w:tcPr>
            <w:tcW w:w="74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6"/>
              </w:rPr>
              <w:t>24.18%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15.91%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16.35%</w:t>
            </w:r>
          </w:p>
        </w:tc>
        <w:tc>
          <w:tcPr>
            <w:tcW w:w="760" w:type="dxa"/>
            <w:vAlign w:val="bottom"/>
            <w:tcBorders>
              <w:bottom w:val="single" w:sz="8" w:color="auto"/>
            </w:tcBorders>
          </w:tcPr>
          <w:p>
            <w:pPr>
              <w:jc w:val="center"/>
              <w:ind w:left="6"/>
              <w:spacing w:after="0"/>
              <w:rPr>
                <w:sz w:val="20"/>
                <w:szCs w:val="20"/>
                <w:color w:val="auto"/>
              </w:rPr>
            </w:pPr>
            <w:r>
              <w:rPr>
                <w:rFonts w:ascii="Arial" w:cs="Arial" w:eastAsia="Arial" w:hAnsi="Arial"/>
                <w:sz w:val="11"/>
                <w:szCs w:val="11"/>
                <w:b w:val="1"/>
                <w:bCs w:val="1"/>
                <w:color w:val="auto"/>
                <w:w w:val="97"/>
              </w:rPr>
              <w:t>44 bps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-783 bps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26.5%</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16.2%</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-1030 bps</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80"/>
        <w:spacing w:after="0"/>
        <w:rPr>
          <w:sz w:val="20"/>
          <w:szCs w:val="20"/>
          <w:color w:val="auto"/>
        </w:rPr>
      </w:pPr>
      <w:r>
        <w:rPr>
          <w:rFonts w:ascii="Arial" w:cs="Arial" w:eastAsia="Arial" w:hAnsi="Arial"/>
          <w:sz w:val="10"/>
          <w:szCs w:val="10"/>
          <w:color w:val="auto"/>
        </w:rPr>
        <w:t>(1) Annualized. For further detail on the NIM calculation due to IFRS17, please refer to Annex 12.8.</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12.4. Net Interest Margin (NIM) and Risk-Adjusted NIM by Subsidiary</w:t>
      </w:r>
    </w:p>
    <w:p>
      <w:pPr>
        <w:spacing w:after="0" w:line="169" w:lineRule="exact"/>
        <w:rPr>
          <w:sz w:val="20"/>
          <w:szCs w:val="20"/>
          <w:color w:val="auto"/>
        </w:rPr>
      </w:pPr>
    </w:p>
    <w:tbl>
      <w:tblPr>
        <w:tblLayout w:type="fixed"/>
        <w:tblInd w:w="2110" w:type="dxa"/>
        <w:tblCellMar>
          <w:top w:w="0" w:type="dxa"/>
          <w:left w:w="0" w:type="dxa"/>
          <w:bottom w:w="0" w:type="dxa"/>
          <w:right w:w="0" w:type="dxa"/>
        </w:tblCellMar>
      </w:tblPr>
      <w:tr>
        <w:trPr>
          <w:trHeight w:val="192"/>
        </w:trPr>
        <w:tc>
          <w:tcPr>
            <w:tcW w:w="2200" w:type="dxa"/>
            <w:vAlign w:val="bottom"/>
            <w:tcBorders>
              <w:top w:val="single" w:sz="8" w:color="auto"/>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6"/>
                <w:szCs w:val="16"/>
                <w:b w:val="1"/>
                <w:bCs w:val="1"/>
                <w:color w:val="FFFFFF"/>
              </w:rPr>
              <w:t>NIM Breakdown</w:t>
            </w:r>
          </w:p>
        </w:tc>
        <w:tc>
          <w:tcPr>
            <w:tcW w:w="134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3Q24</w:t>
            </w:r>
          </w:p>
        </w:tc>
        <w:tc>
          <w:tcPr>
            <w:tcW w:w="136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2Q25</w:t>
            </w:r>
          </w:p>
        </w:tc>
        <w:tc>
          <w:tcPr>
            <w:tcW w:w="136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3Q25</w:t>
            </w:r>
          </w:p>
        </w:tc>
      </w:tr>
      <w:tr>
        <w:trPr>
          <w:trHeight w:val="159"/>
        </w:trPr>
        <w:tc>
          <w:tcPr>
            <w:tcW w:w="2200" w:type="dxa"/>
            <w:vAlign w:val="bottom"/>
            <w:tcBorders>
              <w:left w:val="single" w:sz="8" w:color="auto"/>
              <w:right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BCP</w:t>
            </w:r>
          </w:p>
        </w:tc>
        <w:tc>
          <w:tcPr>
            <w:tcW w:w="1340" w:type="dxa"/>
            <w:vAlign w:val="bottom"/>
          </w:tcPr>
          <w:p>
            <w:pPr>
              <w:jc w:val="center"/>
              <w:spacing w:after="0" w:line="159" w:lineRule="exact"/>
              <w:rPr>
                <w:sz w:val="20"/>
                <w:szCs w:val="20"/>
                <w:color w:val="auto"/>
              </w:rPr>
            </w:pPr>
            <w:r>
              <w:rPr>
                <w:rFonts w:ascii="Arial" w:cs="Arial" w:eastAsia="Arial" w:hAnsi="Arial"/>
                <w:sz w:val="16"/>
                <w:szCs w:val="16"/>
                <w:color w:val="auto"/>
                <w:w w:val="96"/>
              </w:rPr>
              <w:t>6.17%</w:t>
            </w:r>
          </w:p>
        </w:tc>
        <w:tc>
          <w:tcPr>
            <w:tcW w:w="1360" w:type="dxa"/>
            <w:vAlign w:val="bottom"/>
          </w:tcPr>
          <w:p>
            <w:pPr>
              <w:jc w:val="center"/>
              <w:spacing w:after="0" w:line="159" w:lineRule="exact"/>
              <w:rPr>
                <w:sz w:val="20"/>
                <w:szCs w:val="20"/>
                <w:color w:val="auto"/>
              </w:rPr>
            </w:pPr>
            <w:r>
              <w:rPr>
                <w:rFonts w:ascii="Arial" w:cs="Arial" w:eastAsia="Arial" w:hAnsi="Arial"/>
                <w:sz w:val="16"/>
                <w:szCs w:val="16"/>
                <w:color w:val="auto"/>
                <w:w w:val="96"/>
              </w:rPr>
              <w:t>6.00%</w:t>
            </w:r>
          </w:p>
        </w:tc>
        <w:tc>
          <w:tcPr>
            <w:tcW w:w="13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6"/>
              </w:rPr>
              <w:t>6.11%</w:t>
            </w:r>
          </w:p>
        </w:tc>
      </w:tr>
      <w:tr>
        <w:trPr>
          <w:trHeight w:val="180"/>
        </w:trPr>
        <w:tc>
          <w:tcPr>
            <w:tcW w:w="2200" w:type="dxa"/>
            <w:vAlign w:val="bottom"/>
            <w:tcBorders>
              <w:left w:val="single" w:sz="8" w:color="auto"/>
              <w:right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Mibanco</w:t>
            </w:r>
          </w:p>
        </w:tc>
        <w:tc>
          <w:tcPr>
            <w:tcW w:w="1340" w:type="dxa"/>
            <w:vAlign w:val="bottom"/>
          </w:tcPr>
          <w:p>
            <w:pPr>
              <w:jc w:val="center"/>
              <w:spacing w:after="0" w:line="180" w:lineRule="exact"/>
              <w:rPr>
                <w:sz w:val="20"/>
                <w:szCs w:val="20"/>
                <w:color w:val="auto"/>
              </w:rPr>
            </w:pPr>
            <w:r>
              <w:rPr>
                <w:rFonts w:ascii="Arial" w:cs="Arial" w:eastAsia="Arial" w:hAnsi="Arial"/>
                <w:sz w:val="16"/>
                <w:szCs w:val="16"/>
                <w:color w:val="auto"/>
                <w:w w:val="95"/>
              </w:rPr>
              <w:t>13.86%</w:t>
            </w:r>
          </w:p>
        </w:tc>
        <w:tc>
          <w:tcPr>
            <w:tcW w:w="1360" w:type="dxa"/>
            <w:vAlign w:val="bottom"/>
          </w:tcPr>
          <w:p>
            <w:pPr>
              <w:jc w:val="center"/>
              <w:spacing w:after="0" w:line="180" w:lineRule="exact"/>
              <w:rPr>
                <w:sz w:val="20"/>
                <w:szCs w:val="20"/>
                <w:color w:val="auto"/>
              </w:rPr>
            </w:pPr>
            <w:r>
              <w:rPr>
                <w:rFonts w:ascii="Arial" w:cs="Arial" w:eastAsia="Arial" w:hAnsi="Arial"/>
                <w:sz w:val="16"/>
                <w:szCs w:val="16"/>
                <w:color w:val="auto"/>
                <w:w w:val="99"/>
              </w:rPr>
              <w:t>14.38%</w:t>
            </w:r>
          </w:p>
        </w:tc>
        <w:tc>
          <w:tcPr>
            <w:tcW w:w="13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9"/>
              </w:rPr>
              <w:t>15.02%</w:t>
            </w:r>
          </w:p>
        </w:tc>
      </w:tr>
      <w:tr>
        <w:trPr>
          <w:trHeight w:val="193"/>
        </w:trPr>
        <w:tc>
          <w:tcPr>
            <w:tcW w:w="22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BCP Bolivia</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2.95%</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2.57%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3.21%</w:t>
            </w:r>
          </w:p>
        </w:tc>
      </w:tr>
      <w:tr>
        <w:trPr>
          <w:trHeight w:val="172"/>
        </w:trPr>
        <w:tc>
          <w:tcPr>
            <w:tcW w:w="2200" w:type="dxa"/>
            <w:vAlign w:val="bottom"/>
            <w:tcBorders>
              <w:left w:val="single" w:sz="8" w:color="auto"/>
              <w:bottom w:val="single" w:sz="8" w:color="auto"/>
              <w:right w:val="single" w:sz="8" w:color="auto"/>
            </w:tcBorders>
          </w:tcPr>
          <w:p>
            <w:pPr>
              <w:spacing w:after="0" w:line="172" w:lineRule="exact"/>
              <w:rPr>
                <w:sz w:val="20"/>
                <w:szCs w:val="20"/>
                <w:color w:val="auto"/>
              </w:rPr>
            </w:pPr>
            <w:r>
              <w:rPr>
                <w:rFonts w:ascii="Arial" w:cs="Arial" w:eastAsia="Arial" w:hAnsi="Arial"/>
                <w:sz w:val="16"/>
                <w:szCs w:val="16"/>
                <w:b w:val="1"/>
                <w:bCs w:val="1"/>
                <w:color w:val="auto"/>
              </w:rPr>
              <w:t>Credicorp</w:t>
            </w:r>
          </w:p>
        </w:tc>
        <w:tc>
          <w:tcPr>
            <w:tcW w:w="134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6.43%</w:t>
            </w:r>
          </w:p>
        </w:tc>
        <w:tc>
          <w:tcPr>
            <w:tcW w:w="13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6.42%</w:t>
            </w:r>
          </w:p>
        </w:tc>
        <w:tc>
          <w:tcPr>
            <w:tcW w:w="136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6.57%</w:t>
            </w:r>
          </w:p>
        </w:tc>
      </w:tr>
    </w:tbl>
    <w:p>
      <w:pPr>
        <w:spacing w:after="0" w:line="132"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NIM: Annualized Net interest income (excluding Net Insurance Financial Expenses) / Average period end and period beginning interest-earning assets.</w:t>
      </w:r>
    </w:p>
    <w:p>
      <w:pPr>
        <w:spacing w:after="0" w:line="165" w:lineRule="exact"/>
        <w:rPr>
          <w:sz w:val="20"/>
          <w:szCs w:val="20"/>
          <w:color w:val="auto"/>
        </w:rPr>
      </w:pPr>
    </w:p>
    <w:tbl>
      <w:tblPr>
        <w:tblLayout w:type="fixed"/>
        <w:tblInd w:w="2110" w:type="dxa"/>
        <w:tblCellMar>
          <w:top w:w="0" w:type="dxa"/>
          <w:left w:w="0" w:type="dxa"/>
          <w:bottom w:w="0" w:type="dxa"/>
          <w:right w:w="0" w:type="dxa"/>
        </w:tblCellMar>
      </w:tblPr>
      <w:tr>
        <w:trPr>
          <w:trHeight w:val="179"/>
        </w:trPr>
        <w:tc>
          <w:tcPr>
            <w:tcW w:w="2200" w:type="dxa"/>
            <w:vAlign w:val="bottom"/>
            <w:tcBorders>
              <w:top w:val="single" w:sz="8" w:color="auto"/>
              <w:left w:val="single" w:sz="8" w:color="auto"/>
              <w:right w:val="single" w:sz="8" w:color="auto"/>
            </w:tcBorders>
            <w:shd w:val="clear" w:color="auto" w:fill="33CCCC"/>
          </w:tcPr>
          <w:p>
            <w:pPr>
              <w:spacing w:after="0" w:line="179" w:lineRule="exact"/>
              <w:rPr>
                <w:sz w:val="20"/>
                <w:szCs w:val="20"/>
                <w:color w:val="auto"/>
              </w:rPr>
            </w:pPr>
            <w:r>
              <w:rPr>
                <w:rFonts w:ascii="Arial" w:cs="Arial" w:eastAsia="Arial" w:hAnsi="Arial"/>
                <w:sz w:val="16"/>
                <w:szCs w:val="16"/>
                <w:b w:val="1"/>
                <w:bCs w:val="1"/>
                <w:color w:val="FFFFFF"/>
              </w:rPr>
              <w:t>Risk Adjusted NIM</w:t>
            </w:r>
          </w:p>
        </w:tc>
        <w:tc>
          <w:tcPr>
            <w:tcW w:w="1320" w:type="dxa"/>
            <w:vAlign w:val="bottom"/>
            <w:tcBorders>
              <w:top w:val="single" w:sz="8" w:color="auto"/>
            </w:tcBorders>
            <w:vMerge w:val="restart"/>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3Q24</w:t>
            </w:r>
          </w:p>
        </w:tc>
        <w:tc>
          <w:tcPr>
            <w:tcW w:w="1380" w:type="dxa"/>
            <w:vAlign w:val="bottom"/>
            <w:tcBorders>
              <w:top w:val="single" w:sz="8" w:color="auto"/>
            </w:tcBorders>
            <w:vMerge w:val="restart"/>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2Q25</w:t>
            </w:r>
          </w:p>
        </w:tc>
        <w:tc>
          <w:tcPr>
            <w:tcW w:w="1360" w:type="dxa"/>
            <w:vAlign w:val="bottom"/>
            <w:tcBorders>
              <w:top w:val="single" w:sz="8" w:color="auto"/>
              <w:right w:val="single" w:sz="8" w:color="auto"/>
            </w:tcBorders>
            <w:vMerge w:val="restart"/>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3Q25</w:t>
            </w:r>
          </w:p>
        </w:tc>
        <w:tc>
          <w:tcPr>
            <w:tcW w:w="0" w:type="dxa"/>
            <w:vAlign w:val="bottom"/>
          </w:tcPr>
          <w:p>
            <w:pPr>
              <w:spacing w:after="0"/>
              <w:rPr>
                <w:sz w:val="1"/>
                <w:szCs w:val="1"/>
                <w:color w:val="auto"/>
              </w:rPr>
            </w:pPr>
          </w:p>
        </w:tc>
      </w:tr>
      <w:tr>
        <w:trPr>
          <w:trHeight w:val="119"/>
        </w:trPr>
        <w:tc>
          <w:tcPr>
            <w:tcW w:w="2200" w:type="dxa"/>
            <w:vAlign w:val="bottom"/>
            <w:tcBorders>
              <w:left w:val="single" w:sz="8" w:color="auto"/>
              <w:right w:val="single" w:sz="8" w:color="auto"/>
            </w:tcBorders>
            <w:vMerge w:val="restart"/>
            <w:shd w:val="clear" w:color="auto" w:fill="33CCCC"/>
          </w:tcPr>
          <w:p>
            <w:pPr>
              <w:spacing w:after="0"/>
              <w:rPr>
                <w:sz w:val="20"/>
                <w:szCs w:val="20"/>
                <w:color w:val="auto"/>
              </w:rPr>
            </w:pPr>
            <w:r>
              <w:rPr>
                <w:rFonts w:ascii="Arial" w:cs="Arial" w:eastAsia="Arial" w:hAnsi="Arial"/>
                <w:sz w:val="16"/>
                <w:szCs w:val="16"/>
                <w:b w:val="1"/>
                <w:bCs w:val="1"/>
                <w:color w:val="FFFFFF"/>
              </w:rPr>
              <w:t>Breakdown</w:t>
            </w:r>
          </w:p>
        </w:tc>
        <w:tc>
          <w:tcPr>
            <w:tcW w:w="1320" w:type="dxa"/>
            <w:vAlign w:val="bottom"/>
            <w:vMerge w:val="continue"/>
            <w:shd w:val="clear" w:color="auto" w:fill="33CCCC"/>
          </w:tcPr>
          <w:p>
            <w:pPr>
              <w:spacing w:after="0"/>
              <w:rPr>
                <w:sz w:val="10"/>
                <w:szCs w:val="10"/>
                <w:color w:val="auto"/>
              </w:rPr>
            </w:pPr>
          </w:p>
        </w:tc>
        <w:tc>
          <w:tcPr>
            <w:tcW w:w="1380" w:type="dxa"/>
            <w:vAlign w:val="bottom"/>
            <w:vMerge w:val="continue"/>
            <w:shd w:val="clear" w:color="auto" w:fill="33CCCC"/>
          </w:tcPr>
          <w:p>
            <w:pPr>
              <w:spacing w:after="0"/>
              <w:rPr>
                <w:sz w:val="10"/>
                <w:szCs w:val="10"/>
                <w:color w:val="auto"/>
              </w:rPr>
            </w:pPr>
          </w:p>
        </w:tc>
        <w:tc>
          <w:tcPr>
            <w:tcW w:w="1360" w:type="dxa"/>
            <w:vAlign w:val="bottom"/>
            <w:tcBorders>
              <w:right w:val="single" w:sz="8" w:color="auto"/>
            </w:tcBorders>
            <w:vMerge w:val="continue"/>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200" w:type="dxa"/>
            <w:vAlign w:val="bottom"/>
            <w:tcBorders>
              <w:left w:val="single" w:sz="8" w:color="auto"/>
              <w:bottom w:val="single" w:sz="8" w:color="auto"/>
              <w:right w:val="single" w:sz="8" w:color="auto"/>
            </w:tcBorders>
            <w:vMerge w:val="continue"/>
            <w:shd w:val="clear" w:color="auto" w:fill="33CCCC"/>
          </w:tcPr>
          <w:p>
            <w:pPr>
              <w:spacing w:after="0"/>
              <w:rPr>
                <w:sz w:val="6"/>
                <w:szCs w:val="6"/>
                <w:color w:val="auto"/>
              </w:rPr>
            </w:pPr>
          </w:p>
        </w:tc>
        <w:tc>
          <w:tcPr>
            <w:tcW w:w="1320" w:type="dxa"/>
            <w:vAlign w:val="bottom"/>
            <w:tcBorders>
              <w:bottom w:val="single" w:sz="8" w:color="auto"/>
            </w:tcBorders>
            <w:shd w:val="clear" w:color="auto" w:fill="33CCCC"/>
          </w:tcPr>
          <w:p>
            <w:pPr>
              <w:spacing w:after="0"/>
              <w:rPr>
                <w:sz w:val="6"/>
                <w:szCs w:val="6"/>
                <w:color w:val="auto"/>
              </w:rPr>
            </w:pPr>
          </w:p>
        </w:tc>
        <w:tc>
          <w:tcPr>
            <w:tcW w:w="1380" w:type="dxa"/>
            <w:vAlign w:val="bottom"/>
            <w:tcBorders>
              <w:bottom w:val="single" w:sz="8" w:color="auto"/>
            </w:tcBorders>
            <w:shd w:val="clear" w:color="auto" w:fill="33CCCC"/>
          </w:tcPr>
          <w:p>
            <w:pPr>
              <w:spacing w:after="0"/>
              <w:rPr>
                <w:sz w:val="6"/>
                <w:szCs w:val="6"/>
                <w:color w:val="auto"/>
              </w:rPr>
            </w:pPr>
          </w:p>
        </w:tc>
        <w:tc>
          <w:tcPr>
            <w:tcW w:w="1360" w:type="dxa"/>
            <w:vAlign w:val="bottom"/>
            <w:tcBorders>
              <w:bottom w:val="single" w:sz="8" w:color="auto"/>
              <w:right w:val="single" w:sz="8" w:color="auto"/>
            </w:tcBorders>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200" w:type="dxa"/>
            <w:vAlign w:val="bottom"/>
            <w:tcBorders>
              <w:left w:val="single" w:sz="8" w:color="auto"/>
              <w:right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BCP</w:t>
            </w:r>
          </w:p>
        </w:tc>
        <w:tc>
          <w:tcPr>
            <w:tcW w:w="1320" w:type="dxa"/>
            <w:vAlign w:val="bottom"/>
          </w:tcPr>
          <w:p>
            <w:pPr>
              <w:jc w:val="center"/>
              <w:spacing w:after="0" w:line="159" w:lineRule="exact"/>
              <w:rPr>
                <w:sz w:val="20"/>
                <w:szCs w:val="20"/>
                <w:color w:val="auto"/>
              </w:rPr>
            </w:pPr>
            <w:r>
              <w:rPr>
                <w:rFonts w:ascii="Arial" w:cs="Arial" w:eastAsia="Arial" w:hAnsi="Arial"/>
                <w:sz w:val="16"/>
                <w:szCs w:val="16"/>
                <w:color w:val="auto"/>
                <w:w w:val="96"/>
              </w:rPr>
              <w:t>4.75%</w:t>
            </w:r>
          </w:p>
        </w:tc>
        <w:tc>
          <w:tcPr>
            <w:tcW w:w="1380" w:type="dxa"/>
            <w:vAlign w:val="bottom"/>
          </w:tcPr>
          <w:p>
            <w:pPr>
              <w:jc w:val="center"/>
              <w:spacing w:after="0" w:line="159" w:lineRule="exact"/>
              <w:rPr>
                <w:sz w:val="20"/>
                <w:szCs w:val="20"/>
                <w:color w:val="auto"/>
              </w:rPr>
            </w:pPr>
            <w:r>
              <w:rPr>
                <w:rFonts w:ascii="Arial" w:cs="Arial" w:eastAsia="Arial" w:hAnsi="Arial"/>
                <w:sz w:val="16"/>
                <w:szCs w:val="16"/>
                <w:color w:val="auto"/>
                <w:w w:val="96"/>
              </w:rPr>
              <w:t>5.22%</w:t>
            </w:r>
          </w:p>
        </w:tc>
        <w:tc>
          <w:tcPr>
            <w:tcW w:w="13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6"/>
              </w:rPr>
              <w:t>5.25%</w:t>
            </w:r>
          </w:p>
        </w:tc>
        <w:tc>
          <w:tcPr>
            <w:tcW w:w="0" w:type="dxa"/>
            <w:vAlign w:val="bottom"/>
          </w:tcPr>
          <w:p>
            <w:pPr>
              <w:spacing w:after="0"/>
              <w:rPr>
                <w:sz w:val="1"/>
                <w:szCs w:val="1"/>
                <w:color w:val="auto"/>
              </w:rPr>
            </w:pPr>
          </w:p>
        </w:tc>
      </w:tr>
      <w:tr>
        <w:trPr>
          <w:trHeight w:val="180"/>
        </w:trPr>
        <w:tc>
          <w:tcPr>
            <w:tcW w:w="2200" w:type="dxa"/>
            <w:vAlign w:val="bottom"/>
            <w:tcBorders>
              <w:left w:val="single" w:sz="8" w:color="auto"/>
              <w:right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Mibanco</w:t>
            </w:r>
          </w:p>
        </w:tc>
        <w:tc>
          <w:tcPr>
            <w:tcW w:w="1320" w:type="dxa"/>
            <w:vAlign w:val="bottom"/>
          </w:tcPr>
          <w:p>
            <w:pPr>
              <w:jc w:val="center"/>
              <w:spacing w:after="0" w:line="180" w:lineRule="exact"/>
              <w:rPr>
                <w:sz w:val="20"/>
                <w:szCs w:val="20"/>
                <w:color w:val="auto"/>
              </w:rPr>
            </w:pPr>
            <w:r>
              <w:rPr>
                <w:rFonts w:ascii="Arial" w:cs="Arial" w:eastAsia="Arial" w:hAnsi="Arial"/>
                <w:sz w:val="16"/>
                <w:szCs w:val="16"/>
                <w:color w:val="auto"/>
                <w:w w:val="96"/>
              </w:rPr>
              <w:t>9.12%</w:t>
            </w:r>
          </w:p>
        </w:tc>
        <w:tc>
          <w:tcPr>
            <w:tcW w:w="1380" w:type="dxa"/>
            <w:vAlign w:val="bottom"/>
          </w:tcPr>
          <w:p>
            <w:pPr>
              <w:jc w:val="center"/>
              <w:spacing w:after="0" w:line="180" w:lineRule="exact"/>
              <w:rPr>
                <w:sz w:val="20"/>
                <w:szCs w:val="20"/>
                <w:color w:val="auto"/>
              </w:rPr>
            </w:pPr>
            <w:r>
              <w:rPr>
                <w:rFonts w:ascii="Arial" w:cs="Arial" w:eastAsia="Arial" w:hAnsi="Arial"/>
                <w:sz w:val="16"/>
                <w:szCs w:val="16"/>
                <w:color w:val="auto"/>
                <w:w w:val="99"/>
              </w:rPr>
              <w:t>10.34%</w:t>
            </w:r>
          </w:p>
        </w:tc>
        <w:tc>
          <w:tcPr>
            <w:tcW w:w="13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9"/>
              </w:rPr>
              <w:t>11.03%</w:t>
            </w:r>
          </w:p>
        </w:tc>
        <w:tc>
          <w:tcPr>
            <w:tcW w:w="0" w:type="dxa"/>
            <w:vAlign w:val="bottom"/>
          </w:tcPr>
          <w:p>
            <w:pPr>
              <w:spacing w:after="0"/>
              <w:rPr>
                <w:sz w:val="1"/>
                <w:szCs w:val="1"/>
                <w:color w:val="auto"/>
              </w:rPr>
            </w:pPr>
          </w:p>
        </w:tc>
      </w:tr>
      <w:tr>
        <w:trPr>
          <w:trHeight w:val="193"/>
        </w:trPr>
        <w:tc>
          <w:tcPr>
            <w:tcW w:w="22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BCP Bolivia</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2.59%</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1.89%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3.45%</w:t>
            </w:r>
          </w:p>
        </w:tc>
        <w:tc>
          <w:tcPr>
            <w:tcW w:w="0" w:type="dxa"/>
            <w:vAlign w:val="bottom"/>
          </w:tcPr>
          <w:p>
            <w:pPr>
              <w:spacing w:after="0"/>
              <w:rPr>
                <w:sz w:val="1"/>
                <w:szCs w:val="1"/>
                <w:color w:val="auto"/>
              </w:rPr>
            </w:pPr>
          </w:p>
        </w:tc>
      </w:tr>
      <w:tr>
        <w:trPr>
          <w:trHeight w:val="172"/>
        </w:trPr>
        <w:tc>
          <w:tcPr>
            <w:tcW w:w="2200" w:type="dxa"/>
            <w:vAlign w:val="bottom"/>
            <w:tcBorders>
              <w:left w:val="single" w:sz="8" w:color="auto"/>
              <w:bottom w:val="single" w:sz="8" w:color="auto"/>
              <w:right w:val="single" w:sz="8" w:color="auto"/>
            </w:tcBorders>
          </w:tcPr>
          <w:p>
            <w:pPr>
              <w:spacing w:after="0" w:line="172" w:lineRule="exact"/>
              <w:rPr>
                <w:sz w:val="20"/>
                <w:szCs w:val="20"/>
                <w:color w:val="auto"/>
              </w:rPr>
            </w:pPr>
            <w:r>
              <w:rPr>
                <w:rFonts w:ascii="Arial" w:cs="Arial" w:eastAsia="Arial" w:hAnsi="Arial"/>
                <w:sz w:val="16"/>
                <w:szCs w:val="16"/>
                <w:b w:val="1"/>
                <w:bCs w:val="1"/>
                <w:color w:val="auto"/>
              </w:rPr>
              <w:t>Credicorp</w:t>
            </w:r>
          </w:p>
        </w:tc>
        <w:tc>
          <w:tcPr>
            <w:tcW w:w="132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4.93%</w:t>
            </w:r>
          </w:p>
        </w:tc>
        <w:tc>
          <w:tcPr>
            <w:tcW w:w="138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5.44%</w:t>
            </w:r>
          </w:p>
        </w:tc>
        <w:tc>
          <w:tcPr>
            <w:tcW w:w="136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6"/>
              </w:rPr>
              <w:t>5.53%</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280" w:right="1300"/>
        <w:spacing w:after="0" w:line="279" w:lineRule="auto"/>
        <w:rPr>
          <w:sz w:val="20"/>
          <w:szCs w:val="20"/>
          <w:color w:val="auto"/>
        </w:rPr>
      </w:pPr>
      <w:r>
        <w:rPr>
          <w:rFonts w:ascii="Arial" w:cs="Arial" w:eastAsia="Arial" w:hAnsi="Arial"/>
          <w:sz w:val="11"/>
          <w:szCs w:val="11"/>
          <w:color w:val="auto"/>
        </w:rPr>
        <w:t>Risk-Adjusted NIM: (Annualized Net interest income (excluding Net Insurance Financial Expenses) - annualized provisions) / Average period end and period beginning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659130</wp:posOffset>
            </wp:positionV>
            <wp:extent cx="663892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638925" cy="1524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95250</wp:posOffset>
            </wp:positionV>
            <wp:extent cx="6006465" cy="4724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06465" cy="472440"/>
                    </a:xfrm>
                    <a:prstGeom prst="rect">
                      <a:avLst/>
                    </a:prstGeom>
                    <a:noFill/>
                  </pic:spPr>
                </pic:pic>
              </a:graphicData>
            </a:graphic>
          </wp:anchor>
        </w:drawing>
      </w:r>
    </w:p>
    <w:p>
      <w:pPr>
        <w:sectPr>
          <w:pgSz w:w="11900" w:h="16840" w:orient="portrait"/>
          <w:cols w:equalWidth="0" w:num="1">
            <w:col w:w="10520"/>
          </w:cols>
          <w:pgMar w:left="660" w:top="931" w:right="720" w:bottom="1440" w:gutter="0" w:footer="0" w:header="0"/>
        </w:sectPr>
      </w:pPr>
    </w:p>
    <w:bookmarkStart w:id="55" w:name="page56"/>
    <w:bookmarkEnd w:id="55"/>
    <w:p>
      <w:pPr>
        <w:ind w:left="2520"/>
        <w:spacing w:after="0"/>
        <w:tabs>
          <w:tab w:leader="none" w:pos="2760" w:val="left"/>
          <w:tab w:leader="none" w:pos="81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638925" cy="8686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638925" cy="86868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12.5. Physical Point of contact</w:t>
      </w:r>
    </w:p>
    <w:p>
      <w:pPr>
        <w:spacing w:after="0" w:line="182" w:lineRule="exact"/>
        <w:rPr>
          <w:sz w:val="20"/>
          <w:szCs w:val="20"/>
          <w:color w:val="auto"/>
        </w:rPr>
      </w:pPr>
    </w:p>
    <w:tbl>
      <w:tblPr>
        <w:tblLayout w:type="fixed"/>
        <w:tblInd w:w="1070" w:type="dxa"/>
        <w:tblCellMar>
          <w:top w:w="0" w:type="dxa"/>
          <w:left w:w="0" w:type="dxa"/>
          <w:bottom w:w="0" w:type="dxa"/>
          <w:right w:w="0" w:type="dxa"/>
        </w:tblCellMar>
      </w:tblPr>
      <w:tr>
        <w:trPr>
          <w:trHeight w:val="179"/>
        </w:trPr>
        <w:tc>
          <w:tcPr>
            <w:tcW w:w="4280" w:type="dxa"/>
            <w:vAlign w:val="bottom"/>
            <w:tcBorders>
              <w:top w:val="single" w:sz="8" w:color="auto"/>
              <w:left w:val="single" w:sz="8" w:color="auto"/>
              <w:right w:val="single" w:sz="8" w:color="auto"/>
            </w:tcBorders>
            <w:shd w:val="clear" w:color="auto" w:fill="33CCCC"/>
          </w:tcPr>
          <w:p>
            <w:pPr>
              <w:spacing w:after="0" w:line="179" w:lineRule="exact"/>
              <w:rPr>
                <w:sz w:val="20"/>
                <w:szCs w:val="20"/>
                <w:color w:val="auto"/>
              </w:rPr>
            </w:pPr>
            <w:r>
              <w:rPr>
                <w:rFonts w:ascii="Arial" w:cs="Arial" w:eastAsia="Arial" w:hAnsi="Arial"/>
                <w:sz w:val="13"/>
                <w:szCs w:val="13"/>
                <w:b w:val="1"/>
                <w:bCs w:val="1"/>
                <w:color w:val="FFFFFF"/>
              </w:rPr>
              <w:t xml:space="preserve">Physical Point of Contact </w:t>
            </w:r>
            <w:r>
              <w:rPr>
                <w:rFonts w:ascii="Arial" w:cs="Arial" w:eastAsia="Arial" w:hAnsi="Arial"/>
                <w:sz w:val="20"/>
                <w:szCs w:val="20"/>
                <w:b w:val="1"/>
                <w:bCs w:val="1"/>
                <w:color w:val="FFFFFF"/>
                <w:vertAlign w:val="superscript"/>
              </w:rPr>
              <w:t>(1)</w:t>
            </w:r>
          </w:p>
        </w:tc>
        <w:tc>
          <w:tcPr>
            <w:tcW w:w="800" w:type="dxa"/>
            <w:vAlign w:val="bottom"/>
            <w:tcBorders>
              <w:top w:val="single" w:sz="8" w:color="auto"/>
            </w:tcBorders>
            <w:shd w:val="clear" w:color="auto" w:fill="33CCCC"/>
          </w:tcPr>
          <w:p>
            <w:pPr>
              <w:spacing w:after="0"/>
              <w:rPr>
                <w:sz w:val="15"/>
                <w:szCs w:val="15"/>
                <w:color w:val="auto"/>
              </w:rPr>
            </w:pPr>
          </w:p>
        </w:tc>
        <w:tc>
          <w:tcPr>
            <w:tcW w:w="820" w:type="dxa"/>
            <w:vAlign w:val="bottom"/>
            <w:tcBorders>
              <w:top w:val="single" w:sz="8" w:color="auto"/>
            </w:tcBorders>
            <w:shd w:val="clear" w:color="auto" w:fill="33CCCC"/>
          </w:tcPr>
          <w:p>
            <w:pPr>
              <w:jc w:val="center"/>
              <w:spacing w:after="0" w:line="179" w:lineRule="exact"/>
              <w:rPr>
                <w:sz w:val="20"/>
                <w:szCs w:val="20"/>
                <w:color w:val="auto"/>
              </w:rPr>
            </w:pPr>
            <w:r>
              <w:rPr>
                <w:rFonts w:ascii="Arial" w:cs="Arial" w:eastAsia="Arial" w:hAnsi="Arial"/>
                <w:sz w:val="16"/>
                <w:szCs w:val="16"/>
                <w:b w:val="1"/>
                <w:bCs w:val="1"/>
                <w:color w:val="FFFFFF"/>
                <w:w w:val="99"/>
              </w:rPr>
              <w:t>As of</w:t>
            </w:r>
          </w:p>
        </w:tc>
        <w:tc>
          <w:tcPr>
            <w:tcW w:w="860" w:type="dxa"/>
            <w:vAlign w:val="bottom"/>
            <w:tcBorders>
              <w:top w:val="single" w:sz="8" w:color="auto"/>
              <w:right w:val="single" w:sz="8" w:color="auto"/>
            </w:tcBorders>
            <w:shd w:val="clear" w:color="auto" w:fill="33CCCC"/>
          </w:tcPr>
          <w:p>
            <w:pPr>
              <w:spacing w:after="0"/>
              <w:rPr>
                <w:sz w:val="15"/>
                <w:szCs w:val="15"/>
                <w:color w:val="auto"/>
              </w:rPr>
            </w:pPr>
          </w:p>
        </w:tc>
        <w:tc>
          <w:tcPr>
            <w:tcW w:w="1600" w:type="dxa"/>
            <w:vAlign w:val="bottom"/>
            <w:tcBorders>
              <w:top w:val="single" w:sz="8" w:color="auto"/>
              <w:right w:val="single" w:sz="8" w:color="auto"/>
            </w:tcBorders>
            <w:gridSpan w:val="2"/>
            <w:shd w:val="clear" w:color="auto" w:fill="33CCCC"/>
          </w:tcPr>
          <w:p>
            <w:pPr>
              <w:ind w:left="220"/>
              <w:spacing w:after="0" w:line="179" w:lineRule="exact"/>
              <w:rPr>
                <w:sz w:val="20"/>
                <w:szCs w:val="20"/>
                <w:color w:val="auto"/>
              </w:rPr>
            </w:pPr>
            <w:r>
              <w:rPr>
                <w:rFonts w:ascii="Arial" w:cs="Arial" w:eastAsia="Arial" w:hAnsi="Arial"/>
                <w:sz w:val="16"/>
                <w:szCs w:val="16"/>
                <w:b w:val="1"/>
                <w:bCs w:val="1"/>
                <w:color w:val="FFFFFF"/>
              </w:rPr>
              <w:t>Change (units)</w:t>
            </w:r>
          </w:p>
        </w:tc>
      </w:tr>
      <w:tr>
        <w:trPr>
          <w:trHeight w:val="193"/>
        </w:trPr>
        <w:tc>
          <w:tcPr>
            <w:tcW w:w="428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6"/>
                <w:szCs w:val="16"/>
                <w:b w:val="1"/>
                <w:bCs w:val="1"/>
                <w:color w:val="FFFFFF"/>
              </w:rPr>
              <w:t>(Units)</w:t>
            </w:r>
          </w:p>
        </w:tc>
        <w:tc>
          <w:tcPr>
            <w:tcW w:w="800" w:type="dxa"/>
            <w:vAlign w:val="bottom"/>
            <w:tcBorders>
              <w:bottom w:val="single" w:sz="8" w:color="auto"/>
            </w:tcBorders>
            <w:shd w:val="clear" w:color="auto" w:fill="33CCCC"/>
          </w:tcPr>
          <w:p>
            <w:pPr>
              <w:ind w:left="140"/>
              <w:spacing w:after="0"/>
              <w:rPr>
                <w:sz w:val="20"/>
                <w:szCs w:val="20"/>
                <w:color w:val="auto"/>
              </w:rPr>
            </w:pPr>
            <w:r>
              <w:rPr>
                <w:rFonts w:ascii="Arial" w:cs="Arial" w:eastAsia="Arial" w:hAnsi="Arial"/>
                <w:sz w:val="16"/>
                <w:szCs w:val="16"/>
                <w:b w:val="1"/>
                <w:bCs w:val="1"/>
                <w:color w:val="FFFFFF"/>
              </w:rPr>
              <w:t>Sep 24</w:t>
            </w:r>
          </w:p>
        </w:tc>
        <w:tc>
          <w:tcPr>
            <w:tcW w:w="8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8"/>
              </w:rPr>
              <w:t>Jun 25</w:t>
            </w:r>
          </w:p>
        </w:tc>
        <w:tc>
          <w:tcPr>
            <w:tcW w:w="860" w:type="dxa"/>
            <w:vAlign w:val="bottom"/>
            <w:tcBorders>
              <w:bottom w:val="single" w:sz="8" w:color="auto"/>
              <w:right w:val="single" w:sz="8" w:color="auto"/>
            </w:tcBorders>
            <w:shd w:val="clear" w:color="auto" w:fill="33CCCC"/>
          </w:tcPr>
          <w:p>
            <w:pPr>
              <w:ind w:left="180"/>
              <w:spacing w:after="0"/>
              <w:rPr>
                <w:sz w:val="20"/>
                <w:szCs w:val="20"/>
                <w:color w:val="auto"/>
              </w:rPr>
            </w:pPr>
            <w:r>
              <w:rPr>
                <w:rFonts w:ascii="Arial" w:cs="Arial" w:eastAsia="Arial" w:hAnsi="Arial"/>
                <w:sz w:val="16"/>
                <w:szCs w:val="16"/>
                <w:b w:val="1"/>
                <w:bCs w:val="1"/>
                <w:color w:val="FFFFFF"/>
              </w:rPr>
              <w:t>Sep 25</w:t>
            </w:r>
          </w:p>
        </w:tc>
        <w:tc>
          <w:tcPr>
            <w:tcW w:w="760" w:type="dxa"/>
            <w:vAlign w:val="bottom"/>
            <w:tcBorders>
              <w:bottom w:val="single" w:sz="8" w:color="auto"/>
            </w:tcBorders>
            <w:shd w:val="clear" w:color="auto" w:fill="33CCCC"/>
          </w:tcPr>
          <w:p>
            <w:pPr>
              <w:ind w:left="200"/>
              <w:spacing w:after="0"/>
              <w:rPr>
                <w:sz w:val="20"/>
                <w:szCs w:val="20"/>
                <w:color w:val="auto"/>
              </w:rPr>
            </w:pPr>
            <w:r>
              <w:rPr>
                <w:rFonts w:ascii="Arial" w:cs="Arial" w:eastAsia="Arial" w:hAnsi="Arial"/>
                <w:sz w:val="16"/>
                <w:szCs w:val="16"/>
                <w:b w:val="1"/>
                <w:bCs w:val="1"/>
                <w:color w:val="FFFFFF"/>
              </w:rPr>
              <w:t>QoQ</w:t>
            </w:r>
          </w:p>
        </w:tc>
        <w:tc>
          <w:tcPr>
            <w:tcW w:w="840" w:type="dxa"/>
            <w:vAlign w:val="bottom"/>
            <w:tcBorders>
              <w:bottom w:val="single" w:sz="8" w:color="auto"/>
              <w:right w:val="single" w:sz="8" w:color="auto"/>
            </w:tcBorders>
            <w:shd w:val="clear" w:color="auto" w:fill="33CCCC"/>
          </w:tcPr>
          <w:p>
            <w:pPr>
              <w:ind w:left="240"/>
              <w:spacing w:after="0"/>
              <w:rPr>
                <w:sz w:val="20"/>
                <w:szCs w:val="20"/>
                <w:color w:val="auto"/>
              </w:rPr>
            </w:pPr>
            <w:r>
              <w:rPr>
                <w:rFonts w:ascii="Arial" w:cs="Arial" w:eastAsia="Arial" w:hAnsi="Arial"/>
                <w:sz w:val="16"/>
                <w:szCs w:val="16"/>
                <w:b w:val="1"/>
                <w:bCs w:val="1"/>
                <w:color w:val="FFFFFF"/>
              </w:rPr>
              <w:t>YoY</w:t>
            </w:r>
          </w:p>
        </w:tc>
      </w:tr>
      <w:tr>
        <w:trPr>
          <w:trHeight w:val="161"/>
        </w:trPr>
        <w:tc>
          <w:tcPr>
            <w:tcW w:w="4280" w:type="dxa"/>
            <w:vAlign w:val="bottom"/>
            <w:tcBorders>
              <w:left w:val="single" w:sz="8" w:color="auto"/>
              <w:right w:val="single" w:sz="8" w:color="auto"/>
            </w:tcBorders>
          </w:tcPr>
          <w:p>
            <w:pPr>
              <w:spacing w:after="0" w:line="161" w:lineRule="exact"/>
              <w:rPr>
                <w:sz w:val="20"/>
                <w:szCs w:val="20"/>
                <w:color w:val="auto"/>
              </w:rPr>
            </w:pPr>
            <w:r>
              <w:rPr>
                <w:rFonts w:ascii="Arial" w:cs="Arial" w:eastAsia="Arial" w:hAnsi="Arial"/>
                <w:sz w:val="12"/>
                <w:szCs w:val="12"/>
                <w:color w:val="auto"/>
              </w:rPr>
              <w:t xml:space="preserve">Branches </w:t>
            </w:r>
            <w:r>
              <w:rPr>
                <w:rFonts w:ascii="Arial" w:cs="Arial" w:eastAsia="Arial" w:hAnsi="Arial"/>
                <w:sz w:val="18"/>
                <w:szCs w:val="18"/>
                <w:color w:val="auto"/>
                <w:vertAlign w:val="superscript"/>
              </w:rPr>
              <w:t>(2)</w:t>
            </w:r>
          </w:p>
        </w:tc>
        <w:tc>
          <w:tcPr>
            <w:tcW w:w="800" w:type="dxa"/>
            <w:vAlign w:val="bottom"/>
          </w:tcPr>
          <w:p>
            <w:pPr>
              <w:jc w:val="center"/>
              <w:spacing w:after="0" w:line="161" w:lineRule="exact"/>
              <w:rPr>
                <w:sz w:val="20"/>
                <w:szCs w:val="20"/>
                <w:color w:val="auto"/>
              </w:rPr>
            </w:pPr>
            <w:r>
              <w:rPr>
                <w:rFonts w:ascii="Arial" w:cs="Arial" w:eastAsia="Arial" w:hAnsi="Arial"/>
                <w:sz w:val="16"/>
                <w:szCs w:val="16"/>
                <w:color w:val="auto"/>
                <w:w w:val="97"/>
              </w:rPr>
              <w:t>319</w:t>
            </w:r>
          </w:p>
        </w:tc>
        <w:tc>
          <w:tcPr>
            <w:tcW w:w="820" w:type="dxa"/>
            <w:vAlign w:val="bottom"/>
          </w:tcPr>
          <w:p>
            <w:pPr>
              <w:jc w:val="center"/>
              <w:spacing w:after="0" w:line="161" w:lineRule="exact"/>
              <w:rPr>
                <w:sz w:val="20"/>
                <w:szCs w:val="20"/>
                <w:color w:val="auto"/>
              </w:rPr>
            </w:pPr>
            <w:r>
              <w:rPr>
                <w:rFonts w:ascii="Arial" w:cs="Arial" w:eastAsia="Arial" w:hAnsi="Arial"/>
                <w:sz w:val="16"/>
                <w:szCs w:val="16"/>
                <w:color w:val="auto"/>
                <w:w w:val="97"/>
              </w:rPr>
              <w:t>319</w:t>
            </w:r>
          </w:p>
        </w:tc>
        <w:tc>
          <w:tcPr>
            <w:tcW w:w="8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6"/>
                <w:szCs w:val="16"/>
                <w:color w:val="auto"/>
                <w:w w:val="89"/>
              </w:rPr>
              <w:t>318</w:t>
            </w:r>
          </w:p>
        </w:tc>
        <w:tc>
          <w:tcPr>
            <w:tcW w:w="760" w:type="dxa"/>
            <w:vAlign w:val="bottom"/>
          </w:tcPr>
          <w:p>
            <w:pPr>
              <w:jc w:val="center"/>
              <w:spacing w:after="0" w:line="161" w:lineRule="exact"/>
              <w:rPr>
                <w:sz w:val="20"/>
                <w:szCs w:val="20"/>
                <w:color w:val="auto"/>
              </w:rPr>
            </w:pPr>
            <w:r>
              <w:rPr>
                <w:rFonts w:ascii="Arial" w:cs="Arial" w:eastAsia="Arial" w:hAnsi="Arial"/>
                <w:sz w:val="16"/>
                <w:szCs w:val="16"/>
                <w:color w:val="auto"/>
              </w:rPr>
              <w:t>(1)</w:t>
            </w:r>
          </w:p>
        </w:tc>
        <w:tc>
          <w:tcPr>
            <w:tcW w:w="84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6"/>
                <w:szCs w:val="16"/>
                <w:color w:val="auto"/>
                <w:w w:val="91"/>
              </w:rPr>
              <w:t>(1)</w:t>
            </w:r>
          </w:p>
        </w:tc>
      </w:tr>
      <w:tr>
        <w:trPr>
          <w:trHeight w:val="180"/>
        </w:trPr>
        <w:tc>
          <w:tcPr>
            <w:tcW w:w="4280" w:type="dxa"/>
            <w:vAlign w:val="bottom"/>
            <w:tcBorders>
              <w:left w:val="single" w:sz="8" w:color="auto"/>
              <w:right w:val="single" w:sz="8" w:color="auto"/>
            </w:tcBorders>
          </w:tcPr>
          <w:p>
            <w:pPr>
              <w:spacing w:after="0" w:line="180" w:lineRule="exact"/>
              <w:rPr>
                <w:sz w:val="20"/>
                <w:szCs w:val="20"/>
                <w:color w:val="auto"/>
              </w:rPr>
            </w:pPr>
            <w:r>
              <w:rPr>
                <w:rFonts w:ascii="Arial" w:cs="Arial" w:eastAsia="Arial" w:hAnsi="Arial"/>
                <w:sz w:val="16"/>
                <w:szCs w:val="16"/>
                <w:color w:val="auto"/>
              </w:rPr>
              <w:t>ATMs</w:t>
            </w:r>
          </w:p>
        </w:tc>
        <w:tc>
          <w:tcPr>
            <w:tcW w:w="800" w:type="dxa"/>
            <w:vAlign w:val="bottom"/>
          </w:tcPr>
          <w:p>
            <w:pPr>
              <w:jc w:val="center"/>
              <w:spacing w:after="0" w:line="180" w:lineRule="exact"/>
              <w:rPr>
                <w:sz w:val="20"/>
                <w:szCs w:val="20"/>
                <w:color w:val="auto"/>
              </w:rPr>
            </w:pPr>
            <w:r>
              <w:rPr>
                <w:rFonts w:ascii="Arial" w:cs="Arial" w:eastAsia="Arial" w:hAnsi="Arial"/>
                <w:sz w:val="16"/>
                <w:szCs w:val="16"/>
                <w:color w:val="auto"/>
                <w:w w:val="94"/>
              </w:rPr>
              <w:t>2,451</w:t>
            </w:r>
          </w:p>
        </w:tc>
        <w:tc>
          <w:tcPr>
            <w:tcW w:w="820" w:type="dxa"/>
            <w:vAlign w:val="bottom"/>
          </w:tcPr>
          <w:p>
            <w:pPr>
              <w:jc w:val="center"/>
              <w:spacing w:after="0" w:line="180" w:lineRule="exact"/>
              <w:rPr>
                <w:sz w:val="20"/>
                <w:szCs w:val="20"/>
                <w:color w:val="auto"/>
              </w:rPr>
            </w:pPr>
            <w:r>
              <w:rPr>
                <w:rFonts w:ascii="Arial" w:cs="Arial" w:eastAsia="Arial" w:hAnsi="Arial"/>
                <w:sz w:val="16"/>
                <w:szCs w:val="16"/>
                <w:color w:val="auto"/>
                <w:w w:val="99"/>
              </w:rPr>
              <w:t>2,449</w:t>
            </w:r>
          </w:p>
        </w:tc>
        <w:tc>
          <w:tcPr>
            <w:tcW w:w="8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4"/>
              </w:rPr>
              <w:t>2,410</w:t>
            </w:r>
          </w:p>
        </w:tc>
        <w:tc>
          <w:tcPr>
            <w:tcW w:w="760" w:type="dxa"/>
            <w:vAlign w:val="bottom"/>
          </w:tcPr>
          <w:p>
            <w:pPr>
              <w:jc w:val="center"/>
              <w:spacing w:after="0" w:line="180" w:lineRule="exact"/>
              <w:rPr>
                <w:sz w:val="20"/>
                <w:szCs w:val="20"/>
                <w:color w:val="auto"/>
              </w:rPr>
            </w:pPr>
            <w:r>
              <w:rPr>
                <w:rFonts w:ascii="Arial" w:cs="Arial" w:eastAsia="Arial" w:hAnsi="Arial"/>
                <w:sz w:val="16"/>
                <w:szCs w:val="16"/>
                <w:color w:val="auto"/>
                <w:w w:val="98"/>
              </w:rPr>
              <w:t>(39)</w:t>
            </w:r>
          </w:p>
        </w:tc>
        <w:tc>
          <w:tcPr>
            <w:tcW w:w="8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8"/>
              </w:rPr>
              <w:t>(41)</w:t>
            </w:r>
          </w:p>
        </w:tc>
      </w:tr>
      <w:tr>
        <w:trPr>
          <w:trHeight w:val="191"/>
        </w:trPr>
        <w:tc>
          <w:tcPr>
            <w:tcW w:w="42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Agents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10,112</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10,330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10,417</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87</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305</w:t>
            </w:r>
          </w:p>
        </w:tc>
      </w:tr>
      <w:tr>
        <w:trPr>
          <w:trHeight w:val="172"/>
        </w:trPr>
        <w:tc>
          <w:tcPr>
            <w:tcW w:w="4280" w:type="dxa"/>
            <w:vAlign w:val="bottom"/>
            <w:tcBorders>
              <w:left w:val="single" w:sz="8" w:color="auto"/>
              <w:bottom w:val="single" w:sz="8" w:color="auto"/>
              <w:right w:val="single" w:sz="8" w:color="auto"/>
            </w:tcBorders>
          </w:tcPr>
          <w:p>
            <w:pPr>
              <w:spacing w:after="0" w:line="172" w:lineRule="exact"/>
              <w:rPr>
                <w:sz w:val="20"/>
                <w:szCs w:val="20"/>
                <w:color w:val="auto"/>
              </w:rPr>
            </w:pPr>
            <w:r>
              <w:rPr>
                <w:rFonts w:ascii="Arial" w:cs="Arial" w:eastAsia="Arial" w:hAnsi="Arial"/>
                <w:sz w:val="16"/>
                <w:szCs w:val="16"/>
                <w:b w:val="1"/>
                <w:bCs w:val="1"/>
                <w:color w:val="auto"/>
              </w:rPr>
              <w:t>Total</w:t>
            </w:r>
          </w:p>
        </w:tc>
        <w:tc>
          <w:tcPr>
            <w:tcW w:w="8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3"/>
              </w:rPr>
              <w:t>12,882</w:t>
            </w:r>
          </w:p>
        </w:tc>
        <w:tc>
          <w:tcPr>
            <w:tcW w:w="82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3"/>
              </w:rPr>
              <w:t>13,098</w:t>
            </w:r>
          </w:p>
        </w:tc>
        <w:tc>
          <w:tcPr>
            <w:tcW w:w="86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8"/>
              </w:rPr>
              <w:t>13,145</w:t>
            </w:r>
          </w:p>
        </w:tc>
        <w:tc>
          <w:tcPr>
            <w:tcW w:w="7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89"/>
              </w:rPr>
              <w:t>47</w:t>
            </w:r>
          </w:p>
        </w:tc>
        <w:tc>
          <w:tcPr>
            <w:tcW w:w="84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7"/>
              </w:rPr>
              <w:t>263</w:t>
            </w:r>
          </w:p>
        </w:tc>
      </w:tr>
    </w:tbl>
    <w:p>
      <w:pPr>
        <w:spacing w:after="0" w:line="180" w:lineRule="exact"/>
        <w:rPr>
          <w:sz w:val="20"/>
          <w:szCs w:val="20"/>
          <w:color w:val="auto"/>
        </w:rPr>
      </w:pPr>
    </w:p>
    <w:p>
      <w:pPr>
        <w:ind w:left="1920" w:hanging="185"/>
        <w:spacing w:after="0"/>
        <w:tabs>
          <w:tab w:leader="none" w:pos="19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Includes Physical Point of Contact of BCP Stand-Alone, Mibanco and BCP Bolivia</w:t>
      </w:r>
    </w:p>
    <w:p>
      <w:pPr>
        <w:spacing w:after="0" w:line="41" w:lineRule="exact"/>
        <w:rPr>
          <w:rFonts w:ascii="Arial" w:cs="Arial" w:eastAsia="Arial" w:hAnsi="Arial"/>
          <w:sz w:val="11"/>
          <w:szCs w:val="11"/>
          <w:color w:val="auto"/>
        </w:rPr>
      </w:pPr>
    </w:p>
    <w:p>
      <w:pPr>
        <w:ind w:left="1920" w:hanging="185"/>
        <w:spacing w:after="0"/>
        <w:tabs>
          <w:tab w:leader="none" w:pos="19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Includes Banco de la Nacion branches, which in September 24 were 36, in June were 36 and in September 25 were 36</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 Regulatory Capital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 Capital and Capital Adequacy Ratios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(IFRS)</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4840" w:type="dxa"/>
            <w:vAlign w:val="bottom"/>
            <w:tcBorders>
              <w:top w:val="single" w:sz="8" w:color="auto"/>
              <w:left w:val="single" w:sz="8" w:color="auto"/>
              <w:right w:val="single" w:sz="8" w:color="auto"/>
            </w:tcBorders>
            <w:shd w:val="clear" w:color="auto" w:fill="33CCCC"/>
          </w:tcPr>
          <w:p>
            <w:pPr>
              <w:ind w:left="20"/>
              <w:spacing w:after="0" w:line="148" w:lineRule="exact"/>
              <w:rPr>
                <w:sz w:val="20"/>
                <w:szCs w:val="20"/>
                <w:color w:val="auto"/>
              </w:rPr>
            </w:pPr>
            <w:r>
              <w:rPr>
                <w:rFonts w:ascii="Arial" w:cs="Arial" w:eastAsia="Arial" w:hAnsi="Arial"/>
                <w:sz w:val="13"/>
                <w:szCs w:val="13"/>
                <w:b w:val="1"/>
                <w:bCs w:val="1"/>
                <w:color w:val="FFFFFF"/>
              </w:rPr>
              <w:t>Regulatory Capital and Capital Adequacy Ratios</w:t>
            </w:r>
          </w:p>
        </w:tc>
        <w:tc>
          <w:tcPr>
            <w:tcW w:w="1240" w:type="dxa"/>
            <w:vAlign w:val="bottom"/>
            <w:tcBorders>
              <w:top w:val="single" w:sz="8" w:color="auto"/>
            </w:tcBorders>
            <w:shd w:val="clear" w:color="auto" w:fill="33CCCC"/>
          </w:tcPr>
          <w:p>
            <w:pPr>
              <w:spacing w:after="0"/>
              <w:rPr>
                <w:sz w:val="12"/>
                <w:szCs w:val="12"/>
                <w:color w:val="auto"/>
              </w:rPr>
            </w:pPr>
          </w:p>
        </w:tc>
        <w:tc>
          <w:tcPr>
            <w:tcW w:w="1240" w:type="dxa"/>
            <w:vAlign w:val="bottom"/>
            <w:tcBorders>
              <w:top w:val="single" w:sz="8" w:color="auto"/>
            </w:tcBorders>
            <w:shd w:val="clear" w:color="auto" w:fill="33CCCC"/>
          </w:tcPr>
          <w:p>
            <w:pPr>
              <w:jc w:val="center"/>
              <w:spacing w:after="0" w:line="148" w:lineRule="exact"/>
              <w:rPr>
                <w:sz w:val="20"/>
                <w:szCs w:val="20"/>
                <w:color w:val="auto"/>
              </w:rPr>
            </w:pPr>
            <w:r>
              <w:rPr>
                <w:rFonts w:ascii="Arial" w:cs="Arial" w:eastAsia="Arial" w:hAnsi="Arial"/>
                <w:sz w:val="13"/>
                <w:szCs w:val="13"/>
                <w:b w:val="1"/>
                <w:bCs w:val="1"/>
                <w:color w:val="FFFFFF"/>
              </w:rPr>
              <w:t>As of</w:t>
            </w:r>
          </w:p>
        </w:tc>
        <w:tc>
          <w:tcPr>
            <w:tcW w:w="1280" w:type="dxa"/>
            <w:vAlign w:val="bottom"/>
            <w:tcBorders>
              <w:top w:val="single" w:sz="8" w:color="auto"/>
              <w:right w:val="single" w:sz="8" w:color="auto"/>
            </w:tcBorders>
            <w:shd w:val="clear" w:color="auto" w:fill="33CCCC"/>
          </w:tcPr>
          <w:p>
            <w:pPr>
              <w:spacing w:after="0"/>
              <w:rPr>
                <w:sz w:val="12"/>
                <w:szCs w:val="12"/>
                <w:color w:val="auto"/>
              </w:rPr>
            </w:pPr>
          </w:p>
        </w:tc>
        <w:tc>
          <w:tcPr>
            <w:tcW w:w="1860" w:type="dxa"/>
            <w:vAlign w:val="bottom"/>
            <w:tcBorders>
              <w:top w:val="single" w:sz="8" w:color="auto"/>
              <w:right w:val="single" w:sz="8" w:color="auto"/>
            </w:tcBorders>
            <w:gridSpan w:val="2"/>
            <w:shd w:val="clear" w:color="auto" w:fill="33CCCC"/>
          </w:tcPr>
          <w:p>
            <w:pPr>
              <w:ind w:left="600"/>
              <w:spacing w:after="0" w:line="148" w:lineRule="exact"/>
              <w:rPr>
                <w:sz w:val="20"/>
                <w:szCs w:val="20"/>
                <w:color w:val="auto"/>
              </w:rPr>
            </w:pPr>
            <w:r>
              <w:rPr>
                <w:rFonts w:ascii="Arial" w:cs="Arial" w:eastAsia="Arial" w:hAnsi="Arial"/>
                <w:sz w:val="13"/>
                <w:szCs w:val="13"/>
                <w:b w:val="1"/>
                <w:bCs w:val="1"/>
                <w:color w:val="FFFFFF"/>
              </w:rPr>
              <w:t>Change %</w:t>
            </w:r>
          </w:p>
        </w:tc>
      </w:tr>
      <w:tr>
        <w:trPr>
          <w:trHeight w:val="156"/>
        </w:trPr>
        <w:tc>
          <w:tcPr>
            <w:tcW w:w="484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3"/>
                <w:szCs w:val="13"/>
                <w:b w:val="1"/>
                <w:bCs w:val="1"/>
                <w:color w:val="FFFFFF"/>
              </w:rPr>
              <w:t>S/000</w:t>
            </w:r>
          </w:p>
        </w:tc>
        <w:tc>
          <w:tcPr>
            <w:tcW w:w="1240" w:type="dxa"/>
            <w:vAlign w:val="bottom"/>
            <w:tcBorders>
              <w:bottom w:val="single" w:sz="8" w:color="auto"/>
            </w:tcBorders>
            <w:shd w:val="clear" w:color="auto" w:fill="33CCCC"/>
          </w:tcPr>
          <w:p>
            <w:pPr>
              <w:ind w:left="400"/>
              <w:spacing w:after="0"/>
              <w:rPr>
                <w:sz w:val="20"/>
                <w:szCs w:val="20"/>
                <w:color w:val="auto"/>
              </w:rPr>
            </w:pPr>
            <w:r>
              <w:rPr>
                <w:rFonts w:ascii="Arial" w:cs="Arial" w:eastAsia="Arial" w:hAnsi="Arial"/>
                <w:sz w:val="13"/>
                <w:szCs w:val="13"/>
                <w:b w:val="1"/>
                <w:bCs w:val="1"/>
                <w:color w:val="FFFFFF"/>
              </w:rPr>
              <w:t>Sep 24</w:t>
            </w:r>
          </w:p>
        </w:tc>
        <w:tc>
          <w:tcPr>
            <w:tcW w:w="12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Jun 25</w:t>
            </w:r>
          </w:p>
        </w:tc>
        <w:tc>
          <w:tcPr>
            <w:tcW w:w="1280" w:type="dxa"/>
            <w:vAlign w:val="bottom"/>
            <w:tcBorders>
              <w:bottom w:val="single" w:sz="8" w:color="auto"/>
              <w:right w:val="single" w:sz="8" w:color="auto"/>
            </w:tcBorders>
            <w:shd w:val="clear" w:color="auto" w:fill="33CCCC"/>
          </w:tcPr>
          <w:p>
            <w:pPr>
              <w:ind w:left="420"/>
              <w:spacing w:after="0"/>
              <w:rPr>
                <w:sz w:val="20"/>
                <w:szCs w:val="20"/>
                <w:color w:val="auto"/>
              </w:rPr>
            </w:pPr>
            <w:r>
              <w:rPr>
                <w:rFonts w:ascii="Arial" w:cs="Arial" w:eastAsia="Arial" w:hAnsi="Arial"/>
                <w:sz w:val="13"/>
                <w:szCs w:val="13"/>
                <w:b w:val="1"/>
                <w:bCs w:val="1"/>
                <w:color w:val="FFFFFF"/>
              </w:rPr>
              <w:t>Sep 25</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QoQ</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YoY</w:t>
            </w:r>
          </w:p>
        </w:tc>
      </w:tr>
      <w:tr>
        <w:trPr>
          <w:trHeight w:val="137"/>
        </w:trPr>
        <w:tc>
          <w:tcPr>
            <w:tcW w:w="4840" w:type="dxa"/>
            <w:vAlign w:val="bottom"/>
            <w:tcBorders>
              <w:left w:val="single" w:sz="8" w:color="auto"/>
              <w:right w:val="single" w:sz="8" w:color="auto"/>
            </w:tcBorders>
          </w:tcPr>
          <w:p>
            <w:pPr>
              <w:ind w:left="160"/>
              <w:spacing w:after="0" w:line="137" w:lineRule="exact"/>
              <w:rPr>
                <w:sz w:val="20"/>
                <w:szCs w:val="20"/>
                <w:color w:val="auto"/>
              </w:rPr>
            </w:pPr>
            <w:r>
              <w:rPr>
                <w:rFonts w:ascii="Arial" w:cs="Arial" w:eastAsia="Arial" w:hAnsi="Arial"/>
                <w:sz w:val="13"/>
                <w:szCs w:val="13"/>
                <w:color w:val="auto"/>
              </w:rPr>
              <w:t>Capital Stock</w:t>
            </w:r>
          </w:p>
        </w:tc>
        <w:tc>
          <w:tcPr>
            <w:tcW w:w="1240" w:type="dxa"/>
            <w:vAlign w:val="bottom"/>
          </w:tcPr>
          <w:p>
            <w:pPr>
              <w:jc w:val="center"/>
              <w:spacing w:after="0" w:line="137" w:lineRule="exact"/>
              <w:rPr>
                <w:sz w:val="20"/>
                <w:szCs w:val="20"/>
                <w:color w:val="auto"/>
              </w:rPr>
            </w:pPr>
            <w:r>
              <w:rPr>
                <w:rFonts w:ascii="Arial" w:cs="Arial" w:eastAsia="Arial" w:hAnsi="Arial"/>
                <w:sz w:val="13"/>
                <w:szCs w:val="13"/>
                <w:color w:val="auto"/>
              </w:rPr>
              <w:t>1,318,993</w:t>
            </w:r>
          </w:p>
        </w:tc>
        <w:tc>
          <w:tcPr>
            <w:tcW w:w="1240" w:type="dxa"/>
            <w:vAlign w:val="bottom"/>
          </w:tcPr>
          <w:p>
            <w:pPr>
              <w:jc w:val="center"/>
              <w:spacing w:after="0" w:line="137" w:lineRule="exact"/>
              <w:rPr>
                <w:sz w:val="20"/>
                <w:szCs w:val="20"/>
                <w:color w:val="auto"/>
              </w:rPr>
            </w:pPr>
            <w:r>
              <w:rPr>
                <w:rFonts w:ascii="Arial" w:cs="Arial" w:eastAsia="Arial" w:hAnsi="Arial"/>
                <w:sz w:val="13"/>
                <w:szCs w:val="13"/>
                <w:color w:val="auto"/>
              </w:rPr>
              <w:t>1,318,993</w:t>
            </w:r>
          </w:p>
        </w:tc>
        <w:tc>
          <w:tcPr>
            <w:tcW w:w="12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rPr>
              <w:t>1,318,993</w:t>
            </w:r>
          </w:p>
        </w:tc>
        <w:tc>
          <w:tcPr>
            <w:tcW w:w="900" w:type="dxa"/>
            <w:vAlign w:val="bottom"/>
          </w:tcPr>
          <w:p>
            <w:pPr>
              <w:jc w:val="center"/>
              <w:spacing w:after="0" w:line="137" w:lineRule="exact"/>
              <w:rPr>
                <w:sz w:val="20"/>
                <w:szCs w:val="20"/>
                <w:color w:val="auto"/>
              </w:rPr>
            </w:pPr>
            <w:r>
              <w:rPr>
                <w:rFonts w:ascii="Arial" w:cs="Arial" w:eastAsia="Arial" w:hAnsi="Arial"/>
                <w:sz w:val="13"/>
                <w:szCs w:val="13"/>
                <w:color w:val="auto"/>
              </w:rPr>
              <w:t>-</w:t>
            </w:r>
          </w:p>
        </w:tc>
        <w:tc>
          <w:tcPr>
            <w:tcW w:w="9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w w:val="91"/>
              </w:rPr>
              <w:t>-</w:t>
            </w:r>
          </w:p>
        </w:tc>
      </w:tr>
      <w:tr>
        <w:trPr>
          <w:trHeight w:val="156"/>
        </w:trPr>
        <w:tc>
          <w:tcPr>
            <w:tcW w:w="4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Treasury Stocks</w:t>
            </w:r>
          </w:p>
        </w:tc>
        <w:tc>
          <w:tcPr>
            <w:tcW w:w="1240" w:type="dxa"/>
            <w:vAlign w:val="bottom"/>
          </w:tcPr>
          <w:p>
            <w:pPr>
              <w:jc w:val="center"/>
              <w:spacing w:after="0"/>
              <w:rPr>
                <w:sz w:val="20"/>
                <w:szCs w:val="20"/>
                <w:color w:val="auto"/>
              </w:rPr>
            </w:pPr>
            <w:r>
              <w:rPr>
                <w:rFonts w:ascii="Arial" w:cs="Arial" w:eastAsia="Arial" w:hAnsi="Arial"/>
                <w:sz w:val="13"/>
                <w:szCs w:val="13"/>
                <w:color w:val="auto"/>
              </w:rPr>
              <w:t>(208,901)</w:t>
            </w:r>
          </w:p>
        </w:tc>
        <w:tc>
          <w:tcPr>
            <w:tcW w:w="1240" w:type="dxa"/>
            <w:vAlign w:val="bottom"/>
          </w:tcPr>
          <w:p>
            <w:pPr>
              <w:jc w:val="center"/>
              <w:spacing w:after="0"/>
              <w:rPr>
                <w:sz w:val="20"/>
                <w:szCs w:val="20"/>
                <w:color w:val="auto"/>
              </w:rPr>
            </w:pPr>
            <w:r>
              <w:rPr>
                <w:rFonts w:ascii="Arial" w:cs="Arial" w:eastAsia="Arial" w:hAnsi="Arial"/>
                <w:sz w:val="13"/>
                <w:szCs w:val="13"/>
                <w:color w:val="auto"/>
              </w:rPr>
              <w:t>(209,845)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(209,845)</w:t>
            </w:r>
          </w:p>
        </w:tc>
        <w:tc>
          <w:tcPr>
            <w:tcW w:w="900" w:type="dxa"/>
            <w:vAlign w:val="bottom"/>
          </w:tcPr>
          <w:p>
            <w:pPr>
              <w:jc w:val="center"/>
              <w:spacing w:after="0"/>
              <w:rPr>
                <w:sz w:val="20"/>
                <w:szCs w:val="20"/>
                <w:color w:val="auto"/>
              </w:rPr>
            </w:pPr>
            <w:r>
              <w:rPr>
                <w:rFonts w:ascii="Arial" w:cs="Arial" w:eastAsia="Arial" w:hAnsi="Arial"/>
                <w:sz w:val="13"/>
                <w:szCs w:val="13"/>
                <w:color w:val="auto"/>
              </w:rPr>
              <w:t>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0.5%</w:t>
            </w:r>
          </w:p>
        </w:tc>
      </w:tr>
      <w:tr>
        <w:trPr>
          <w:trHeight w:val="156"/>
        </w:trPr>
        <w:tc>
          <w:tcPr>
            <w:tcW w:w="4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Capital Surplus</w:t>
            </w:r>
          </w:p>
        </w:tc>
        <w:tc>
          <w:tcPr>
            <w:tcW w:w="1240" w:type="dxa"/>
            <w:vAlign w:val="bottom"/>
          </w:tcPr>
          <w:p>
            <w:pPr>
              <w:jc w:val="center"/>
              <w:spacing w:after="0"/>
              <w:rPr>
                <w:sz w:val="20"/>
                <w:szCs w:val="20"/>
                <w:color w:val="auto"/>
              </w:rPr>
            </w:pPr>
            <w:r>
              <w:rPr>
                <w:rFonts w:ascii="Arial" w:cs="Arial" w:eastAsia="Arial" w:hAnsi="Arial"/>
                <w:sz w:val="13"/>
                <w:szCs w:val="13"/>
                <w:color w:val="auto"/>
              </w:rPr>
              <w:t>179,027</w:t>
            </w:r>
          </w:p>
        </w:tc>
        <w:tc>
          <w:tcPr>
            <w:tcW w:w="1240" w:type="dxa"/>
            <w:vAlign w:val="bottom"/>
          </w:tcPr>
          <w:p>
            <w:pPr>
              <w:jc w:val="center"/>
              <w:spacing w:after="0"/>
              <w:rPr>
                <w:sz w:val="20"/>
                <w:szCs w:val="20"/>
                <w:color w:val="auto"/>
              </w:rPr>
            </w:pPr>
            <w:r>
              <w:rPr>
                <w:rFonts w:ascii="Arial" w:cs="Arial" w:eastAsia="Arial" w:hAnsi="Arial"/>
                <w:sz w:val="13"/>
                <w:szCs w:val="13"/>
                <w:color w:val="auto"/>
              </w:rPr>
              <w:t>133,387</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139,527</w:t>
            </w:r>
          </w:p>
        </w:tc>
        <w:tc>
          <w:tcPr>
            <w:tcW w:w="900" w:type="dxa"/>
            <w:vAlign w:val="bottom"/>
          </w:tcPr>
          <w:p>
            <w:pPr>
              <w:jc w:val="center"/>
              <w:spacing w:after="0"/>
              <w:rPr>
                <w:sz w:val="20"/>
                <w:szCs w:val="20"/>
                <w:color w:val="auto"/>
              </w:rPr>
            </w:pPr>
            <w:r>
              <w:rPr>
                <w:rFonts w:ascii="Arial" w:cs="Arial" w:eastAsia="Arial" w:hAnsi="Arial"/>
                <w:sz w:val="13"/>
                <w:szCs w:val="13"/>
                <w:color w:val="auto"/>
              </w:rPr>
              <w:t>4.6%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-22.1%</w:t>
            </w:r>
          </w:p>
        </w:tc>
      </w:tr>
      <w:tr>
        <w:trPr>
          <w:trHeight w:val="156"/>
        </w:trPr>
        <w:tc>
          <w:tcPr>
            <w:tcW w:w="4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Legal and Other Capital reserves</w:t>
            </w:r>
          </w:p>
        </w:tc>
        <w:tc>
          <w:tcPr>
            <w:tcW w:w="1240" w:type="dxa"/>
            <w:vAlign w:val="bottom"/>
          </w:tcPr>
          <w:p>
            <w:pPr>
              <w:jc w:val="center"/>
              <w:spacing w:after="0"/>
              <w:rPr>
                <w:sz w:val="20"/>
                <w:szCs w:val="20"/>
                <w:color w:val="auto"/>
              </w:rPr>
            </w:pPr>
            <w:r>
              <w:rPr>
                <w:rFonts w:ascii="Arial" w:cs="Arial" w:eastAsia="Arial" w:hAnsi="Arial"/>
                <w:sz w:val="13"/>
                <w:szCs w:val="13"/>
                <w:color w:val="auto"/>
              </w:rPr>
              <w:t>27,187,346</w:t>
            </w:r>
          </w:p>
        </w:tc>
        <w:tc>
          <w:tcPr>
            <w:tcW w:w="1240" w:type="dxa"/>
            <w:vAlign w:val="bottom"/>
          </w:tcPr>
          <w:p>
            <w:pPr>
              <w:jc w:val="center"/>
              <w:spacing w:after="0"/>
              <w:rPr>
                <w:sz w:val="20"/>
                <w:szCs w:val="20"/>
                <w:color w:val="auto"/>
              </w:rPr>
            </w:pPr>
            <w:r>
              <w:rPr>
                <w:rFonts w:ascii="Arial" w:cs="Arial" w:eastAsia="Arial" w:hAnsi="Arial"/>
                <w:sz w:val="13"/>
                <w:szCs w:val="13"/>
                <w:color w:val="auto"/>
              </w:rPr>
              <w:t>29,602,851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29,628,427</w:t>
            </w:r>
          </w:p>
        </w:tc>
        <w:tc>
          <w:tcPr>
            <w:tcW w:w="900" w:type="dxa"/>
            <w:vAlign w:val="bottom"/>
          </w:tcPr>
          <w:p>
            <w:pPr>
              <w:jc w:val="center"/>
              <w:spacing w:after="0"/>
              <w:rPr>
                <w:sz w:val="20"/>
                <w:szCs w:val="20"/>
                <w:color w:val="auto"/>
              </w:rPr>
            </w:pPr>
            <w:r>
              <w:rPr>
                <w:rFonts w:ascii="Arial" w:cs="Arial" w:eastAsia="Arial" w:hAnsi="Arial"/>
                <w:sz w:val="13"/>
                <w:szCs w:val="13"/>
                <w:color w:val="auto"/>
              </w:rPr>
              <w:t>0.1%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9.0%</w:t>
            </w:r>
          </w:p>
        </w:tc>
      </w:tr>
      <w:tr>
        <w:trPr>
          <w:trHeight w:val="156"/>
        </w:trPr>
        <w:tc>
          <w:tcPr>
            <w:tcW w:w="4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Minority interest</w:t>
            </w:r>
          </w:p>
        </w:tc>
        <w:tc>
          <w:tcPr>
            <w:tcW w:w="1240" w:type="dxa"/>
            <w:vAlign w:val="bottom"/>
          </w:tcPr>
          <w:p>
            <w:pPr>
              <w:jc w:val="center"/>
              <w:spacing w:after="0"/>
              <w:rPr>
                <w:sz w:val="20"/>
                <w:szCs w:val="20"/>
                <w:color w:val="auto"/>
              </w:rPr>
            </w:pPr>
            <w:r>
              <w:rPr>
                <w:rFonts w:ascii="Arial" w:cs="Arial" w:eastAsia="Arial" w:hAnsi="Arial"/>
                <w:sz w:val="13"/>
                <w:szCs w:val="13"/>
                <w:color w:val="auto"/>
              </w:rPr>
              <w:t>479,027</w:t>
            </w:r>
          </w:p>
        </w:tc>
        <w:tc>
          <w:tcPr>
            <w:tcW w:w="1240" w:type="dxa"/>
            <w:vAlign w:val="bottom"/>
          </w:tcPr>
          <w:p>
            <w:pPr>
              <w:jc w:val="center"/>
              <w:spacing w:after="0"/>
              <w:rPr>
                <w:sz w:val="20"/>
                <w:szCs w:val="20"/>
                <w:color w:val="auto"/>
              </w:rPr>
            </w:pPr>
            <w:r>
              <w:rPr>
                <w:rFonts w:ascii="Arial" w:cs="Arial" w:eastAsia="Arial" w:hAnsi="Arial"/>
                <w:sz w:val="13"/>
                <w:szCs w:val="13"/>
                <w:color w:val="auto"/>
              </w:rPr>
              <w:t>474,990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475,729</w:t>
            </w:r>
          </w:p>
        </w:tc>
        <w:tc>
          <w:tcPr>
            <w:tcW w:w="900" w:type="dxa"/>
            <w:vAlign w:val="bottom"/>
          </w:tcPr>
          <w:p>
            <w:pPr>
              <w:jc w:val="center"/>
              <w:spacing w:after="0"/>
              <w:rPr>
                <w:sz w:val="20"/>
                <w:szCs w:val="20"/>
                <w:color w:val="auto"/>
              </w:rPr>
            </w:pPr>
            <w:r>
              <w:rPr>
                <w:rFonts w:ascii="Arial" w:cs="Arial" w:eastAsia="Arial" w:hAnsi="Arial"/>
                <w:sz w:val="13"/>
                <w:szCs w:val="13"/>
                <w:color w:val="auto"/>
              </w:rPr>
              <w:t>0.2%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-0.7%</w:t>
            </w:r>
          </w:p>
        </w:tc>
      </w:tr>
      <w:tr>
        <w:trPr>
          <w:trHeight w:val="156"/>
        </w:trPr>
        <w:tc>
          <w:tcPr>
            <w:tcW w:w="484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2"/>
                <w:szCs w:val="12"/>
                <w:color w:val="auto"/>
              </w:rPr>
              <w:t xml:space="preserve">Current and Accumulated Earnings </w:t>
            </w:r>
            <w:r>
              <w:rPr>
                <w:rFonts w:ascii="Arial" w:cs="Arial" w:eastAsia="Arial" w:hAnsi="Arial"/>
                <w:sz w:val="18"/>
                <w:szCs w:val="18"/>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3"/>
                <w:szCs w:val="13"/>
                <w:color w:val="auto"/>
              </w:rPr>
              <w:t>5,432,237</w:t>
            </w:r>
          </w:p>
        </w:tc>
        <w:tc>
          <w:tcPr>
            <w:tcW w:w="1240" w:type="dxa"/>
            <w:vAlign w:val="bottom"/>
          </w:tcPr>
          <w:p>
            <w:pPr>
              <w:jc w:val="center"/>
              <w:spacing w:after="0"/>
              <w:rPr>
                <w:sz w:val="20"/>
                <w:szCs w:val="20"/>
                <w:color w:val="auto"/>
              </w:rPr>
            </w:pPr>
            <w:r>
              <w:rPr>
                <w:rFonts w:ascii="Arial" w:cs="Arial" w:eastAsia="Arial" w:hAnsi="Arial"/>
                <w:sz w:val="13"/>
                <w:szCs w:val="13"/>
                <w:color w:val="auto"/>
              </w:rPr>
              <w:t>5,123,469</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6,737,239</w:t>
            </w:r>
          </w:p>
        </w:tc>
        <w:tc>
          <w:tcPr>
            <w:tcW w:w="900" w:type="dxa"/>
            <w:vAlign w:val="bottom"/>
          </w:tcPr>
          <w:p>
            <w:pPr>
              <w:jc w:val="center"/>
              <w:spacing w:after="0"/>
              <w:rPr>
                <w:sz w:val="20"/>
                <w:szCs w:val="20"/>
                <w:color w:val="auto"/>
              </w:rPr>
            </w:pPr>
            <w:r>
              <w:rPr>
                <w:rFonts w:ascii="Arial" w:cs="Arial" w:eastAsia="Arial" w:hAnsi="Arial"/>
                <w:sz w:val="13"/>
                <w:szCs w:val="13"/>
                <w:color w:val="auto"/>
              </w:rPr>
              <w:t>31.5%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24.0%</w:t>
            </w:r>
          </w:p>
        </w:tc>
      </w:tr>
      <w:tr>
        <w:trPr>
          <w:trHeight w:val="156"/>
        </w:trPr>
        <w:tc>
          <w:tcPr>
            <w:tcW w:w="4840" w:type="dxa"/>
            <w:vAlign w:val="bottom"/>
            <w:tcBorders>
              <w:left w:val="single" w:sz="8" w:color="auto"/>
              <w:right w:val="single" w:sz="8" w:color="auto"/>
            </w:tcBorders>
          </w:tcPr>
          <w:p>
            <w:pPr>
              <w:ind w:left="160"/>
              <w:spacing w:after="0" w:line="157" w:lineRule="exact"/>
              <w:rPr>
                <w:sz w:val="20"/>
                <w:szCs w:val="20"/>
                <w:color w:val="auto"/>
              </w:rPr>
            </w:pPr>
            <w:r>
              <w:rPr>
                <w:rFonts w:ascii="Arial" w:cs="Arial" w:eastAsia="Arial" w:hAnsi="Arial"/>
                <w:sz w:val="12"/>
                <w:szCs w:val="12"/>
                <w:color w:val="auto"/>
              </w:rPr>
              <w:t xml:space="preserve">Unrealized Gains or Losses </w:t>
            </w:r>
            <w:r>
              <w:rPr>
                <w:rFonts w:ascii="Arial" w:cs="Arial" w:eastAsia="Arial" w:hAnsi="Arial"/>
                <w:sz w:val="18"/>
                <w:szCs w:val="18"/>
                <w:color w:val="auto"/>
                <w:vertAlign w:val="superscript"/>
              </w:rPr>
              <w:t>(2)</w:t>
            </w:r>
          </w:p>
        </w:tc>
        <w:tc>
          <w:tcPr>
            <w:tcW w:w="1240" w:type="dxa"/>
            <w:vAlign w:val="bottom"/>
          </w:tcPr>
          <w:p>
            <w:pPr>
              <w:jc w:val="center"/>
              <w:spacing w:after="0"/>
              <w:rPr>
                <w:sz w:val="20"/>
                <w:szCs w:val="20"/>
                <w:color w:val="auto"/>
              </w:rPr>
            </w:pPr>
            <w:r>
              <w:rPr>
                <w:rFonts w:ascii="Arial" w:cs="Arial" w:eastAsia="Arial" w:hAnsi="Arial"/>
                <w:sz w:val="13"/>
                <w:szCs w:val="13"/>
                <w:color w:val="auto"/>
              </w:rPr>
              <w:t>(227,247)</w:t>
            </w:r>
          </w:p>
        </w:tc>
        <w:tc>
          <w:tcPr>
            <w:tcW w:w="1240" w:type="dxa"/>
            <w:vAlign w:val="bottom"/>
          </w:tcPr>
          <w:p>
            <w:pPr>
              <w:jc w:val="center"/>
              <w:spacing w:after="0"/>
              <w:rPr>
                <w:sz w:val="20"/>
                <w:szCs w:val="20"/>
                <w:color w:val="auto"/>
              </w:rPr>
            </w:pPr>
            <w:r>
              <w:rPr>
                <w:rFonts w:ascii="Arial" w:cs="Arial" w:eastAsia="Arial" w:hAnsi="Arial"/>
                <w:sz w:val="13"/>
                <w:szCs w:val="13"/>
                <w:color w:val="auto"/>
              </w:rPr>
              <w:t>(246,716)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392,256</w:t>
            </w:r>
          </w:p>
        </w:tc>
        <w:tc>
          <w:tcPr>
            <w:tcW w:w="900" w:type="dxa"/>
            <w:vAlign w:val="bottom"/>
          </w:tcPr>
          <w:p>
            <w:pPr>
              <w:jc w:val="center"/>
              <w:spacing w:after="0"/>
              <w:rPr>
                <w:sz w:val="20"/>
                <w:szCs w:val="20"/>
                <w:color w:val="auto"/>
              </w:rPr>
            </w:pPr>
            <w:r>
              <w:rPr>
                <w:rFonts w:ascii="Arial" w:cs="Arial" w:eastAsia="Arial" w:hAnsi="Arial"/>
                <w:sz w:val="13"/>
                <w:szCs w:val="13"/>
                <w:color w:val="auto"/>
              </w:rPr>
              <w:t>-259.0%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-272.6%</w:t>
            </w:r>
          </w:p>
        </w:tc>
      </w:tr>
      <w:tr>
        <w:trPr>
          <w:trHeight w:val="156"/>
        </w:trPr>
        <w:tc>
          <w:tcPr>
            <w:tcW w:w="4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Goodwill</w:t>
            </w:r>
          </w:p>
        </w:tc>
        <w:tc>
          <w:tcPr>
            <w:tcW w:w="1240" w:type="dxa"/>
            <w:vAlign w:val="bottom"/>
          </w:tcPr>
          <w:p>
            <w:pPr>
              <w:jc w:val="center"/>
              <w:spacing w:after="0"/>
              <w:rPr>
                <w:sz w:val="20"/>
                <w:szCs w:val="20"/>
                <w:color w:val="auto"/>
              </w:rPr>
            </w:pPr>
            <w:r>
              <w:rPr>
                <w:rFonts w:ascii="Arial" w:cs="Arial" w:eastAsia="Arial" w:hAnsi="Arial"/>
                <w:sz w:val="13"/>
                <w:szCs w:val="13"/>
                <w:color w:val="auto"/>
              </w:rPr>
              <w:t>(734,431)</w:t>
            </w:r>
          </w:p>
        </w:tc>
        <w:tc>
          <w:tcPr>
            <w:tcW w:w="1240" w:type="dxa"/>
            <w:vAlign w:val="bottom"/>
          </w:tcPr>
          <w:p>
            <w:pPr>
              <w:jc w:val="center"/>
              <w:spacing w:after="0"/>
              <w:rPr>
                <w:sz w:val="20"/>
                <w:szCs w:val="20"/>
                <w:color w:val="auto"/>
              </w:rPr>
            </w:pPr>
            <w:r>
              <w:rPr>
                <w:rFonts w:ascii="Arial" w:cs="Arial" w:eastAsia="Arial" w:hAnsi="Arial"/>
                <w:sz w:val="13"/>
                <w:szCs w:val="13"/>
                <w:color w:val="auto"/>
              </w:rPr>
              <w:t>(1,692,823)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(1,290,496)</w:t>
            </w:r>
          </w:p>
        </w:tc>
        <w:tc>
          <w:tcPr>
            <w:tcW w:w="900" w:type="dxa"/>
            <w:vAlign w:val="bottom"/>
          </w:tcPr>
          <w:p>
            <w:pPr>
              <w:jc w:val="center"/>
              <w:spacing w:after="0"/>
              <w:rPr>
                <w:sz w:val="20"/>
                <w:szCs w:val="20"/>
                <w:color w:val="auto"/>
              </w:rPr>
            </w:pPr>
            <w:r>
              <w:rPr>
                <w:rFonts w:ascii="Arial" w:cs="Arial" w:eastAsia="Arial" w:hAnsi="Arial"/>
                <w:sz w:val="13"/>
                <w:szCs w:val="13"/>
                <w:color w:val="auto"/>
              </w:rPr>
              <w:t>-23.8%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75.7%</w:t>
            </w:r>
          </w:p>
        </w:tc>
      </w:tr>
      <w:tr>
        <w:trPr>
          <w:trHeight w:val="156"/>
        </w:trPr>
        <w:tc>
          <w:tcPr>
            <w:tcW w:w="484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2"/>
                <w:szCs w:val="12"/>
                <w:color w:val="auto"/>
              </w:rPr>
              <w:t xml:space="preserve">Intangible Assets </w:t>
            </w:r>
            <w:r>
              <w:rPr>
                <w:rFonts w:ascii="Arial" w:cs="Arial" w:eastAsia="Arial" w:hAnsi="Arial"/>
                <w:sz w:val="18"/>
                <w:szCs w:val="18"/>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3"/>
                <w:szCs w:val="13"/>
                <w:color w:val="auto"/>
              </w:rPr>
              <w:t>(2,050,646)</w:t>
            </w:r>
          </w:p>
        </w:tc>
        <w:tc>
          <w:tcPr>
            <w:tcW w:w="1240" w:type="dxa"/>
            <w:vAlign w:val="bottom"/>
          </w:tcPr>
          <w:p>
            <w:pPr>
              <w:jc w:val="center"/>
              <w:spacing w:after="0"/>
              <w:rPr>
                <w:sz w:val="20"/>
                <w:szCs w:val="20"/>
                <w:color w:val="auto"/>
              </w:rPr>
            </w:pPr>
            <w:r>
              <w:rPr>
                <w:rFonts w:ascii="Arial" w:cs="Arial" w:eastAsia="Arial" w:hAnsi="Arial"/>
                <w:sz w:val="13"/>
                <w:szCs w:val="13"/>
                <w:color w:val="auto"/>
              </w:rPr>
              <w:t>(2,655,440)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(2,864,488)</w:t>
            </w:r>
          </w:p>
        </w:tc>
        <w:tc>
          <w:tcPr>
            <w:tcW w:w="900" w:type="dxa"/>
            <w:vAlign w:val="bottom"/>
          </w:tcPr>
          <w:p>
            <w:pPr>
              <w:jc w:val="center"/>
              <w:spacing w:after="0"/>
              <w:rPr>
                <w:sz w:val="20"/>
                <w:szCs w:val="20"/>
                <w:color w:val="auto"/>
              </w:rPr>
            </w:pPr>
            <w:r>
              <w:rPr>
                <w:rFonts w:ascii="Arial" w:cs="Arial" w:eastAsia="Arial" w:hAnsi="Arial"/>
                <w:sz w:val="13"/>
                <w:szCs w:val="13"/>
                <w:color w:val="auto"/>
              </w:rPr>
              <w:t>7.9%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39.7%</w:t>
            </w:r>
          </w:p>
        </w:tc>
      </w:tr>
      <w:tr>
        <w:trPr>
          <w:trHeight w:val="156"/>
        </w:trPr>
        <w:tc>
          <w:tcPr>
            <w:tcW w:w="4840" w:type="dxa"/>
            <w:vAlign w:val="bottom"/>
            <w:tcBorders>
              <w:left w:val="single" w:sz="8" w:color="auto"/>
              <w:right w:val="single" w:sz="8" w:color="auto"/>
            </w:tcBorders>
          </w:tcPr>
          <w:p>
            <w:pPr>
              <w:ind w:left="160"/>
              <w:spacing w:after="0" w:line="157" w:lineRule="exact"/>
              <w:rPr>
                <w:sz w:val="20"/>
                <w:szCs w:val="20"/>
                <w:color w:val="auto"/>
              </w:rPr>
            </w:pPr>
            <w:r>
              <w:rPr>
                <w:rFonts w:ascii="Arial" w:cs="Arial" w:eastAsia="Arial" w:hAnsi="Arial"/>
                <w:sz w:val="12"/>
                <w:szCs w:val="12"/>
                <w:color w:val="auto"/>
              </w:rPr>
              <w:t xml:space="preserve">Deductions in Common Equity Tier 1 instruments </w:t>
            </w:r>
            <w:r>
              <w:rPr>
                <w:rFonts w:ascii="Arial" w:cs="Arial" w:eastAsia="Arial" w:hAnsi="Arial"/>
                <w:sz w:val="18"/>
                <w:szCs w:val="18"/>
                <w:color w:val="auto"/>
                <w:vertAlign w:val="superscript"/>
              </w:rPr>
              <w:t>(4)</w:t>
            </w:r>
          </w:p>
        </w:tc>
        <w:tc>
          <w:tcPr>
            <w:tcW w:w="1240" w:type="dxa"/>
            <w:vAlign w:val="bottom"/>
          </w:tcPr>
          <w:p>
            <w:pPr>
              <w:jc w:val="center"/>
              <w:spacing w:after="0"/>
              <w:rPr>
                <w:sz w:val="20"/>
                <w:szCs w:val="20"/>
                <w:color w:val="auto"/>
              </w:rPr>
            </w:pPr>
            <w:r>
              <w:rPr>
                <w:rFonts w:ascii="Arial" w:cs="Arial" w:eastAsia="Arial" w:hAnsi="Arial"/>
                <w:sz w:val="13"/>
                <w:szCs w:val="13"/>
                <w:color w:val="auto"/>
              </w:rPr>
              <w:t>(678,924)</w:t>
            </w:r>
          </w:p>
        </w:tc>
        <w:tc>
          <w:tcPr>
            <w:tcW w:w="1240" w:type="dxa"/>
            <w:vAlign w:val="bottom"/>
          </w:tcPr>
          <w:p>
            <w:pPr>
              <w:jc w:val="center"/>
              <w:spacing w:after="0"/>
              <w:rPr>
                <w:sz w:val="20"/>
                <w:szCs w:val="20"/>
                <w:color w:val="auto"/>
              </w:rPr>
            </w:pPr>
            <w:r>
              <w:rPr>
                <w:rFonts w:ascii="Arial" w:cs="Arial" w:eastAsia="Arial" w:hAnsi="Arial"/>
                <w:sz w:val="13"/>
                <w:szCs w:val="13"/>
                <w:color w:val="auto"/>
                <w:w w:val="99"/>
              </w:rPr>
              <w:t>(73,488)</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(81,609)</w:t>
            </w:r>
          </w:p>
        </w:tc>
        <w:tc>
          <w:tcPr>
            <w:tcW w:w="900" w:type="dxa"/>
            <w:vAlign w:val="bottom"/>
          </w:tcPr>
          <w:p>
            <w:pPr>
              <w:jc w:val="center"/>
              <w:spacing w:after="0"/>
              <w:rPr>
                <w:sz w:val="20"/>
                <w:szCs w:val="20"/>
                <w:color w:val="auto"/>
              </w:rPr>
            </w:pPr>
            <w:r>
              <w:rPr>
                <w:rFonts w:ascii="Arial" w:cs="Arial" w:eastAsia="Arial" w:hAnsi="Arial"/>
                <w:sz w:val="13"/>
                <w:szCs w:val="13"/>
                <w:color w:val="auto"/>
              </w:rPr>
              <w:t>11.1%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-88.0%</w:t>
            </w:r>
          </w:p>
        </w:tc>
      </w:tr>
      <w:tr>
        <w:trPr>
          <w:trHeight w:val="156"/>
        </w:trPr>
        <w:tc>
          <w:tcPr>
            <w:tcW w:w="4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Subordinated Debt</w:t>
            </w:r>
          </w:p>
        </w:tc>
        <w:tc>
          <w:tcPr>
            <w:tcW w:w="1240" w:type="dxa"/>
            <w:vAlign w:val="bottom"/>
          </w:tcPr>
          <w:p>
            <w:pPr>
              <w:jc w:val="center"/>
              <w:spacing w:after="0"/>
              <w:rPr>
                <w:sz w:val="20"/>
                <w:szCs w:val="20"/>
                <w:color w:val="auto"/>
              </w:rPr>
            </w:pPr>
            <w:r>
              <w:rPr>
                <w:rFonts w:ascii="Arial" w:cs="Arial" w:eastAsia="Arial" w:hAnsi="Arial"/>
                <w:sz w:val="13"/>
                <w:szCs w:val="13"/>
                <w:color w:val="auto"/>
              </w:rPr>
              <w:t>7,939,610</w:t>
            </w:r>
          </w:p>
        </w:tc>
        <w:tc>
          <w:tcPr>
            <w:tcW w:w="1240" w:type="dxa"/>
            <w:vAlign w:val="bottom"/>
          </w:tcPr>
          <w:p>
            <w:pPr>
              <w:jc w:val="center"/>
              <w:spacing w:after="0"/>
              <w:rPr>
                <w:sz w:val="20"/>
                <w:szCs w:val="20"/>
                <w:color w:val="auto"/>
              </w:rPr>
            </w:pPr>
            <w:r>
              <w:rPr>
                <w:rFonts w:ascii="Arial" w:cs="Arial" w:eastAsia="Arial" w:hAnsi="Arial"/>
                <w:sz w:val="13"/>
                <w:szCs w:val="13"/>
                <w:color w:val="auto"/>
              </w:rPr>
              <w:t>7,240,645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7,246,406</w:t>
            </w:r>
          </w:p>
        </w:tc>
        <w:tc>
          <w:tcPr>
            <w:tcW w:w="900" w:type="dxa"/>
            <w:vAlign w:val="bottom"/>
          </w:tcPr>
          <w:p>
            <w:pPr>
              <w:jc w:val="center"/>
              <w:spacing w:after="0"/>
              <w:rPr>
                <w:sz w:val="20"/>
                <w:szCs w:val="20"/>
                <w:color w:val="auto"/>
              </w:rPr>
            </w:pPr>
            <w:r>
              <w:rPr>
                <w:rFonts w:ascii="Arial" w:cs="Arial" w:eastAsia="Arial" w:hAnsi="Arial"/>
                <w:sz w:val="13"/>
                <w:szCs w:val="13"/>
                <w:color w:val="auto"/>
              </w:rPr>
              <w:t>0.1%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-8.7%</w:t>
            </w:r>
          </w:p>
        </w:tc>
      </w:tr>
      <w:tr>
        <w:trPr>
          <w:trHeight w:val="156"/>
        </w:trPr>
        <w:tc>
          <w:tcPr>
            <w:tcW w:w="484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2"/>
                <w:szCs w:val="12"/>
                <w:color w:val="auto"/>
              </w:rPr>
              <w:t xml:space="preserve">Loan loss reserves </w:t>
            </w:r>
            <w:r>
              <w:rPr>
                <w:rFonts w:ascii="Arial" w:cs="Arial" w:eastAsia="Arial" w:hAnsi="Arial"/>
                <w:sz w:val="18"/>
                <w:szCs w:val="18"/>
                <w:color w:val="auto"/>
                <w:vertAlign w:val="superscript"/>
              </w:rPr>
              <w:t>(5)</w:t>
            </w:r>
          </w:p>
        </w:tc>
        <w:tc>
          <w:tcPr>
            <w:tcW w:w="1240" w:type="dxa"/>
            <w:vAlign w:val="bottom"/>
          </w:tcPr>
          <w:p>
            <w:pPr>
              <w:jc w:val="center"/>
              <w:spacing w:after="0"/>
              <w:rPr>
                <w:sz w:val="20"/>
                <w:szCs w:val="20"/>
                <w:color w:val="auto"/>
              </w:rPr>
            </w:pPr>
            <w:r>
              <w:rPr>
                <w:rFonts w:ascii="Arial" w:cs="Arial" w:eastAsia="Arial" w:hAnsi="Arial"/>
                <w:sz w:val="13"/>
                <w:szCs w:val="13"/>
                <w:color w:val="auto"/>
              </w:rPr>
              <w:t>1,967,574</w:t>
            </w:r>
          </w:p>
        </w:tc>
        <w:tc>
          <w:tcPr>
            <w:tcW w:w="1240" w:type="dxa"/>
            <w:vAlign w:val="bottom"/>
          </w:tcPr>
          <w:p>
            <w:pPr>
              <w:jc w:val="center"/>
              <w:spacing w:after="0"/>
              <w:rPr>
                <w:sz w:val="20"/>
                <w:szCs w:val="20"/>
                <w:color w:val="auto"/>
              </w:rPr>
            </w:pPr>
            <w:r>
              <w:rPr>
                <w:rFonts w:ascii="Arial" w:cs="Arial" w:eastAsia="Arial" w:hAnsi="Arial"/>
                <w:sz w:val="13"/>
                <w:szCs w:val="13"/>
                <w:color w:val="auto"/>
              </w:rPr>
              <w:t>1,972,667</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2,036,080</w:t>
            </w:r>
          </w:p>
        </w:tc>
        <w:tc>
          <w:tcPr>
            <w:tcW w:w="900" w:type="dxa"/>
            <w:vAlign w:val="bottom"/>
          </w:tcPr>
          <w:p>
            <w:pPr>
              <w:jc w:val="center"/>
              <w:spacing w:after="0"/>
              <w:rPr>
                <w:sz w:val="20"/>
                <w:szCs w:val="20"/>
                <w:color w:val="auto"/>
              </w:rPr>
            </w:pPr>
            <w:r>
              <w:rPr>
                <w:rFonts w:ascii="Arial" w:cs="Arial" w:eastAsia="Arial" w:hAnsi="Arial"/>
                <w:sz w:val="13"/>
                <w:szCs w:val="13"/>
                <w:color w:val="auto"/>
              </w:rPr>
              <w:t>3.2%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w:t>
            </w:r>
          </w:p>
        </w:tc>
      </w:tr>
      <w:tr>
        <w:trPr>
          <w:trHeight w:val="156"/>
        </w:trPr>
        <w:tc>
          <w:tcPr>
            <w:tcW w:w="4840" w:type="dxa"/>
            <w:vAlign w:val="bottom"/>
            <w:tcBorders>
              <w:left w:val="single" w:sz="8" w:color="auto"/>
              <w:right w:val="single" w:sz="8" w:color="auto"/>
            </w:tcBorders>
          </w:tcPr>
          <w:p>
            <w:pPr>
              <w:ind w:left="160"/>
              <w:spacing w:after="0" w:line="157" w:lineRule="exact"/>
              <w:rPr>
                <w:sz w:val="20"/>
                <w:szCs w:val="20"/>
                <w:color w:val="auto"/>
              </w:rPr>
            </w:pPr>
            <w:r>
              <w:rPr>
                <w:rFonts w:ascii="Arial" w:cs="Arial" w:eastAsia="Arial" w:hAnsi="Arial"/>
                <w:sz w:val="12"/>
                <w:szCs w:val="12"/>
                <w:color w:val="auto"/>
              </w:rPr>
              <w:t xml:space="preserve">Deductions in Tier 2 instruments </w:t>
            </w:r>
            <w:r>
              <w:rPr>
                <w:rFonts w:ascii="Arial" w:cs="Arial" w:eastAsia="Arial" w:hAnsi="Arial"/>
                <w:sz w:val="18"/>
                <w:szCs w:val="18"/>
                <w:color w:val="auto"/>
                <w:vertAlign w:val="superscript"/>
              </w:rPr>
              <w:t>(6)</w:t>
            </w:r>
          </w:p>
        </w:tc>
        <w:tc>
          <w:tcPr>
            <w:tcW w:w="1240" w:type="dxa"/>
            <w:vAlign w:val="bottom"/>
          </w:tcPr>
          <w:p>
            <w:pPr>
              <w:jc w:val="center"/>
              <w:spacing w:after="0"/>
              <w:rPr>
                <w:sz w:val="20"/>
                <w:szCs w:val="20"/>
                <w:color w:val="auto"/>
              </w:rPr>
            </w:pPr>
            <w:r>
              <w:rPr>
                <w:rFonts w:ascii="Arial" w:cs="Arial" w:eastAsia="Arial" w:hAnsi="Arial"/>
                <w:sz w:val="13"/>
                <w:szCs w:val="13"/>
                <w:color w:val="auto"/>
              </w:rPr>
              <w:t>(1,525,608)</w:t>
            </w:r>
          </w:p>
        </w:tc>
        <w:tc>
          <w:tcPr>
            <w:tcW w:w="1240" w:type="dxa"/>
            <w:vAlign w:val="bottom"/>
          </w:tcPr>
          <w:p>
            <w:pPr>
              <w:jc w:val="center"/>
              <w:spacing w:after="0"/>
              <w:rPr>
                <w:sz w:val="20"/>
                <w:szCs w:val="20"/>
                <w:color w:val="auto"/>
              </w:rPr>
            </w:pPr>
            <w:r>
              <w:rPr>
                <w:rFonts w:ascii="Arial" w:cs="Arial" w:eastAsia="Arial" w:hAnsi="Arial"/>
                <w:sz w:val="13"/>
                <w:szCs w:val="13"/>
                <w:color w:val="auto"/>
              </w:rPr>
              <w:t>(1,289,380)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(1,438,739)</w:t>
            </w:r>
          </w:p>
        </w:tc>
        <w:tc>
          <w:tcPr>
            <w:tcW w:w="900" w:type="dxa"/>
            <w:vAlign w:val="bottom"/>
          </w:tcPr>
          <w:p>
            <w:pPr>
              <w:jc w:val="center"/>
              <w:spacing w:after="0"/>
              <w:rPr>
                <w:sz w:val="20"/>
                <w:szCs w:val="20"/>
                <w:color w:val="auto"/>
              </w:rPr>
            </w:pPr>
            <w:r>
              <w:rPr>
                <w:rFonts w:ascii="Arial" w:cs="Arial" w:eastAsia="Arial" w:hAnsi="Arial"/>
                <w:sz w:val="13"/>
                <w:szCs w:val="13"/>
                <w:color w:val="auto"/>
              </w:rPr>
              <w:t>11.6%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-5.7%</w:t>
            </w:r>
          </w:p>
        </w:tc>
      </w:tr>
      <w:tr>
        <w:trPr>
          <w:trHeight w:val="168"/>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Regulatory Capital (A)</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39,078,056</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39,699,311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42,089,481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6.0%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7.7%</w:t>
            </w:r>
          </w:p>
        </w:tc>
      </w:tr>
      <w:tr>
        <w:trPr>
          <w:trHeight w:val="148"/>
        </w:trPr>
        <w:tc>
          <w:tcPr>
            <w:tcW w:w="484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Total Regulatory Common Equity Tier 1 Capital (B)</w:t>
            </w: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30,696,480</w:t>
            </w: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31,775,379</w:t>
            </w:r>
          </w:p>
        </w:tc>
        <w:tc>
          <w:tcPr>
            <w:tcW w:w="12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34,245,733</w:t>
            </w:r>
          </w:p>
        </w:tc>
        <w:tc>
          <w:tcPr>
            <w:tcW w:w="9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7.8%</w:t>
            </w:r>
          </w:p>
        </w:tc>
        <w:tc>
          <w:tcPr>
            <w:tcW w:w="96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7"/>
              </w:rPr>
              <w:t>11.6%</w:t>
            </w:r>
          </w:p>
        </w:tc>
      </w:tr>
      <w:tr>
        <w:trPr>
          <w:trHeight w:val="148"/>
        </w:trPr>
        <w:tc>
          <w:tcPr>
            <w:tcW w:w="484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Total Regulatory Tier 1 Capital (C)</w:t>
            </w: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30,696,480</w:t>
            </w: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31,775,379</w:t>
            </w:r>
          </w:p>
        </w:tc>
        <w:tc>
          <w:tcPr>
            <w:tcW w:w="12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34,245,733</w:t>
            </w:r>
          </w:p>
        </w:tc>
        <w:tc>
          <w:tcPr>
            <w:tcW w:w="9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7.8%</w:t>
            </w:r>
          </w:p>
        </w:tc>
        <w:tc>
          <w:tcPr>
            <w:tcW w:w="96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7"/>
              </w:rPr>
              <w:t>11.6%</w:t>
            </w:r>
          </w:p>
        </w:tc>
      </w:tr>
      <w:tr>
        <w:trPr>
          <w:trHeight w:val="148"/>
        </w:trPr>
        <w:tc>
          <w:tcPr>
            <w:tcW w:w="4840" w:type="dxa"/>
            <w:vAlign w:val="bottom"/>
            <w:tcBorders>
              <w:left w:val="single" w:sz="8" w:color="auto"/>
              <w:bottom w:val="single" w:sz="8" w:color="auto"/>
              <w:right w:val="single" w:sz="8" w:color="auto"/>
            </w:tcBorders>
            <w:shd w:val="clear" w:color="auto" w:fill="F2F2F2"/>
          </w:tcPr>
          <w:p>
            <w:pPr>
              <w:ind w:left="20"/>
              <w:spacing w:after="0" w:line="148" w:lineRule="exact"/>
              <w:rPr>
                <w:sz w:val="20"/>
                <w:szCs w:val="20"/>
                <w:color w:val="auto"/>
              </w:rPr>
            </w:pPr>
            <w:r>
              <w:rPr>
                <w:rFonts w:ascii="Arial" w:cs="Arial" w:eastAsia="Arial" w:hAnsi="Arial"/>
                <w:sz w:val="13"/>
                <w:szCs w:val="13"/>
                <w:color w:val="auto"/>
              </w:rPr>
              <w:t>Total Regulatory Capital Requirement (D)</w:t>
            </w:r>
          </w:p>
        </w:tc>
        <w:tc>
          <w:tcPr>
            <w:tcW w:w="1240" w:type="dxa"/>
            <w:vAlign w:val="bottom"/>
            <w:tcBorders>
              <w:bottom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rPr>
              <w:t>27,276,454</w:t>
            </w:r>
          </w:p>
        </w:tc>
        <w:tc>
          <w:tcPr>
            <w:tcW w:w="1240" w:type="dxa"/>
            <w:vAlign w:val="bottom"/>
            <w:tcBorders>
              <w:bottom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rPr>
              <w:t>29,484,940</w:t>
            </w:r>
          </w:p>
        </w:tc>
        <w:tc>
          <w:tcPr>
            <w:tcW w:w="1280" w:type="dxa"/>
            <w:vAlign w:val="bottom"/>
            <w:tcBorders>
              <w:bottom w:val="single" w:sz="8" w:color="auto"/>
              <w:right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rPr>
              <w:t>30,993,862</w:t>
            </w:r>
          </w:p>
        </w:tc>
        <w:tc>
          <w:tcPr>
            <w:tcW w:w="900" w:type="dxa"/>
            <w:vAlign w:val="bottom"/>
            <w:tcBorders>
              <w:bottom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rPr>
              <w:t>5.1%</w:t>
            </w:r>
          </w:p>
        </w:tc>
        <w:tc>
          <w:tcPr>
            <w:tcW w:w="960" w:type="dxa"/>
            <w:vAlign w:val="bottom"/>
            <w:tcBorders>
              <w:bottom w:val="single" w:sz="8" w:color="auto"/>
              <w:right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w w:val="97"/>
              </w:rPr>
              <w:t>13.6%</w:t>
            </w:r>
          </w:p>
        </w:tc>
      </w:tr>
      <w:tr>
        <w:trPr>
          <w:trHeight w:val="148"/>
        </w:trPr>
        <w:tc>
          <w:tcPr>
            <w:tcW w:w="4840" w:type="dxa"/>
            <w:vAlign w:val="bottom"/>
            <w:tcBorders>
              <w:left w:val="single" w:sz="8" w:color="auto"/>
              <w:bottom w:val="single" w:sz="8" w:color="auto"/>
              <w:right w:val="single" w:sz="8" w:color="auto"/>
            </w:tcBorders>
            <w:shd w:val="clear" w:color="auto" w:fill="F2F2F2"/>
          </w:tcPr>
          <w:p>
            <w:pPr>
              <w:ind w:left="20"/>
              <w:spacing w:after="0" w:line="148" w:lineRule="exact"/>
              <w:rPr>
                <w:sz w:val="20"/>
                <w:szCs w:val="20"/>
                <w:color w:val="auto"/>
              </w:rPr>
            </w:pPr>
            <w:r>
              <w:rPr>
                <w:rFonts w:ascii="Arial" w:cs="Arial" w:eastAsia="Arial" w:hAnsi="Arial"/>
                <w:sz w:val="13"/>
                <w:szCs w:val="13"/>
                <w:color w:val="auto"/>
              </w:rPr>
              <w:t>Total Regulatory Common Equity Tier 1 Capital Requirement (E)</w:t>
            </w:r>
          </w:p>
        </w:tc>
        <w:tc>
          <w:tcPr>
            <w:tcW w:w="1240" w:type="dxa"/>
            <w:vAlign w:val="bottom"/>
            <w:tcBorders>
              <w:bottom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rPr>
              <w:t>13,968,158</w:t>
            </w:r>
          </w:p>
        </w:tc>
        <w:tc>
          <w:tcPr>
            <w:tcW w:w="1240" w:type="dxa"/>
            <w:vAlign w:val="bottom"/>
            <w:tcBorders>
              <w:bottom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rPr>
              <w:t>15,535,244</w:t>
            </w:r>
          </w:p>
        </w:tc>
        <w:tc>
          <w:tcPr>
            <w:tcW w:w="1280" w:type="dxa"/>
            <w:vAlign w:val="bottom"/>
            <w:tcBorders>
              <w:bottom w:val="single" w:sz="8" w:color="auto"/>
              <w:right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rPr>
              <w:t>16,281,634</w:t>
            </w:r>
          </w:p>
        </w:tc>
        <w:tc>
          <w:tcPr>
            <w:tcW w:w="900" w:type="dxa"/>
            <w:vAlign w:val="bottom"/>
            <w:tcBorders>
              <w:bottom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rPr>
              <w:t>4.8%</w:t>
            </w:r>
          </w:p>
        </w:tc>
        <w:tc>
          <w:tcPr>
            <w:tcW w:w="960" w:type="dxa"/>
            <w:vAlign w:val="bottom"/>
            <w:tcBorders>
              <w:bottom w:val="single" w:sz="8" w:color="auto"/>
              <w:right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w w:val="97"/>
              </w:rPr>
              <w:t>16.6%</w:t>
            </w:r>
          </w:p>
        </w:tc>
      </w:tr>
      <w:tr>
        <w:trPr>
          <w:trHeight w:val="148"/>
        </w:trPr>
        <w:tc>
          <w:tcPr>
            <w:tcW w:w="4840" w:type="dxa"/>
            <w:vAlign w:val="bottom"/>
            <w:tcBorders>
              <w:left w:val="single" w:sz="8" w:color="auto"/>
              <w:bottom w:val="single" w:sz="8" w:color="auto"/>
              <w:right w:val="single" w:sz="8" w:color="auto"/>
            </w:tcBorders>
            <w:shd w:val="clear" w:color="auto" w:fill="F2F2F2"/>
          </w:tcPr>
          <w:p>
            <w:pPr>
              <w:ind w:left="20"/>
              <w:spacing w:after="0" w:line="148" w:lineRule="exact"/>
              <w:rPr>
                <w:sz w:val="20"/>
                <w:szCs w:val="20"/>
                <w:color w:val="auto"/>
              </w:rPr>
            </w:pPr>
            <w:r>
              <w:rPr>
                <w:rFonts w:ascii="Arial" w:cs="Arial" w:eastAsia="Arial" w:hAnsi="Arial"/>
                <w:sz w:val="13"/>
                <w:szCs w:val="13"/>
                <w:color w:val="auto"/>
              </w:rPr>
              <w:t>Total Regulatory Tier 1 Capital Requirement (F)</w:t>
            </w:r>
          </w:p>
        </w:tc>
        <w:tc>
          <w:tcPr>
            <w:tcW w:w="1240" w:type="dxa"/>
            <w:vAlign w:val="bottom"/>
            <w:tcBorders>
              <w:bottom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rPr>
              <w:t>17,131,013</w:t>
            </w:r>
          </w:p>
        </w:tc>
        <w:tc>
          <w:tcPr>
            <w:tcW w:w="1240" w:type="dxa"/>
            <w:vAlign w:val="bottom"/>
            <w:tcBorders>
              <w:bottom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rPr>
              <w:t>18,788,044</w:t>
            </w:r>
          </w:p>
        </w:tc>
        <w:tc>
          <w:tcPr>
            <w:tcW w:w="1280" w:type="dxa"/>
            <w:vAlign w:val="bottom"/>
            <w:tcBorders>
              <w:bottom w:val="single" w:sz="8" w:color="auto"/>
              <w:right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rPr>
              <w:t>19,727,355</w:t>
            </w:r>
          </w:p>
        </w:tc>
        <w:tc>
          <w:tcPr>
            <w:tcW w:w="900" w:type="dxa"/>
            <w:vAlign w:val="bottom"/>
            <w:tcBorders>
              <w:bottom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rPr>
              <w:t>5.0%</w:t>
            </w:r>
          </w:p>
        </w:tc>
        <w:tc>
          <w:tcPr>
            <w:tcW w:w="960" w:type="dxa"/>
            <w:vAlign w:val="bottom"/>
            <w:tcBorders>
              <w:bottom w:val="single" w:sz="8" w:color="auto"/>
              <w:right w:val="single" w:sz="8" w:color="auto"/>
            </w:tcBorders>
            <w:shd w:val="clear" w:color="auto" w:fill="F2F2F2"/>
          </w:tcPr>
          <w:p>
            <w:pPr>
              <w:jc w:val="center"/>
              <w:spacing w:after="0" w:line="148" w:lineRule="exact"/>
              <w:rPr>
                <w:sz w:val="20"/>
                <w:szCs w:val="20"/>
                <w:color w:val="auto"/>
              </w:rPr>
            </w:pPr>
            <w:r>
              <w:rPr>
                <w:rFonts w:ascii="Arial" w:cs="Arial" w:eastAsia="Arial" w:hAnsi="Arial"/>
                <w:sz w:val="13"/>
                <w:szCs w:val="13"/>
                <w:color w:val="auto"/>
                <w:w w:val="97"/>
              </w:rPr>
              <w:t>15.2%</w:t>
            </w:r>
          </w:p>
        </w:tc>
      </w:tr>
      <w:tr>
        <w:trPr>
          <w:trHeight w:val="148"/>
        </w:trPr>
        <w:tc>
          <w:tcPr>
            <w:tcW w:w="484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Regulatory Capital Ratio (A) / (D)</w:t>
            </w: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143%</w:t>
            </w: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135%</w:t>
            </w:r>
          </w:p>
        </w:tc>
        <w:tc>
          <w:tcPr>
            <w:tcW w:w="12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136%</w:t>
            </w:r>
          </w:p>
        </w:tc>
        <w:tc>
          <w:tcPr>
            <w:tcW w:w="9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116 pp</w:t>
            </w:r>
          </w:p>
        </w:tc>
        <w:tc>
          <w:tcPr>
            <w:tcW w:w="96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8"/>
              </w:rPr>
              <w:t>-747 bps</w:t>
            </w:r>
          </w:p>
        </w:tc>
      </w:tr>
      <w:tr>
        <w:trPr>
          <w:trHeight w:val="148"/>
        </w:trPr>
        <w:tc>
          <w:tcPr>
            <w:tcW w:w="484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Regulatory Common Equity Tier 1 Capital Ratio (B) / (E)</w:t>
            </w: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220%</w:t>
            </w: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205%</w:t>
            </w:r>
          </w:p>
        </w:tc>
        <w:tc>
          <w:tcPr>
            <w:tcW w:w="12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210%</w:t>
            </w:r>
          </w:p>
        </w:tc>
        <w:tc>
          <w:tcPr>
            <w:tcW w:w="9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580 pp</w:t>
            </w:r>
          </w:p>
        </w:tc>
        <w:tc>
          <w:tcPr>
            <w:tcW w:w="96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8"/>
              </w:rPr>
              <w:t>-943 bps</w:t>
            </w:r>
          </w:p>
        </w:tc>
      </w:tr>
      <w:tr>
        <w:trPr>
          <w:trHeight w:val="148"/>
        </w:trPr>
        <w:tc>
          <w:tcPr>
            <w:tcW w:w="484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Regulatory Tier 1 Capital Ratio (C) / (F)</w:t>
            </w: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179%</w:t>
            </w: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169%</w:t>
            </w:r>
          </w:p>
        </w:tc>
        <w:tc>
          <w:tcPr>
            <w:tcW w:w="12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174%</w:t>
            </w:r>
          </w:p>
        </w:tc>
        <w:tc>
          <w:tcPr>
            <w:tcW w:w="9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447 pp</w:t>
            </w:r>
          </w:p>
        </w:tc>
        <w:tc>
          <w:tcPr>
            <w:tcW w:w="96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8"/>
              </w:rPr>
              <w:t>-559 bps</w:t>
            </w:r>
          </w:p>
        </w:tc>
      </w:tr>
    </w:tbl>
    <w:p>
      <w:pPr>
        <w:spacing w:after="0" w:line="180" w:lineRule="exact"/>
        <w:rPr>
          <w:sz w:val="20"/>
          <w:szCs w:val="20"/>
          <w:color w:val="auto"/>
        </w:rPr>
      </w:pPr>
    </w:p>
    <w:p>
      <w:pPr>
        <w:ind w:left="600" w:hanging="162"/>
        <w:spacing w:after="0"/>
        <w:tabs>
          <w:tab w:leader="none" w:pos="600" w:val="left"/>
        </w:tabs>
        <w:numPr>
          <w:ilvl w:val="0"/>
          <w:numId w:val="51"/>
        </w:numPr>
        <w:rPr>
          <w:rFonts w:ascii="Arial" w:cs="Arial" w:eastAsia="Arial" w:hAnsi="Arial"/>
          <w:sz w:val="11"/>
          <w:szCs w:val="11"/>
          <w:color w:val="auto"/>
        </w:rPr>
      </w:pPr>
      <w:r>
        <w:rPr>
          <w:rFonts w:ascii="Arial" w:cs="Arial" w:eastAsia="Arial" w:hAnsi="Arial"/>
          <w:sz w:val="11"/>
          <w:szCs w:val="11"/>
          <w:color w:val="auto"/>
        </w:rPr>
        <w:t>Earnings include Banco de Crédito del Perú and Mibanco Perú. Losses include all subsidiaries.</w:t>
      </w:r>
    </w:p>
    <w:p>
      <w:pPr>
        <w:spacing w:after="0" w:line="15" w:lineRule="exact"/>
        <w:rPr>
          <w:rFonts w:ascii="Arial" w:cs="Arial" w:eastAsia="Arial" w:hAnsi="Arial"/>
          <w:sz w:val="11"/>
          <w:szCs w:val="11"/>
          <w:color w:val="auto"/>
        </w:rPr>
      </w:pPr>
    </w:p>
    <w:p>
      <w:pPr>
        <w:ind w:left="600" w:hanging="162"/>
        <w:spacing w:after="0"/>
        <w:tabs>
          <w:tab w:leader="none" w:pos="600" w:val="left"/>
        </w:tabs>
        <w:numPr>
          <w:ilvl w:val="0"/>
          <w:numId w:val="51"/>
        </w:numPr>
        <w:rPr>
          <w:rFonts w:ascii="Arial" w:cs="Arial" w:eastAsia="Arial" w:hAnsi="Arial"/>
          <w:sz w:val="11"/>
          <w:szCs w:val="11"/>
          <w:color w:val="auto"/>
        </w:rPr>
      </w:pPr>
      <w:r>
        <w:rPr>
          <w:rFonts w:ascii="Arial" w:cs="Arial" w:eastAsia="Arial" w:hAnsi="Arial"/>
          <w:sz w:val="11"/>
          <w:szCs w:val="11"/>
          <w:color w:val="auto"/>
        </w:rPr>
        <w:t>Gains include Investment Grade Government Bonds and Peruvian Central Bank Certificates of Deposits. Losses include all bonds.</w:t>
      </w:r>
    </w:p>
    <w:p>
      <w:pPr>
        <w:spacing w:after="0" w:line="5" w:lineRule="exact"/>
        <w:rPr>
          <w:rFonts w:ascii="Arial" w:cs="Arial" w:eastAsia="Arial" w:hAnsi="Arial"/>
          <w:sz w:val="11"/>
          <w:szCs w:val="11"/>
          <w:color w:val="auto"/>
        </w:rPr>
      </w:pPr>
    </w:p>
    <w:p>
      <w:pPr>
        <w:ind w:left="600" w:hanging="162"/>
        <w:spacing w:after="0"/>
        <w:tabs>
          <w:tab w:leader="none" w:pos="600" w:val="left"/>
        </w:tabs>
        <w:numPr>
          <w:ilvl w:val="0"/>
          <w:numId w:val="51"/>
        </w:numPr>
        <w:rPr>
          <w:rFonts w:ascii="Arial" w:cs="Arial" w:eastAsia="Arial" w:hAnsi="Arial"/>
          <w:sz w:val="11"/>
          <w:szCs w:val="11"/>
          <w:color w:val="auto"/>
        </w:rPr>
      </w:pPr>
      <w:r>
        <w:rPr>
          <w:rFonts w:ascii="Arial" w:cs="Arial" w:eastAsia="Arial" w:hAnsi="Arial"/>
          <w:sz w:val="11"/>
          <w:szCs w:val="11"/>
          <w:color w:val="auto"/>
        </w:rPr>
        <w:t>Different to Goodwill. Includes Diferred Tax Assets.</w:t>
      </w:r>
    </w:p>
    <w:p>
      <w:pPr>
        <w:spacing w:after="0" w:line="5" w:lineRule="exact"/>
        <w:rPr>
          <w:rFonts w:ascii="Arial" w:cs="Arial" w:eastAsia="Arial" w:hAnsi="Arial"/>
          <w:sz w:val="11"/>
          <w:szCs w:val="11"/>
          <w:color w:val="auto"/>
        </w:rPr>
      </w:pPr>
    </w:p>
    <w:p>
      <w:pPr>
        <w:ind w:left="600" w:hanging="162"/>
        <w:spacing w:after="0"/>
        <w:tabs>
          <w:tab w:leader="none" w:pos="600" w:val="left"/>
        </w:tabs>
        <w:numPr>
          <w:ilvl w:val="0"/>
          <w:numId w:val="51"/>
        </w:numPr>
        <w:rPr>
          <w:rFonts w:ascii="Arial" w:cs="Arial" w:eastAsia="Arial" w:hAnsi="Arial"/>
          <w:sz w:val="11"/>
          <w:szCs w:val="11"/>
          <w:color w:val="auto"/>
        </w:rPr>
      </w:pPr>
      <w:r>
        <w:rPr>
          <w:rFonts w:ascii="Arial" w:cs="Arial" w:eastAsia="Arial" w:hAnsi="Arial"/>
          <w:sz w:val="11"/>
          <w:szCs w:val="11"/>
          <w:color w:val="auto"/>
        </w:rPr>
        <w:t>Investments in Equity.</w:t>
      </w:r>
    </w:p>
    <w:p>
      <w:pPr>
        <w:spacing w:after="0" w:line="5" w:lineRule="exact"/>
        <w:rPr>
          <w:rFonts w:ascii="Arial" w:cs="Arial" w:eastAsia="Arial" w:hAnsi="Arial"/>
          <w:sz w:val="11"/>
          <w:szCs w:val="11"/>
          <w:color w:val="auto"/>
        </w:rPr>
      </w:pPr>
    </w:p>
    <w:p>
      <w:pPr>
        <w:ind w:left="600" w:hanging="162"/>
        <w:spacing w:after="0"/>
        <w:tabs>
          <w:tab w:leader="none" w:pos="600" w:val="left"/>
        </w:tabs>
        <w:numPr>
          <w:ilvl w:val="0"/>
          <w:numId w:val="51"/>
        </w:numPr>
        <w:rPr>
          <w:rFonts w:ascii="Arial" w:cs="Arial" w:eastAsia="Arial" w:hAnsi="Arial"/>
          <w:sz w:val="11"/>
          <w:szCs w:val="11"/>
          <w:color w:val="auto"/>
        </w:rPr>
      </w:pPr>
      <w:r>
        <w:rPr>
          <w:rFonts w:ascii="Arial" w:cs="Arial" w:eastAsia="Arial" w:hAnsi="Arial"/>
          <w:sz w:val="11"/>
          <w:szCs w:val="11"/>
          <w:color w:val="auto"/>
        </w:rPr>
        <w:t>Up to 1.25% of total risk-weighted assets of Banco de Crédito del Perú, Solución Empresa Administradora Hipotecaria, Mibanco and Atlantic Security Bank.</w:t>
      </w:r>
    </w:p>
    <w:p>
      <w:pPr>
        <w:spacing w:after="0" w:line="5" w:lineRule="exact"/>
        <w:rPr>
          <w:rFonts w:ascii="Arial" w:cs="Arial" w:eastAsia="Arial" w:hAnsi="Arial"/>
          <w:sz w:val="11"/>
          <w:szCs w:val="11"/>
          <w:color w:val="auto"/>
        </w:rPr>
      </w:pPr>
    </w:p>
    <w:p>
      <w:pPr>
        <w:ind w:left="600" w:hanging="162"/>
        <w:spacing w:after="0"/>
        <w:tabs>
          <w:tab w:leader="none" w:pos="600" w:val="left"/>
        </w:tabs>
        <w:numPr>
          <w:ilvl w:val="0"/>
          <w:numId w:val="51"/>
        </w:numPr>
        <w:rPr>
          <w:rFonts w:ascii="Arial" w:cs="Arial" w:eastAsia="Arial" w:hAnsi="Arial"/>
          <w:sz w:val="11"/>
          <w:szCs w:val="11"/>
          <w:color w:val="auto"/>
        </w:rPr>
      </w:pPr>
      <w:r>
        <w:rPr>
          <w:rFonts w:ascii="Arial" w:cs="Arial" w:eastAsia="Arial" w:hAnsi="Arial"/>
          <w:sz w:val="11"/>
          <w:szCs w:val="11"/>
          <w:color w:val="auto"/>
        </w:rPr>
        <w:t>Investments in Tier 2 Subordinated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675640</wp:posOffset>
            </wp:positionV>
            <wp:extent cx="6638925"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38925" cy="1524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111760</wp:posOffset>
            </wp:positionV>
            <wp:extent cx="5998845" cy="4724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98845" cy="472440"/>
                    </a:xfrm>
                    <a:prstGeom prst="rect">
                      <a:avLst/>
                    </a:prstGeom>
                    <a:noFill/>
                  </pic:spPr>
                </pic:pic>
              </a:graphicData>
            </a:graphic>
          </wp:anchor>
        </w:drawing>
      </w:r>
    </w:p>
    <w:p>
      <w:pPr>
        <w:sectPr>
          <w:pgSz w:w="11900" w:h="16840" w:orient="portrait"/>
          <w:cols w:equalWidth="0" w:num="1">
            <w:col w:w="10460"/>
          </w:cols>
          <w:pgMar w:left="660" w:top="931" w:right="780" w:bottom="1440" w:gutter="0" w:footer="0" w:header="0"/>
        </w:sectPr>
      </w:pPr>
    </w:p>
    <w:bookmarkStart w:id="56" w:name="page57"/>
    <w:bookmarkEnd w:id="56"/>
    <w:p>
      <w:pPr>
        <w:ind w:left="2520"/>
        <w:spacing w:after="0"/>
        <w:tabs>
          <w:tab w:leader="none" w:pos="2760" w:val="left"/>
          <w:tab w:leader="none" w:pos="81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638925" cy="8686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638925" cy="86868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214"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Regulatory and Capital Adequacy Ratios at BCP Stand-alone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490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Regulatory Capital</w:t>
            </w:r>
          </w:p>
        </w:tc>
        <w:tc>
          <w:tcPr>
            <w:tcW w:w="1460" w:type="dxa"/>
            <w:vAlign w:val="bottom"/>
            <w:tcBorders>
              <w:top w:val="single" w:sz="8" w:color="auto"/>
            </w:tcBorders>
            <w:shd w:val="clear" w:color="auto" w:fill="33CCCC"/>
          </w:tcPr>
          <w:p>
            <w:pPr>
              <w:spacing w:after="0"/>
              <w:rPr>
                <w:sz w:val="14"/>
                <w:szCs w:val="14"/>
                <w:color w:val="auto"/>
              </w:rPr>
            </w:pPr>
          </w:p>
        </w:tc>
        <w:tc>
          <w:tcPr>
            <w:tcW w:w="940" w:type="dxa"/>
            <w:vAlign w:val="bottom"/>
            <w:tcBorders>
              <w:top w:val="single" w:sz="8" w:color="auto"/>
            </w:tcBorders>
            <w:shd w:val="clear" w:color="auto" w:fill="33CCCC"/>
          </w:tcPr>
          <w:p>
            <w:pPr>
              <w:jc w:val="center"/>
              <w:ind w:right="180"/>
              <w:spacing w:after="0"/>
              <w:rPr>
                <w:sz w:val="20"/>
                <w:szCs w:val="20"/>
                <w:color w:val="auto"/>
              </w:rPr>
            </w:pPr>
            <w:r>
              <w:rPr>
                <w:rFonts w:ascii="Arial" w:cs="Arial" w:eastAsia="Arial" w:hAnsi="Arial"/>
                <w:sz w:val="12"/>
                <w:szCs w:val="12"/>
                <w:b w:val="1"/>
                <w:bCs w:val="1"/>
                <w:color w:val="FFFFFF"/>
                <w:w w:val="96"/>
              </w:rPr>
              <w:t>Quarter</w:t>
            </w:r>
          </w:p>
        </w:tc>
        <w:tc>
          <w:tcPr>
            <w:tcW w:w="1280" w:type="dxa"/>
            <w:vAlign w:val="bottom"/>
            <w:tcBorders>
              <w:top w:val="single" w:sz="8" w:color="auto"/>
              <w:right w:val="single" w:sz="8" w:color="auto"/>
            </w:tcBorders>
            <w:shd w:val="clear" w:color="auto" w:fill="33CCCC"/>
          </w:tcPr>
          <w:p>
            <w:pPr>
              <w:spacing w:after="0"/>
              <w:rPr>
                <w:sz w:val="14"/>
                <w:szCs w:val="14"/>
                <w:color w:val="auto"/>
              </w:rPr>
            </w:pPr>
          </w:p>
        </w:tc>
        <w:tc>
          <w:tcPr>
            <w:tcW w:w="1880" w:type="dxa"/>
            <w:vAlign w:val="bottom"/>
            <w:tcBorders>
              <w:top w:val="single" w:sz="8" w:color="auto"/>
              <w:right w:val="single" w:sz="8" w:color="auto"/>
            </w:tcBorders>
            <w:gridSpan w:val="2"/>
            <w:shd w:val="clear" w:color="auto" w:fill="33CCCC"/>
          </w:tcPr>
          <w:p>
            <w:pPr>
              <w:ind w:left="640"/>
              <w:spacing w:after="0"/>
              <w:rPr>
                <w:sz w:val="20"/>
                <w:szCs w:val="20"/>
                <w:color w:val="auto"/>
              </w:rPr>
            </w:pPr>
            <w:r>
              <w:rPr>
                <w:rFonts w:ascii="Arial" w:cs="Arial" w:eastAsia="Arial" w:hAnsi="Arial"/>
                <w:sz w:val="12"/>
                <w:szCs w:val="12"/>
                <w:b w:val="1"/>
                <w:bCs w:val="1"/>
                <w:color w:val="FFFFFF"/>
              </w:rPr>
              <w:t>% Change</w:t>
            </w:r>
          </w:p>
        </w:tc>
      </w:tr>
      <w:tr>
        <w:trPr>
          <w:trHeight w:val="156"/>
        </w:trPr>
        <w:tc>
          <w:tcPr>
            <w:tcW w:w="4900" w:type="dxa"/>
            <w:vAlign w:val="bottom"/>
            <w:tcBorders>
              <w:left w:val="single" w:sz="8" w:color="auto"/>
              <w:bottom w:val="single" w:sz="8" w:color="auto"/>
              <w:right w:val="single" w:sz="8" w:color="auto"/>
            </w:tcBorders>
            <w:shd w:val="clear" w:color="auto" w:fill="33CCCC"/>
          </w:tcPr>
          <w:p>
            <w:pPr>
              <w:ind w:left="60"/>
              <w:spacing w:after="0"/>
              <w:rPr>
                <w:sz w:val="20"/>
                <w:szCs w:val="20"/>
                <w:color w:val="auto"/>
              </w:rPr>
            </w:pPr>
            <w:r>
              <w:rPr>
                <w:rFonts w:ascii="Arial" w:cs="Arial" w:eastAsia="Arial" w:hAnsi="Arial"/>
                <w:sz w:val="12"/>
                <w:szCs w:val="12"/>
                <w:color w:val="FFFFFF"/>
              </w:rPr>
              <w:t>(S/ thousand)</w:t>
            </w:r>
          </w:p>
        </w:tc>
        <w:tc>
          <w:tcPr>
            <w:tcW w:w="1460" w:type="dxa"/>
            <w:vAlign w:val="bottom"/>
            <w:tcBorders>
              <w:bottom w:val="single" w:sz="8" w:color="auto"/>
            </w:tcBorders>
            <w:shd w:val="clear" w:color="auto" w:fill="33CCCC"/>
          </w:tcPr>
          <w:p>
            <w:pPr>
              <w:ind w:left="400"/>
              <w:spacing w:after="0"/>
              <w:rPr>
                <w:sz w:val="20"/>
                <w:szCs w:val="20"/>
                <w:color w:val="auto"/>
              </w:rPr>
            </w:pPr>
            <w:r>
              <w:rPr>
                <w:rFonts w:ascii="Arial" w:cs="Arial" w:eastAsia="Arial" w:hAnsi="Arial"/>
                <w:sz w:val="12"/>
                <w:szCs w:val="12"/>
                <w:b w:val="1"/>
                <w:bCs w:val="1"/>
                <w:color w:val="FFFFFF"/>
              </w:rPr>
              <w:t>Sep 24</w:t>
            </w:r>
          </w:p>
        </w:tc>
        <w:tc>
          <w:tcPr>
            <w:tcW w:w="940" w:type="dxa"/>
            <w:vAlign w:val="bottom"/>
            <w:tcBorders>
              <w:bottom w:val="single" w:sz="8" w:color="auto"/>
            </w:tcBorders>
            <w:shd w:val="clear" w:color="auto" w:fill="33CCCC"/>
          </w:tcPr>
          <w:p>
            <w:pPr>
              <w:jc w:val="center"/>
              <w:ind w:right="180"/>
              <w:spacing w:after="0"/>
              <w:rPr>
                <w:sz w:val="20"/>
                <w:szCs w:val="20"/>
                <w:color w:val="auto"/>
              </w:rPr>
            </w:pPr>
            <w:r>
              <w:rPr>
                <w:rFonts w:ascii="Arial" w:cs="Arial" w:eastAsia="Arial" w:hAnsi="Arial"/>
                <w:sz w:val="12"/>
                <w:szCs w:val="12"/>
                <w:b w:val="1"/>
                <w:bCs w:val="1"/>
                <w:color w:val="FFFFFF"/>
                <w:w w:val="99"/>
              </w:rPr>
              <w:t>Jun 25</w:t>
            </w:r>
          </w:p>
        </w:tc>
        <w:tc>
          <w:tcPr>
            <w:tcW w:w="1280" w:type="dxa"/>
            <w:vAlign w:val="bottom"/>
            <w:tcBorders>
              <w:bottom w:val="single" w:sz="8" w:color="auto"/>
              <w:right w:val="single" w:sz="8" w:color="auto"/>
            </w:tcBorders>
            <w:shd w:val="clear" w:color="auto" w:fill="33CCCC"/>
          </w:tcPr>
          <w:p>
            <w:pPr>
              <w:ind w:left="440"/>
              <w:spacing w:after="0"/>
              <w:rPr>
                <w:sz w:val="20"/>
                <w:szCs w:val="20"/>
                <w:color w:val="auto"/>
              </w:rPr>
            </w:pPr>
            <w:r>
              <w:rPr>
                <w:rFonts w:ascii="Arial" w:cs="Arial" w:eastAsia="Arial" w:hAnsi="Arial"/>
                <w:sz w:val="12"/>
                <w:szCs w:val="12"/>
                <w:b w:val="1"/>
                <w:bCs w:val="1"/>
                <w:color w:val="FFFFFF"/>
              </w:rPr>
              <w:t>Sep 25</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QoQ</w:t>
            </w:r>
          </w:p>
        </w:tc>
        <w:tc>
          <w:tcPr>
            <w:tcW w:w="9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4"/>
              </w:rPr>
              <w:t>YoY</w:t>
            </w:r>
          </w:p>
        </w:tc>
      </w:tr>
      <w:tr>
        <w:trPr>
          <w:trHeight w:val="147"/>
        </w:trPr>
        <w:tc>
          <w:tcPr>
            <w:tcW w:w="4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Capital Stock</w:t>
            </w:r>
          </w:p>
        </w:tc>
        <w:tc>
          <w:tcPr>
            <w:tcW w:w="1460" w:type="dxa"/>
            <w:vAlign w:val="bottom"/>
          </w:tcPr>
          <w:p>
            <w:pPr>
              <w:jc w:val="center"/>
              <w:ind w:right="200"/>
              <w:spacing w:after="0"/>
              <w:rPr>
                <w:sz w:val="20"/>
                <w:szCs w:val="20"/>
                <w:color w:val="auto"/>
              </w:rPr>
            </w:pPr>
            <w:r>
              <w:rPr>
                <w:rFonts w:ascii="Arial" w:cs="Arial" w:eastAsia="Arial" w:hAnsi="Arial"/>
                <w:sz w:val="12"/>
                <w:szCs w:val="12"/>
                <w:color w:val="auto"/>
                <w:w w:val="99"/>
              </w:rPr>
              <w:t>12,973,175</w:t>
            </w:r>
          </w:p>
        </w:tc>
        <w:tc>
          <w:tcPr>
            <w:tcW w:w="940" w:type="dxa"/>
            <w:vAlign w:val="bottom"/>
          </w:tcPr>
          <w:p>
            <w:pPr>
              <w:jc w:val="center"/>
              <w:ind w:right="160"/>
              <w:spacing w:after="0"/>
              <w:rPr>
                <w:sz w:val="20"/>
                <w:szCs w:val="20"/>
                <w:color w:val="auto"/>
              </w:rPr>
            </w:pPr>
            <w:r>
              <w:rPr>
                <w:rFonts w:ascii="Arial" w:cs="Arial" w:eastAsia="Arial" w:hAnsi="Arial"/>
                <w:sz w:val="12"/>
                <w:szCs w:val="12"/>
                <w:color w:val="auto"/>
                <w:w w:val="99"/>
              </w:rPr>
              <w:t>12,973,175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12,973,175</w:t>
            </w:r>
          </w:p>
        </w:tc>
        <w:tc>
          <w:tcPr>
            <w:tcW w:w="900" w:type="dxa"/>
            <w:vAlign w:val="bottom"/>
          </w:tcPr>
          <w:p>
            <w:pPr>
              <w:jc w:val="center"/>
              <w:spacing w:after="0"/>
              <w:rPr>
                <w:sz w:val="20"/>
                <w:szCs w:val="20"/>
                <w:color w:val="auto"/>
              </w:rPr>
            </w:pPr>
            <w:r>
              <w:rPr>
                <w:rFonts w:ascii="Arial" w:cs="Arial" w:eastAsia="Arial" w:hAnsi="Arial"/>
                <w:sz w:val="12"/>
                <w:szCs w:val="12"/>
                <w:color w:val="auto"/>
              </w:rPr>
              <w:t>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0.0%</w:t>
            </w:r>
          </w:p>
        </w:tc>
      </w:tr>
      <w:tr>
        <w:trPr>
          <w:trHeight w:val="156"/>
        </w:trPr>
        <w:tc>
          <w:tcPr>
            <w:tcW w:w="4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Reserves</w:t>
            </w:r>
          </w:p>
        </w:tc>
        <w:tc>
          <w:tcPr>
            <w:tcW w:w="1460" w:type="dxa"/>
            <w:vAlign w:val="bottom"/>
          </w:tcPr>
          <w:p>
            <w:pPr>
              <w:jc w:val="center"/>
              <w:ind w:right="220"/>
              <w:spacing w:after="0"/>
              <w:rPr>
                <w:sz w:val="20"/>
                <w:szCs w:val="20"/>
                <w:color w:val="auto"/>
              </w:rPr>
            </w:pPr>
            <w:r>
              <w:rPr>
                <w:rFonts w:ascii="Arial" w:cs="Arial" w:eastAsia="Arial" w:hAnsi="Arial"/>
                <w:sz w:val="12"/>
                <w:szCs w:val="12"/>
                <w:color w:val="auto"/>
              </w:rPr>
              <w:t>6,591,330</w:t>
            </w:r>
          </w:p>
        </w:tc>
        <w:tc>
          <w:tcPr>
            <w:tcW w:w="940" w:type="dxa"/>
            <w:vAlign w:val="bottom"/>
          </w:tcPr>
          <w:p>
            <w:pPr>
              <w:jc w:val="center"/>
              <w:ind w:right="140"/>
              <w:spacing w:after="0"/>
              <w:rPr>
                <w:sz w:val="20"/>
                <w:szCs w:val="20"/>
                <w:color w:val="auto"/>
              </w:rPr>
            </w:pPr>
            <w:r>
              <w:rPr>
                <w:rFonts w:ascii="Arial" w:cs="Arial" w:eastAsia="Arial" w:hAnsi="Arial"/>
                <w:sz w:val="12"/>
                <w:szCs w:val="12"/>
                <w:color w:val="auto"/>
              </w:rPr>
              <w:t>6,125,452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6,125,452</w:t>
            </w:r>
          </w:p>
        </w:tc>
        <w:tc>
          <w:tcPr>
            <w:tcW w:w="900" w:type="dxa"/>
            <w:vAlign w:val="bottom"/>
          </w:tcPr>
          <w:p>
            <w:pPr>
              <w:jc w:val="center"/>
              <w:spacing w:after="0"/>
              <w:rPr>
                <w:sz w:val="20"/>
                <w:szCs w:val="20"/>
                <w:color w:val="auto"/>
              </w:rPr>
            </w:pPr>
            <w:r>
              <w:rPr>
                <w:rFonts w:ascii="Arial" w:cs="Arial" w:eastAsia="Arial" w:hAnsi="Arial"/>
                <w:sz w:val="12"/>
                <w:szCs w:val="12"/>
                <w:color w:val="auto"/>
              </w:rPr>
              <w:t>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-7.1%</w:t>
            </w:r>
          </w:p>
        </w:tc>
      </w:tr>
      <w:tr>
        <w:trPr>
          <w:trHeight w:val="146"/>
        </w:trPr>
        <w:tc>
          <w:tcPr>
            <w:tcW w:w="4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Accumulated earnings</w:t>
            </w:r>
          </w:p>
        </w:tc>
        <w:tc>
          <w:tcPr>
            <w:tcW w:w="1460" w:type="dxa"/>
            <w:vAlign w:val="bottom"/>
          </w:tcPr>
          <w:p>
            <w:pPr>
              <w:jc w:val="center"/>
              <w:ind w:right="220"/>
              <w:spacing w:after="0"/>
              <w:rPr>
                <w:sz w:val="20"/>
                <w:szCs w:val="20"/>
                <w:color w:val="auto"/>
              </w:rPr>
            </w:pPr>
            <w:r>
              <w:rPr>
                <w:rFonts w:ascii="Arial" w:cs="Arial" w:eastAsia="Arial" w:hAnsi="Arial"/>
                <w:sz w:val="12"/>
                <w:szCs w:val="12"/>
                <w:color w:val="auto"/>
              </w:rPr>
              <w:t>5,426,132</w:t>
            </w:r>
          </w:p>
        </w:tc>
        <w:tc>
          <w:tcPr>
            <w:tcW w:w="940" w:type="dxa"/>
            <w:vAlign w:val="bottom"/>
          </w:tcPr>
          <w:p>
            <w:pPr>
              <w:jc w:val="center"/>
              <w:ind w:right="140"/>
              <w:spacing w:after="0"/>
              <w:rPr>
                <w:sz w:val="20"/>
                <w:szCs w:val="20"/>
                <w:color w:val="auto"/>
              </w:rPr>
            </w:pPr>
            <w:r>
              <w:rPr>
                <w:rFonts w:ascii="Arial" w:cs="Arial" w:eastAsia="Arial" w:hAnsi="Arial"/>
                <w:sz w:val="12"/>
                <w:szCs w:val="12"/>
                <w:color w:val="auto"/>
              </w:rPr>
              <w:t>5,129,250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6,730,631</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31.2%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24.0%</w:t>
            </w:r>
          </w:p>
        </w:tc>
      </w:tr>
      <w:tr>
        <w:trPr>
          <w:trHeight w:val="166"/>
        </w:trPr>
        <w:tc>
          <w:tcPr>
            <w:tcW w:w="4900" w:type="dxa"/>
            <w:vAlign w:val="bottom"/>
            <w:tcBorders>
              <w:left w:val="single" w:sz="8" w:color="auto"/>
              <w:right w:val="single" w:sz="8" w:color="auto"/>
            </w:tcBorders>
          </w:tcPr>
          <w:p>
            <w:pPr>
              <w:ind w:left="160"/>
              <w:spacing w:after="0" w:line="166" w:lineRule="exact"/>
              <w:rPr>
                <w:sz w:val="20"/>
                <w:szCs w:val="20"/>
                <w:color w:val="auto"/>
              </w:rPr>
            </w:pPr>
            <w:r>
              <w:rPr>
                <w:rFonts w:ascii="Arial" w:cs="Arial" w:eastAsia="Arial" w:hAnsi="Arial"/>
                <w:sz w:val="12"/>
                <w:szCs w:val="12"/>
                <w:color w:val="auto"/>
              </w:rPr>
              <w:t xml:space="preserve">Loan loss reserves </w:t>
            </w:r>
            <w:r>
              <w:rPr>
                <w:rFonts w:ascii="Arial" w:cs="Arial" w:eastAsia="Arial" w:hAnsi="Arial"/>
                <w:sz w:val="19"/>
                <w:szCs w:val="19"/>
                <w:color w:val="auto"/>
                <w:vertAlign w:val="superscript"/>
              </w:rPr>
              <w:t>(1)</w:t>
            </w:r>
          </w:p>
        </w:tc>
        <w:tc>
          <w:tcPr>
            <w:tcW w:w="1460" w:type="dxa"/>
            <w:vAlign w:val="bottom"/>
          </w:tcPr>
          <w:p>
            <w:pPr>
              <w:jc w:val="center"/>
              <w:ind w:right="220"/>
              <w:spacing w:after="0"/>
              <w:rPr>
                <w:sz w:val="20"/>
                <w:szCs w:val="20"/>
                <w:color w:val="auto"/>
              </w:rPr>
            </w:pPr>
            <w:r>
              <w:rPr>
                <w:rFonts w:ascii="Arial" w:cs="Arial" w:eastAsia="Arial" w:hAnsi="Arial"/>
                <w:sz w:val="12"/>
                <w:szCs w:val="12"/>
                <w:color w:val="auto"/>
              </w:rPr>
              <w:t>1,689,307</w:t>
            </w:r>
          </w:p>
        </w:tc>
        <w:tc>
          <w:tcPr>
            <w:tcW w:w="940" w:type="dxa"/>
            <w:vAlign w:val="bottom"/>
          </w:tcPr>
          <w:p>
            <w:pPr>
              <w:jc w:val="center"/>
              <w:ind w:right="140"/>
              <w:spacing w:after="0"/>
              <w:rPr>
                <w:sz w:val="20"/>
                <w:szCs w:val="20"/>
                <w:color w:val="auto"/>
              </w:rPr>
            </w:pPr>
            <w:r>
              <w:rPr>
                <w:rFonts w:ascii="Arial" w:cs="Arial" w:eastAsia="Arial" w:hAnsi="Arial"/>
                <w:sz w:val="12"/>
                <w:szCs w:val="12"/>
                <w:color w:val="auto"/>
              </w:rPr>
              <w:t>1,757,305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1,800,868</w:t>
            </w:r>
          </w:p>
        </w:tc>
        <w:tc>
          <w:tcPr>
            <w:tcW w:w="900" w:type="dxa"/>
            <w:vAlign w:val="bottom"/>
          </w:tcPr>
          <w:p>
            <w:pPr>
              <w:jc w:val="center"/>
              <w:spacing w:after="0"/>
              <w:rPr>
                <w:sz w:val="20"/>
                <w:szCs w:val="20"/>
                <w:color w:val="auto"/>
              </w:rPr>
            </w:pPr>
            <w:r>
              <w:rPr>
                <w:rFonts w:ascii="Arial" w:cs="Arial" w:eastAsia="Arial" w:hAnsi="Arial"/>
                <w:sz w:val="12"/>
                <w:szCs w:val="12"/>
                <w:color w:val="auto"/>
              </w:rPr>
              <w:t>2.5%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6.6%</w:t>
            </w:r>
          </w:p>
        </w:tc>
      </w:tr>
      <w:tr>
        <w:trPr>
          <w:trHeight w:val="156"/>
        </w:trPr>
        <w:tc>
          <w:tcPr>
            <w:tcW w:w="4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Subordinated Debt</w:t>
            </w:r>
          </w:p>
        </w:tc>
        <w:tc>
          <w:tcPr>
            <w:tcW w:w="1460" w:type="dxa"/>
            <w:vAlign w:val="bottom"/>
          </w:tcPr>
          <w:p>
            <w:pPr>
              <w:jc w:val="center"/>
              <w:ind w:right="200"/>
              <w:spacing w:after="0"/>
              <w:rPr>
                <w:sz w:val="20"/>
                <w:szCs w:val="20"/>
                <w:color w:val="auto"/>
              </w:rPr>
            </w:pPr>
            <w:r>
              <w:rPr>
                <w:rFonts w:ascii="Arial" w:cs="Arial" w:eastAsia="Arial" w:hAnsi="Arial"/>
                <w:sz w:val="12"/>
                <w:szCs w:val="12"/>
                <w:color w:val="auto"/>
                <w:w w:val="98"/>
              </w:rPr>
              <w:t>-</w:t>
            </w:r>
          </w:p>
        </w:tc>
        <w:tc>
          <w:tcPr>
            <w:tcW w:w="940" w:type="dxa"/>
            <w:vAlign w:val="bottom"/>
          </w:tcPr>
          <w:p>
            <w:pPr>
              <w:jc w:val="center"/>
              <w:ind w:right="160"/>
              <w:spacing w:after="0"/>
              <w:rPr>
                <w:sz w:val="20"/>
                <w:szCs w:val="20"/>
                <w:color w:val="auto"/>
              </w:rPr>
            </w:pPr>
            <w:r>
              <w:rPr>
                <w:rFonts w:ascii="Arial" w:cs="Arial" w:eastAsia="Arial" w:hAnsi="Arial"/>
                <w:sz w:val="12"/>
                <w:szCs w:val="12"/>
                <w:color w:val="auto"/>
                <w:w w:val="98"/>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900" w:type="dxa"/>
            <w:vAlign w:val="bottom"/>
          </w:tcPr>
          <w:p>
            <w:pPr>
              <w:jc w:val="center"/>
              <w:spacing w:after="0"/>
              <w:rPr>
                <w:sz w:val="20"/>
                <w:szCs w:val="20"/>
                <w:color w:val="auto"/>
              </w:rPr>
            </w:pPr>
            <w:r>
              <w:rPr>
                <w:rFonts w:ascii="Arial" w:cs="Arial" w:eastAsia="Arial" w:hAnsi="Arial"/>
                <w:sz w:val="12"/>
                <w:szCs w:val="12"/>
                <w:color w:val="auto"/>
                <w:w w:val="95"/>
              </w:rPr>
              <w:t>n.a</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n.a</w:t>
            </w:r>
          </w:p>
        </w:tc>
      </w:tr>
      <w:tr>
        <w:trPr>
          <w:trHeight w:val="156"/>
        </w:trPr>
        <w:tc>
          <w:tcPr>
            <w:tcW w:w="4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Unrealized Profit or Losses</w:t>
            </w:r>
          </w:p>
        </w:tc>
        <w:tc>
          <w:tcPr>
            <w:tcW w:w="1460" w:type="dxa"/>
            <w:vAlign w:val="bottom"/>
          </w:tcPr>
          <w:p>
            <w:pPr>
              <w:jc w:val="center"/>
              <w:ind w:right="220"/>
              <w:spacing w:after="0"/>
              <w:rPr>
                <w:sz w:val="20"/>
                <w:szCs w:val="20"/>
                <w:color w:val="auto"/>
              </w:rPr>
            </w:pPr>
            <w:r>
              <w:rPr>
                <w:rFonts w:ascii="Arial" w:cs="Arial" w:eastAsia="Arial" w:hAnsi="Arial"/>
                <w:sz w:val="12"/>
                <w:szCs w:val="12"/>
                <w:color w:val="auto"/>
              </w:rPr>
              <w:t>7,232,550</w:t>
            </w:r>
          </w:p>
        </w:tc>
        <w:tc>
          <w:tcPr>
            <w:tcW w:w="940" w:type="dxa"/>
            <w:vAlign w:val="bottom"/>
          </w:tcPr>
          <w:p>
            <w:pPr>
              <w:jc w:val="center"/>
              <w:ind w:right="140"/>
              <w:spacing w:after="0"/>
              <w:rPr>
                <w:sz w:val="20"/>
                <w:szCs w:val="20"/>
                <w:color w:val="auto"/>
              </w:rPr>
            </w:pPr>
            <w:r>
              <w:rPr>
                <w:rFonts w:ascii="Arial" w:cs="Arial" w:eastAsia="Arial" w:hAnsi="Arial"/>
                <w:sz w:val="12"/>
                <w:szCs w:val="12"/>
                <w:color w:val="auto"/>
              </w:rPr>
              <w:t>6,552,700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6,419,500</w:t>
            </w:r>
          </w:p>
        </w:tc>
        <w:tc>
          <w:tcPr>
            <w:tcW w:w="900" w:type="dxa"/>
            <w:vAlign w:val="bottom"/>
          </w:tcPr>
          <w:p>
            <w:pPr>
              <w:jc w:val="center"/>
              <w:spacing w:after="0"/>
              <w:rPr>
                <w:sz w:val="20"/>
                <w:szCs w:val="20"/>
                <w:color w:val="auto"/>
              </w:rPr>
            </w:pPr>
            <w:r>
              <w:rPr>
                <w:rFonts w:ascii="Arial" w:cs="Arial" w:eastAsia="Arial" w:hAnsi="Arial"/>
                <w:sz w:val="12"/>
                <w:szCs w:val="12"/>
                <w:color w:val="auto"/>
                <w:w w:val="95"/>
              </w:rPr>
              <w:t>-2.0%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-11.2%</w:t>
            </w:r>
          </w:p>
        </w:tc>
      </w:tr>
      <w:tr>
        <w:trPr>
          <w:trHeight w:val="156"/>
        </w:trPr>
        <w:tc>
          <w:tcPr>
            <w:tcW w:w="4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Investment in subsidiaries and others, net of unrealized profit and net income in</w:t>
            </w:r>
          </w:p>
        </w:tc>
        <w:tc>
          <w:tcPr>
            <w:tcW w:w="1460" w:type="dxa"/>
            <w:vAlign w:val="bottom"/>
          </w:tcPr>
          <w:p>
            <w:pPr>
              <w:jc w:val="center"/>
              <w:ind w:right="220"/>
              <w:spacing w:after="0"/>
              <w:rPr>
                <w:sz w:val="20"/>
                <w:szCs w:val="20"/>
                <w:color w:val="auto"/>
              </w:rPr>
            </w:pPr>
            <w:r>
              <w:rPr>
                <w:rFonts w:ascii="Arial" w:cs="Arial" w:eastAsia="Arial" w:hAnsi="Arial"/>
                <w:sz w:val="12"/>
                <w:szCs w:val="12"/>
                <w:color w:val="auto"/>
                <w:w w:val="97"/>
              </w:rPr>
              <w:t>(322,210)</w:t>
            </w:r>
          </w:p>
        </w:tc>
        <w:tc>
          <w:tcPr>
            <w:tcW w:w="940" w:type="dxa"/>
            <w:vAlign w:val="bottom"/>
          </w:tcPr>
          <w:p>
            <w:pPr>
              <w:jc w:val="center"/>
              <w:ind w:right="160"/>
              <w:spacing w:after="0"/>
              <w:rPr>
                <w:sz w:val="20"/>
                <w:szCs w:val="20"/>
                <w:color w:val="auto"/>
              </w:rPr>
            </w:pPr>
            <w:r>
              <w:rPr>
                <w:rFonts w:ascii="Arial" w:cs="Arial" w:eastAsia="Arial" w:hAnsi="Arial"/>
                <w:sz w:val="12"/>
                <w:szCs w:val="12"/>
                <w:color w:val="auto"/>
              </w:rPr>
              <w:t>(200,969)</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(10,363)</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-94.8%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-96.8%</w:t>
            </w:r>
          </w:p>
        </w:tc>
      </w:tr>
      <w:tr>
        <w:trPr>
          <w:trHeight w:val="156"/>
        </w:trPr>
        <w:tc>
          <w:tcPr>
            <w:tcW w:w="4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subsidiaries</w:t>
            </w: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56"/>
        </w:trPr>
        <w:tc>
          <w:tcPr>
            <w:tcW w:w="4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Intangibles</w:t>
            </w:r>
          </w:p>
        </w:tc>
        <w:tc>
          <w:tcPr>
            <w:tcW w:w="1460" w:type="dxa"/>
            <w:vAlign w:val="bottom"/>
          </w:tcPr>
          <w:p>
            <w:pPr>
              <w:jc w:val="center"/>
              <w:ind w:right="220"/>
              <w:spacing w:after="0"/>
              <w:rPr>
                <w:sz w:val="20"/>
                <w:szCs w:val="20"/>
                <w:color w:val="auto"/>
              </w:rPr>
            </w:pPr>
            <w:r>
              <w:rPr>
                <w:rFonts w:ascii="Arial" w:cs="Arial" w:eastAsia="Arial" w:hAnsi="Arial"/>
                <w:sz w:val="12"/>
                <w:szCs w:val="12"/>
                <w:color w:val="auto"/>
              </w:rPr>
              <w:t>(2,537,005)</w:t>
            </w:r>
          </w:p>
        </w:tc>
        <w:tc>
          <w:tcPr>
            <w:tcW w:w="940" w:type="dxa"/>
            <w:vAlign w:val="bottom"/>
          </w:tcPr>
          <w:p>
            <w:pPr>
              <w:jc w:val="center"/>
              <w:ind w:right="160"/>
              <w:spacing w:after="0"/>
              <w:rPr>
                <w:sz w:val="20"/>
                <w:szCs w:val="20"/>
                <w:color w:val="auto"/>
              </w:rPr>
            </w:pPr>
            <w:r>
              <w:rPr>
                <w:rFonts w:ascii="Arial" w:cs="Arial" w:eastAsia="Arial" w:hAnsi="Arial"/>
                <w:sz w:val="12"/>
                <w:szCs w:val="12"/>
                <w:color w:val="auto"/>
                <w:w w:val="97"/>
              </w:rPr>
              <w:t>(2,380,842)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(2,535,672)</w:t>
            </w:r>
          </w:p>
        </w:tc>
        <w:tc>
          <w:tcPr>
            <w:tcW w:w="900" w:type="dxa"/>
            <w:vAlign w:val="bottom"/>
          </w:tcPr>
          <w:p>
            <w:pPr>
              <w:jc w:val="center"/>
              <w:spacing w:after="0"/>
              <w:rPr>
                <w:sz w:val="20"/>
                <w:szCs w:val="20"/>
                <w:color w:val="auto"/>
              </w:rPr>
            </w:pPr>
            <w:r>
              <w:rPr>
                <w:rFonts w:ascii="Arial" w:cs="Arial" w:eastAsia="Arial" w:hAnsi="Arial"/>
                <w:sz w:val="12"/>
                <w:szCs w:val="12"/>
                <w:color w:val="auto"/>
              </w:rPr>
              <w:t>6.5%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-0.1%</w:t>
            </w:r>
          </w:p>
        </w:tc>
      </w:tr>
      <w:tr>
        <w:trPr>
          <w:trHeight w:val="157"/>
        </w:trPr>
        <w:tc>
          <w:tcPr>
            <w:tcW w:w="4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Goodwill</w:t>
            </w:r>
          </w:p>
        </w:tc>
        <w:tc>
          <w:tcPr>
            <w:tcW w:w="146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color w:val="auto"/>
              </w:rPr>
              <w:t>(1,330,135)</w:t>
            </w: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color w:val="auto"/>
                <w:w w:val="97"/>
              </w:rPr>
              <w:t>(1,549,091)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(1,624,042)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4.8%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22.1%</w:t>
            </w:r>
          </w:p>
        </w:tc>
      </w:tr>
      <w:tr>
        <w:trPr>
          <w:trHeight w:val="148"/>
        </w:trPr>
        <w:tc>
          <w:tcPr>
            <w:tcW w:w="4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Total Regulatory Capital</w:t>
            </w:r>
          </w:p>
        </w:tc>
        <w:tc>
          <w:tcPr>
            <w:tcW w:w="146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7"/>
              </w:rPr>
              <w:t>(122,083)</w:t>
            </w: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rPr>
              <w:t>(122,083)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(122,083)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0.0%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0.0%</w:t>
            </w:r>
          </w:p>
        </w:tc>
      </w:tr>
      <w:tr>
        <w:trPr>
          <w:trHeight w:val="148"/>
        </w:trPr>
        <w:tc>
          <w:tcPr>
            <w:tcW w:w="490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1"/>
                <w:szCs w:val="11"/>
                <w:b w:val="1"/>
                <w:bCs w:val="1"/>
                <w:color w:val="auto"/>
              </w:rPr>
              <w:t xml:space="preserve">Tier 1 Common Equity </w:t>
            </w:r>
            <w:r>
              <w:rPr>
                <w:rFonts w:ascii="Arial" w:cs="Arial" w:eastAsia="Arial" w:hAnsi="Arial"/>
                <w:sz w:val="17"/>
                <w:szCs w:val="17"/>
                <w:b w:val="1"/>
                <w:bCs w:val="1"/>
                <w:color w:val="auto"/>
                <w:vertAlign w:val="superscript"/>
              </w:rPr>
              <w:t>(2)</w:t>
            </w:r>
          </w:p>
        </w:tc>
        <w:tc>
          <w:tcPr>
            <w:tcW w:w="146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9"/>
              </w:rPr>
              <w:t>29,601,060</w:t>
            </w: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9"/>
              </w:rPr>
              <w:t>28,284,896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29,757,465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5.2%</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0.5%</w:t>
            </w:r>
          </w:p>
        </w:tc>
      </w:tr>
      <w:tr>
        <w:trPr>
          <w:trHeight w:val="148"/>
        </w:trPr>
        <w:tc>
          <w:tcPr>
            <w:tcW w:w="490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1"/>
                <w:szCs w:val="11"/>
                <w:b w:val="1"/>
                <w:bCs w:val="1"/>
                <w:color w:val="auto"/>
              </w:rPr>
              <w:t xml:space="preserve">Regulatory Tier 1 Capital </w:t>
            </w:r>
            <w:r>
              <w:rPr>
                <w:rFonts w:ascii="Arial" w:cs="Arial" w:eastAsia="Arial" w:hAnsi="Arial"/>
                <w:sz w:val="17"/>
                <w:szCs w:val="17"/>
                <w:b w:val="1"/>
                <w:bCs w:val="1"/>
                <w:color w:val="auto"/>
                <w:vertAlign w:val="superscript"/>
              </w:rPr>
              <w:t>(3)</w:t>
            </w:r>
          </w:p>
        </w:tc>
        <w:tc>
          <w:tcPr>
            <w:tcW w:w="146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9"/>
              </w:rPr>
              <w:t>20,679,203</w:t>
            </w: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9"/>
              </w:rPr>
              <w:t>19,974,891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21,537,097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7.8%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4.1%</w:t>
            </w:r>
          </w:p>
        </w:tc>
      </w:tr>
      <w:tr>
        <w:trPr>
          <w:trHeight w:val="148"/>
        </w:trPr>
        <w:tc>
          <w:tcPr>
            <w:tcW w:w="490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1"/>
                <w:szCs w:val="11"/>
                <w:b w:val="1"/>
                <w:bCs w:val="1"/>
                <w:color w:val="auto"/>
              </w:rPr>
              <w:t xml:space="preserve">Regulatory Tier 2 Capital </w:t>
            </w:r>
            <w:r>
              <w:rPr>
                <w:rFonts w:ascii="Arial" w:cs="Arial" w:eastAsia="Arial" w:hAnsi="Arial"/>
                <w:sz w:val="17"/>
                <w:szCs w:val="17"/>
                <w:b w:val="1"/>
                <w:bCs w:val="1"/>
                <w:color w:val="auto"/>
                <w:vertAlign w:val="superscript"/>
              </w:rPr>
              <w:t>(4)</w:t>
            </w:r>
          </w:p>
        </w:tc>
        <w:tc>
          <w:tcPr>
            <w:tcW w:w="146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9"/>
              </w:rPr>
              <w:t>20,679,203</w:t>
            </w: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9"/>
              </w:rPr>
              <w:t>19,974,891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21,537,097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7.8%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4.1%</w:t>
            </w:r>
          </w:p>
        </w:tc>
      </w:tr>
      <w:tr>
        <w:trPr>
          <w:trHeight w:val="172"/>
        </w:trPr>
        <w:tc>
          <w:tcPr>
            <w:tcW w:w="49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spacing w:after="0"/>
              <w:rPr>
                <w:sz w:val="14"/>
                <w:szCs w:val="14"/>
                <w:color w:val="auto"/>
              </w:rPr>
            </w:pPr>
          </w:p>
        </w:tc>
      </w:tr>
      <w:tr>
        <w:trPr>
          <w:trHeight w:val="148"/>
        </w:trPr>
        <w:tc>
          <w:tcPr>
            <w:tcW w:w="490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Total risk-weighted assets</w:t>
            </w:r>
          </w:p>
        </w:tc>
        <w:tc>
          <w:tcPr>
            <w:tcW w:w="1460" w:type="dxa"/>
            <w:vAlign w:val="bottom"/>
            <w:shd w:val="clear" w:color="auto" w:fill="33CCCC"/>
          </w:tcPr>
          <w:p>
            <w:pPr>
              <w:spacing w:after="0"/>
              <w:rPr>
                <w:sz w:val="12"/>
                <w:szCs w:val="12"/>
                <w:color w:val="auto"/>
              </w:rPr>
            </w:pPr>
          </w:p>
        </w:tc>
        <w:tc>
          <w:tcPr>
            <w:tcW w:w="940" w:type="dxa"/>
            <w:vAlign w:val="bottom"/>
            <w:shd w:val="clear" w:color="auto" w:fill="33CCCC"/>
          </w:tcPr>
          <w:p>
            <w:pPr>
              <w:jc w:val="center"/>
              <w:ind w:right="180"/>
              <w:spacing w:after="0"/>
              <w:rPr>
                <w:sz w:val="20"/>
                <w:szCs w:val="20"/>
                <w:color w:val="auto"/>
              </w:rPr>
            </w:pPr>
            <w:r>
              <w:rPr>
                <w:rFonts w:ascii="Arial" w:cs="Arial" w:eastAsia="Arial" w:hAnsi="Arial"/>
                <w:sz w:val="12"/>
                <w:szCs w:val="12"/>
                <w:b w:val="1"/>
                <w:bCs w:val="1"/>
                <w:color w:val="FFFFFF"/>
                <w:w w:val="96"/>
              </w:rPr>
              <w:t>Quarter</w:t>
            </w:r>
          </w:p>
        </w:tc>
        <w:tc>
          <w:tcPr>
            <w:tcW w:w="1280" w:type="dxa"/>
            <w:vAlign w:val="bottom"/>
            <w:tcBorders>
              <w:right w:val="single" w:sz="8" w:color="auto"/>
            </w:tcBorders>
            <w:shd w:val="clear" w:color="auto" w:fill="33CCCC"/>
          </w:tcPr>
          <w:p>
            <w:pPr>
              <w:spacing w:after="0"/>
              <w:rPr>
                <w:sz w:val="12"/>
                <w:szCs w:val="12"/>
                <w:color w:val="auto"/>
              </w:rPr>
            </w:pPr>
          </w:p>
        </w:tc>
        <w:tc>
          <w:tcPr>
            <w:tcW w:w="1880" w:type="dxa"/>
            <w:vAlign w:val="bottom"/>
            <w:tcBorders>
              <w:right w:val="single" w:sz="8" w:color="auto"/>
            </w:tcBorders>
            <w:gridSpan w:val="2"/>
            <w:shd w:val="clear" w:color="auto" w:fill="33CCCC"/>
          </w:tcPr>
          <w:p>
            <w:pPr>
              <w:ind w:left="620"/>
              <w:spacing w:after="0"/>
              <w:rPr>
                <w:sz w:val="20"/>
                <w:szCs w:val="20"/>
                <w:color w:val="auto"/>
              </w:rPr>
            </w:pPr>
            <w:r>
              <w:rPr>
                <w:rFonts w:ascii="Arial" w:cs="Arial" w:eastAsia="Arial" w:hAnsi="Arial"/>
                <w:sz w:val="12"/>
                <w:szCs w:val="12"/>
                <w:b w:val="1"/>
                <w:bCs w:val="1"/>
                <w:color w:val="FFFFFF"/>
              </w:rPr>
              <w:t>% Change</w:t>
            </w:r>
          </w:p>
        </w:tc>
      </w:tr>
      <w:tr>
        <w:trPr>
          <w:trHeight w:val="156"/>
        </w:trPr>
        <w:tc>
          <w:tcPr>
            <w:tcW w:w="4900" w:type="dxa"/>
            <w:vAlign w:val="bottom"/>
            <w:tcBorders>
              <w:left w:val="single" w:sz="8" w:color="auto"/>
              <w:bottom w:val="single" w:sz="8" w:color="auto"/>
              <w:right w:val="single" w:sz="8" w:color="auto"/>
            </w:tcBorders>
            <w:shd w:val="clear" w:color="auto" w:fill="33CCCC"/>
          </w:tcPr>
          <w:p>
            <w:pPr>
              <w:ind w:left="60"/>
              <w:spacing w:after="0"/>
              <w:rPr>
                <w:sz w:val="20"/>
                <w:szCs w:val="20"/>
                <w:color w:val="auto"/>
              </w:rPr>
            </w:pPr>
            <w:r>
              <w:rPr>
                <w:rFonts w:ascii="Arial" w:cs="Arial" w:eastAsia="Arial" w:hAnsi="Arial"/>
                <w:sz w:val="12"/>
                <w:szCs w:val="12"/>
                <w:color w:val="FFFFFF"/>
              </w:rPr>
              <w:t>(S/ thousand)</w:t>
            </w:r>
          </w:p>
        </w:tc>
        <w:tc>
          <w:tcPr>
            <w:tcW w:w="1460" w:type="dxa"/>
            <w:vAlign w:val="bottom"/>
            <w:tcBorders>
              <w:bottom w:val="single" w:sz="8" w:color="auto"/>
            </w:tcBorders>
            <w:shd w:val="clear" w:color="auto" w:fill="33CCCC"/>
          </w:tcPr>
          <w:p>
            <w:pPr>
              <w:ind w:left="400"/>
              <w:spacing w:after="0"/>
              <w:rPr>
                <w:sz w:val="20"/>
                <w:szCs w:val="20"/>
                <w:color w:val="auto"/>
              </w:rPr>
            </w:pPr>
            <w:r>
              <w:rPr>
                <w:rFonts w:ascii="Arial" w:cs="Arial" w:eastAsia="Arial" w:hAnsi="Arial"/>
                <w:sz w:val="12"/>
                <w:szCs w:val="12"/>
                <w:b w:val="1"/>
                <w:bCs w:val="1"/>
                <w:color w:val="FFFFFF"/>
              </w:rPr>
              <w:t>Sep 24</w:t>
            </w:r>
          </w:p>
        </w:tc>
        <w:tc>
          <w:tcPr>
            <w:tcW w:w="940" w:type="dxa"/>
            <w:vAlign w:val="bottom"/>
            <w:tcBorders>
              <w:bottom w:val="single" w:sz="8" w:color="auto"/>
            </w:tcBorders>
            <w:shd w:val="clear" w:color="auto" w:fill="33CCCC"/>
          </w:tcPr>
          <w:p>
            <w:pPr>
              <w:jc w:val="center"/>
              <w:ind w:right="220"/>
              <w:spacing w:after="0"/>
              <w:rPr>
                <w:sz w:val="20"/>
                <w:szCs w:val="20"/>
                <w:color w:val="auto"/>
              </w:rPr>
            </w:pPr>
            <w:r>
              <w:rPr>
                <w:rFonts w:ascii="Arial" w:cs="Arial" w:eastAsia="Arial" w:hAnsi="Arial"/>
                <w:sz w:val="12"/>
                <w:szCs w:val="12"/>
                <w:b w:val="1"/>
                <w:bCs w:val="1"/>
                <w:color w:val="FFFFFF"/>
                <w:w w:val="99"/>
              </w:rPr>
              <w:t>Jun 25</w:t>
            </w:r>
          </w:p>
        </w:tc>
        <w:tc>
          <w:tcPr>
            <w:tcW w:w="1280" w:type="dxa"/>
            <w:vAlign w:val="bottom"/>
            <w:tcBorders>
              <w:bottom w:val="single" w:sz="8" w:color="auto"/>
              <w:right w:val="single" w:sz="8" w:color="auto"/>
            </w:tcBorders>
            <w:shd w:val="clear" w:color="auto" w:fill="33CCCC"/>
          </w:tcPr>
          <w:p>
            <w:pPr>
              <w:ind w:left="420"/>
              <w:spacing w:after="0"/>
              <w:rPr>
                <w:sz w:val="20"/>
                <w:szCs w:val="20"/>
                <w:color w:val="auto"/>
              </w:rPr>
            </w:pPr>
            <w:r>
              <w:rPr>
                <w:rFonts w:ascii="Arial" w:cs="Arial" w:eastAsia="Arial" w:hAnsi="Arial"/>
                <w:sz w:val="12"/>
                <w:szCs w:val="12"/>
                <w:b w:val="1"/>
                <w:bCs w:val="1"/>
                <w:color w:val="FFFFFF"/>
              </w:rPr>
              <w:t>Sep 25</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QoQ</w:t>
            </w:r>
          </w:p>
        </w:tc>
        <w:tc>
          <w:tcPr>
            <w:tcW w:w="9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4"/>
              </w:rPr>
              <w:t>YoY</w:t>
            </w:r>
          </w:p>
        </w:tc>
      </w:tr>
      <w:tr>
        <w:trPr>
          <w:trHeight w:val="147"/>
        </w:trPr>
        <w:tc>
          <w:tcPr>
            <w:tcW w:w="4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Market risk-weighted assets</w:t>
            </w:r>
          </w:p>
        </w:tc>
        <w:tc>
          <w:tcPr>
            <w:tcW w:w="1460" w:type="dxa"/>
            <w:vAlign w:val="bottom"/>
          </w:tcPr>
          <w:p>
            <w:pPr>
              <w:jc w:val="center"/>
              <w:ind w:right="220"/>
              <w:spacing w:after="0"/>
              <w:rPr>
                <w:sz w:val="20"/>
                <w:szCs w:val="20"/>
                <w:color w:val="auto"/>
              </w:rPr>
            </w:pPr>
            <w:r>
              <w:rPr>
                <w:rFonts w:ascii="Arial" w:cs="Arial" w:eastAsia="Arial" w:hAnsi="Arial"/>
                <w:sz w:val="12"/>
                <w:szCs w:val="12"/>
                <w:color w:val="auto"/>
              </w:rPr>
              <w:t>4,301,156</w:t>
            </w:r>
          </w:p>
        </w:tc>
        <w:tc>
          <w:tcPr>
            <w:tcW w:w="940" w:type="dxa"/>
            <w:vAlign w:val="bottom"/>
          </w:tcPr>
          <w:p>
            <w:pPr>
              <w:jc w:val="center"/>
              <w:ind w:right="200"/>
              <w:spacing w:after="0"/>
              <w:rPr>
                <w:sz w:val="20"/>
                <w:szCs w:val="20"/>
                <w:color w:val="auto"/>
              </w:rPr>
            </w:pPr>
            <w:r>
              <w:rPr>
                <w:rFonts w:ascii="Arial" w:cs="Arial" w:eastAsia="Arial" w:hAnsi="Arial"/>
                <w:sz w:val="12"/>
                <w:szCs w:val="12"/>
                <w:color w:val="auto"/>
                <w:w w:val="97"/>
              </w:rPr>
              <w:t>4,400,226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5,329,045</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21.1%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23.9%</w:t>
            </w:r>
          </w:p>
        </w:tc>
      </w:tr>
      <w:tr>
        <w:trPr>
          <w:trHeight w:val="156"/>
        </w:trPr>
        <w:tc>
          <w:tcPr>
            <w:tcW w:w="4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Credit risk-weighted assets</w:t>
            </w:r>
          </w:p>
        </w:tc>
        <w:tc>
          <w:tcPr>
            <w:tcW w:w="1460" w:type="dxa"/>
            <w:vAlign w:val="bottom"/>
          </w:tcPr>
          <w:p>
            <w:pPr>
              <w:jc w:val="center"/>
              <w:ind w:right="220"/>
              <w:spacing w:after="0"/>
              <w:rPr>
                <w:sz w:val="20"/>
                <w:szCs w:val="20"/>
                <w:color w:val="auto"/>
              </w:rPr>
            </w:pPr>
            <w:r>
              <w:rPr>
                <w:rFonts w:ascii="Arial" w:cs="Arial" w:eastAsia="Arial" w:hAnsi="Arial"/>
                <w:sz w:val="12"/>
                <w:szCs w:val="12"/>
                <w:color w:val="auto"/>
                <w:w w:val="98"/>
              </w:rPr>
              <w:t>133,937,442</w:t>
            </w:r>
          </w:p>
        </w:tc>
        <w:tc>
          <w:tcPr>
            <w:tcW w:w="940" w:type="dxa"/>
            <w:vAlign w:val="bottom"/>
          </w:tcPr>
          <w:p>
            <w:pPr>
              <w:jc w:val="center"/>
              <w:ind w:right="200"/>
              <w:spacing w:after="0"/>
              <w:rPr>
                <w:sz w:val="20"/>
                <w:szCs w:val="20"/>
                <w:color w:val="auto"/>
              </w:rPr>
            </w:pPr>
            <w:r>
              <w:rPr>
                <w:rFonts w:ascii="Arial" w:cs="Arial" w:eastAsia="Arial" w:hAnsi="Arial"/>
                <w:sz w:val="12"/>
                <w:szCs w:val="12"/>
                <w:color w:val="auto"/>
              </w:rPr>
              <w:t>139,386,096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142,895,450</w:t>
            </w:r>
          </w:p>
        </w:tc>
        <w:tc>
          <w:tcPr>
            <w:tcW w:w="900" w:type="dxa"/>
            <w:vAlign w:val="bottom"/>
          </w:tcPr>
          <w:p>
            <w:pPr>
              <w:jc w:val="center"/>
              <w:spacing w:after="0"/>
              <w:rPr>
                <w:sz w:val="20"/>
                <w:szCs w:val="20"/>
                <w:color w:val="auto"/>
              </w:rPr>
            </w:pPr>
            <w:r>
              <w:rPr>
                <w:rFonts w:ascii="Arial" w:cs="Arial" w:eastAsia="Arial" w:hAnsi="Arial"/>
                <w:sz w:val="12"/>
                <w:szCs w:val="12"/>
                <w:color w:val="auto"/>
                <w:w w:val="94"/>
              </w:rPr>
              <w:t>2.5%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6.7%</w:t>
            </w:r>
          </w:p>
        </w:tc>
      </w:tr>
      <w:tr>
        <w:trPr>
          <w:trHeight w:val="157"/>
        </w:trPr>
        <w:tc>
          <w:tcPr>
            <w:tcW w:w="4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Operational risk-weighted assets</w:t>
            </w:r>
          </w:p>
        </w:tc>
        <w:tc>
          <w:tcPr>
            <w:tcW w:w="146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color w:val="auto"/>
                <w:w w:val="99"/>
              </w:rPr>
              <w:t>17,871,737</w:t>
            </w:r>
          </w:p>
        </w:tc>
        <w:tc>
          <w:tcPr>
            <w:tcW w:w="94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color w:val="auto"/>
                <w:w w:val="99"/>
              </w:rPr>
              <w:t>19,384,021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19,751,032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1.9%</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10.5%</w:t>
            </w:r>
          </w:p>
        </w:tc>
      </w:tr>
      <w:tr>
        <w:trPr>
          <w:trHeight w:val="148"/>
        </w:trPr>
        <w:tc>
          <w:tcPr>
            <w:tcW w:w="4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146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8"/>
              </w:rPr>
              <w:t>156,110,335</w:t>
            </w:r>
          </w:p>
        </w:tc>
        <w:tc>
          <w:tcPr>
            <w:tcW w:w="94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rPr>
              <w:t>163,170,343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167,975,527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2.9%</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7.6%</w:t>
            </w:r>
          </w:p>
        </w:tc>
      </w:tr>
      <w:tr>
        <w:trPr>
          <w:trHeight w:val="172"/>
        </w:trPr>
        <w:tc>
          <w:tcPr>
            <w:tcW w:w="49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spacing w:after="0"/>
              <w:rPr>
                <w:sz w:val="14"/>
                <w:szCs w:val="14"/>
                <w:color w:val="auto"/>
              </w:rPr>
            </w:pPr>
          </w:p>
        </w:tc>
      </w:tr>
      <w:tr>
        <w:trPr>
          <w:trHeight w:val="148"/>
        </w:trPr>
        <w:tc>
          <w:tcPr>
            <w:tcW w:w="490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Capital requirement</w:t>
            </w:r>
          </w:p>
        </w:tc>
        <w:tc>
          <w:tcPr>
            <w:tcW w:w="1460" w:type="dxa"/>
            <w:vAlign w:val="bottom"/>
            <w:shd w:val="clear" w:color="auto" w:fill="33CCCC"/>
          </w:tcPr>
          <w:p>
            <w:pPr>
              <w:spacing w:after="0"/>
              <w:rPr>
                <w:sz w:val="12"/>
                <w:szCs w:val="12"/>
                <w:color w:val="auto"/>
              </w:rPr>
            </w:pPr>
          </w:p>
        </w:tc>
        <w:tc>
          <w:tcPr>
            <w:tcW w:w="940" w:type="dxa"/>
            <w:vAlign w:val="bottom"/>
            <w:shd w:val="clear" w:color="auto" w:fill="33CCCC"/>
          </w:tcPr>
          <w:p>
            <w:pPr>
              <w:jc w:val="center"/>
              <w:ind w:right="180"/>
              <w:spacing w:after="0"/>
              <w:rPr>
                <w:sz w:val="20"/>
                <w:szCs w:val="20"/>
                <w:color w:val="auto"/>
              </w:rPr>
            </w:pPr>
            <w:r>
              <w:rPr>
                <w:rFonts w:ascii="Arial" w:cs="Arial" w:eastAsia="Arial" w:hAnsi="Arial"/>
                <w:sz w:val="12"/>
                <w:szCs w:val="12"/>
                <w:b w:val="1"/>
                <w:bCs w:val="1"/>
                <w:color w:val="FFFFFF"/>
                <w:w w:val="96"/>
              </w:rPr>
              <w:t>Quarter</w:t>
            </w:r>
          </w:p>
        </w:tc>
        <w:tc>
          <w:tcPr>
            <w:tcW w:w="1280" w:type="dxa"/>
            <w:vAlign w:val="bottom"/>
            <w:tcBorders>
              <w:right w:val="single" w:sz="8" w:color="auto"/>
            </w:tcBorders>
            <w:shd w:val="clear" w:color="auto" w:fill="33CCCC"/>
          </w:tcPr>
          <w:p>
            <w:pPr>
              <w:spacing w:after="0"/>
              <w:rPr>
                <w:sz w:val="12"/>
                <w:szCs w:val="12"/>
                <w:color w:val="auto"/>
              </w:rPr>
            </w:pPr>
          </w:p>
        </w:tc>
        <w:tc>
          <w:tcPr>
            <w:tcW w:w="1880" w:type="dxa"/>
            <w:vAlign w:val="bottom"/>
            <w:tcBorders>
              <w:right w:val="single" w:sz="8" w:color="auto"/>
            </w:tcBorders>
            <w:gridSpan w:val="2"/>
            <w:shd w:val="clear" w:color="auto" w:fill="33CCCC"/>
          </w:tcPr>
          <w:p>
            <w:pPr>
              <w:ind w:left="640"/>
              <w:spacing w:after="0"/>
              <w:rPr>
                <w:sz w:val="20"/>
                <w:szCs w:val="20"/>
                <w:color w:val="auto"/>
              </w:rPr>
            </w:pPr>
            <w:r>
              <w:rPr>
                <w:rFonts w:ascii="Arial" w:cs="Arial" w:eastAsia="Arial" w:hAnsi="Arial"/>
                <w:sz w:val="12"/>
                <w:szCs w:val="12"/>
                <w:b w:val="1"/>
                <w:bCs w:val="1"/>
                <w:color w:val="FFFFFF"/>
              </w:rPr>
              <w:t>% Change</w:t>
            </w:r>
          </w:p>
        </w:tc>
      </w:tr>
      <w:tr>
        <w:trPr>
          <w:trHeight w:val="156"/>
        </w:trPr>
        <w:tc>
          <w:tcPr>
            <w:tcW w:w="4900" w:type="dxa"/>
            <w:vAlign w:val="bottom"/>
            <w:tcBorders>
              <w:left w:val="single" w:sz="8" w:color="auto"/>
              <w:bottom w:val="single" w:sz="8" w:color="auto"/>
              <w:right w:val="single" w:sz="8" w:color="auto"/>
            </w:tcBorders>
            <w:shd w:val="clear" w:color="auto" w:fill="33CCCC"/>
          </w:tcPr>
          <w:p>
            <w:pPr>
              <w:ind w:left="60"/>
              <w:spacing w:after="0"/>
              <w:rPr>
                <w:sz w:val="20"/>
                <w:szCs w:val="20"/>
                <w:color w:val="auto"/>
              </w:rPr>
            </w:pPr>
            <w:r>
              <w:rPr>
                <w:rFonts w:ascii="Arial" w:cs="Arial" w:eastAsia="Arial" w:hAnsi="Arial"/>
                <w:sz w:val="12"/>
                <w:szCs w:val="12"/>
                <w:color w:val="FFFFFF"/>
              </w:rPr>
              <w:t>(S/ thousand)</w:t>
            </w:r>
          </w:p>
        </w:tc>
        <w:tc>
          <w:tcPr>
            <w:tcW w:w="1460" w:type="dxa"/>
            <w:vAlign w:val="bottom"/>
            <w:tcBorders>
              <w:bottom w:val="single" w:sz="8" w:color="auto"/>
            </w:tcBorders>
            <w:shd w:val="clear" w:color="auto" w:fill="33CCCC"/>
          </w:tcPr>
          <w:p>
            <w:pPr>
              <w:ind w:left="400"/>
              <w:spacing w:after="0"/>
              <w:rPr>
                <w:sz w:val="20"/>
                <w:szCs w:val="20"/>
                <w:color w:val="auto"/>
              </w:rPr>
            </w:pPr>
            <w:r>
              <w:rPr>
                <w:rFonts w:ascii="Arial" w:cs="Arial" w:eastAsia="Arial" w:hAnsi="Arial"/>
                <w:sz w:val="12"/>
                <w:szCs w:val="12"/>
                <w:b w:val="1"/>
                <w:bCs w:val="1"/>
                <w:color w:val="FFFFFF"/>
              </w:rPr>
              <w:t>Sep 24</w:t>
            </w:r>
          </w:p>
        </w:tc>
        <w:tc>
          <w:tcPr>
            <w:tcW w:w="940" w:type="dxa"/>
            <w:vAlign w:val="bottom"/>
            <w:tcBorders>
              <w:bottom w:val="single" w:sz="8" w:color="auto"/>
            </w:tcBorders>
            <w:shd w:val="clear" w:color="auto" w:fill="33CCCC"/>
          </w:tcPr>
          <w:p>
            <w:pPr>
              <w:jc w:val="center"/>
              <w:ind w:right="180"/>
              <w:spacing w:after="0"/>
              <w:rPr>
                <w:sz w:val="20"/>
                <w:szCs w:val="20"/>
                <w:color w:val="auto"/>
              </w:rPr>
            </w:pPr>
            <w:r>
              <w:rPr>
                <w:rFonts w:ascii="Arial" w:cs="Arial" w:eastAsia="Arial" w:hAnsi="Arial"/>
                <w:sz w:val="12"/>
                <w:szCs w:val="12"/>
                <w:b w:val="1"/>
                <w:bCs w:val="1"/>
                <w:color w:val="FFFFFF"/>
                <w:w w:val="99"/>
              </w:rPr>
              <w:t>Jun 25</w:t>
            </w:r>
          </w:p>
        </w:tc>
        <w:tc>
          <w:tcPr>
            <w:tcW w:w="1280" w:type="dxa"/>
            <w:vAlign w:val="bottom"/>
            <w:tcBorders>
              <w:bottom w:val="single" w:sz="8" w:color="auto"/>
              <w:right w:val="single" w:sz="8" w:color="auto"/>
            </w:tcBorders>
            <w:shd w:val="clear" w:color="auto" w:fill="33CCCC"/>
          </w:tcPr>
          <w:p>
            <w:pPr>
              <w:ind w:left="440"/>
              <w:spacing w:after="0"/>
              <w:rPr>
                <w:sz w:val="20"/>
                <w:szCs w:val="20"/>
                <w:color w:val="auto"/>
              </w:rPr>
            </w:pPr>
            <w:r>
              <w:rPr>
                <w:rFonts w:ascii="Arial" w:cs="Arial" w:eastAsia="Arial" w:hAnsi="Arial"/>
                <w:sz w:val="12"/>
                <w:szCs w:val="12"/>
                <w:b w:val="1"/>
                <w:bCs w:val="1"/>
                <w:color w:val="FFFFFF"/>
              </w:rPr>
              <w:t>Sep 25</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QoQ</w:t>
            </w:r>
          </w:p>
        </w:tc>
        <w:tc>
          <w:tcPr>
            <w:tcW w:w="9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4"/>
              </w:rPr>
              <w:t>YoY</w:t>
            </w:r>
          </w:p>
        </w:tc>
      </w:tr>
      <w:tr>
        <w:trPr>
          <w:trHeight w:val="147"/>
        </w:trPr>
        <w:tc>
          <w:tcPr>
            <w:tcW w:w="4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Market risk capital requirement</w:t>
            </w:r>
          </w:p>
        </w:tc>
        <w:tc>
          <w:tcPr>
            <w:tcW w:w="1460" w:type="dxa"/>
            <w:vAlign w:val="bottom"/>
          </w:tcPr>
          <w:p>
            <w:pPr>
              <w:jc w:val="center"/>
              <w:ind w:right="220"/>
              <w:spacing w:after="0"/>
              <w:rPr>
                <w:sz w:val="20"/>
                <w:szCs w:val="20"/>
                <w:color w:val="auto"/>
              </w:rPr>
            </w:pPr>
            <w:r>
              <w:rPr>
                <w:rFonts w:ascii="Arial" w:cs="Arial" w:eastAsia="Arial" w:hAnsi="Arial"/>
                <w:sz w:val="12"/>
                <w:szCs w:val="12"/>
                <w:color w:val="auto"/>
                <w:w w:val="96"/>
              </w:rPr>
              <w:t>430,116</w:t>
            </w:r>
          </w:p>
        </w:tc>
        <w:tc>
          <w:tcPr>
            <w:tcW w:w="940" w:type="dxa"/>
            <w:vAlign w:val="bottom"/>
          </w:tcPr>
          <w:p>
            <w:pPr>
              <w:jc w:val="center"/>
              <w:ind w:right="160"/>
              <w:spacing w:after="0"/>
              <w:rPr>
                <w:sz w:val="20"/>
                <w:szCs w:val="20"/>
                <w:color w:val="auto"/>
              </w:rPr>
            </w:pPr>
            <w:r>
              <w:rPr>
                <w:rFonts w:ascii="Arial" w:cs="Arial" w:eastAsia="Arial" w:hAnsi="Arial"/>
                <w:sz w:val="12"/>
                <w:szCs w:val="12"/>
                <w:color w:val="auto"/>
              </w:rPr>
              <w:t>440,023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532,904</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21.1%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23.9%</w:t>
            </w:r>
          </w:p>
        </w:tc>
      </w:tr>
      <w:tr>
        <w:trPr>
          <w:trHeight w:val="156"/>
        </w:trPr>
        <w:tc>
          <w:tcPr>
            <w:tcW w:w="4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Credit risk capital requirement</w:t>
            </w:r>
          </w:p>
        </w:tc>
        <w:tc>
          <w:tcPr>
            <w:tcW w:w="1460" w:type="dxa"/>
            <w:vAlign w:val="bottom"/>
          </w:tcPr>
          <w:p>
            <w:pPr>
              <w:jc w:val="center"/>
              <w:ind w:right="200"/>
              <w:spacing w:after="0"/>
              <w:rPr>
                <w:sz w:val="20"/>
                <w:szCs w:val="20"/>
                <w:color w:val="auto"/>
              </w:rPr>
            </w:pPr>
            <w:r>
              <w:rPr>
                <w:rFonts w:ascii="Arial" w:cs="Arial" w:eastAsia="Arial" w:hAnsi="Arial"/>
                <w:sz w:val="12"/>
                <w:szCs w:val="12"/>
                <w:color w:val="auto"/>
                <w:w w:val="99"/>
              </w:rPr>
              <w:t>12,724,057</w:t>
            </w:r>
          </w:p>
        </w:tc>
        <w:tc>
          <w:tcPr>
            <w:tcW w:w="940" w:type="dxa"/>
            <w:vAlign w:val="bottom"/>
          </w:tcPr>
          <w:p>
            <w:pPr>
              <w:jc w:val="center"/>
              <w:ind w:right="160"/>
              <w:spacing w:after="0"/>
              <w:rPr>
                <w:sz w:val="20"/>
                <w:szCs w:val="20"/>
                <w:color w:val="auto"/>
              </w:rPr>
            </w:pPr>
            <w:r>
              <w:rPr>
                <w:rFonts w:ascii="Arial" w:cs="Arial" w:eastAsia="Arial" w:hAnsi="Arial"/>
                <w:sz w:val="12"/>
                <w:szCs w:val="12"/>
                <w:color w:val="auto"/>
                <w:w w:val="99"/>
              </w:rPr>
              <w:t>13,938,610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14,289,545</w:t>
            </w:r>
          </w:p>
        </w:tc>
        <w:tc>
          <w:tcPr>
            <w:tcW w:w="900" w:type="dxa"/>
            <w:vAlign w:val="bottom"/>
          </w:tcPr>
          <w:p>
            <w:pPr>
              <w:jc w:val="center"/>
              <w:spacing w:after="0"/>
              <w:rPr>
                <w:sz w:val="20"/>
                <w:szCs w:val="20"/>
                <w:color w:val="auto"/>
              </w:rPr>
            </w:pPr>
            <w:r>
              <w:rPr>
                <w:rFonts w:ascii="Arial" w:cs="Arial" w:eastAsia="Arial" w:hAnsi="Arial"/>
                <w:sz w:val="12"/>
                <w:szCs w:val="12"/>
                <w:color w:val="auto"/>
              </w:rPr>
              <w:t>2.5%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12.3%</w:t>
            </w:r>
          </w:p>
        </w:tc>
      </w:tr>
      <w:tr>
        <w:trPr>
          <w:trHeight w:val="156"/>
        </w:trPr>
        <w:tc>
          <w:tcPr>
            <w:tcW w:w="4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Operational risk capital requirement</w:t>
            </w:r>
          </w:p>
        </w:tc>
        <w:tc>
          <w:tcPr>
            <w:tcW w:w="1460" w:type="dxa"/>
            <w:vAlign w:val="bottom"/>
          </w:tcPr>
          <w:p>
            <w:pPr>
              <w:jc w:val="center"/>
              <w:ind w:right="220"/>
              <w:spacing w:after="0"/>
              <w:rPr>
                <w:sz w:val="20"/>
                <w:szCs w:val="20"/>
                <w:color w:val="auto"/>
              </w:rPr>
            </w:pPr>
            <w:r>
              <w:rPr>
                <w:rFonts w:ascii="Arial" w:cs="Arial" w:eastAsia="Arial" w:hAnsi="Arial"/>
                <w:sz w:val="12"/>
                <w:szCs w:val="12"/>
                <w:color w:val="auto"/>
              </w:rPr>
              <w:t>1,787,174</w:t>
            </w:r>
          </w:p>
        </w:tc>
        <w:tc>
          <w:tcPr>
            <w:tcW w:w="940" w:type="dxa"/>
            <w:vAlign w:val="bottom"/>
          </w:tcPr>
          <w:p>
            <w:pPr>
              <w:jc w:val="center"/>
              <w:ind w:right="140"/>
              <w:spacing w:after="0"/>
              <w:rPr>
                <w:sz w:val="20"/>
                <w:szCs w:val="20"/>
                <w:color w:val="auto"/>
              </w:rPr>
            </w:pPr>
            <w:r>
              <w:rPr>
                <w:rFonts w:ascii="Arial" w:cs="Arial" w:eastAsia="Arial" w:hAnsi="Arial"/>
                <w:sz w:val="12"/>
                <w:szCs w:val="12"/>
                <w:color w:val="auto"/>
              </w:rPr>
              <w:t>1,938,402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1,975,103</w:t>
            </w:r>
          </w:p>
        </w:tc>
        <w:tc>
          <w:tcPr>
            <w:tcW w:w="900" w:type="dxa"/>
            <w:vAlign w:val="bottom"/>
          </w:tcPr>
          <w:p>
            <w:pPr>
              <w:jc w:val="center"/>
              <w:spacing w:after="0"/>
              <w:rPr>
                <w:sz w:val="20"/>
                <w:szCs w:val="20"/>
                <w:color w:val="auto"/>
              </w:rPr>
            </w:pPr>
            <w:r>
              <w:rPr>
                <w:rFonts w:ascii="Arial" w:cs="Arial" w:eastAsia="Arial" w:hAnsi="Arial"/>
                <w:sz w:val="12"/>
                <w:szCs w:val="12"/>
                <w:color w:val="auto"/>
              </w:rPr>
              <w:t>1.9%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10.5%</w:t>
            </w:r>
          </w:p>
        </w:tc>
      </w:tr>
      <w:tr>
        <w:trPr>
          <w:trHeight w:val="157"/>
        </w:trPr>
        <w:tc>
          <w:tcPr>
            <w:tcW w:w="4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Additional capital requirements</w:t>
            </w:r>
          </w:p>
        </w:tc>
        <w:tc>
          <w:tcPr>
            <w:tcW w:w="146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color w:val="auto"/>
              </w:rPr>
              <w:t>5,647,686</w:t>
            </w:r>
          </w:p>
        </w:tc>
        <w:tc>
          <w:tcPr>
            <w:tcW w:w="94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color w:val="auto"/>
              </w:rPr>
              <w:t>7,142,933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7,348,282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2.9%</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30.1%</w:t>
            </w:r>
          </w:p>
        </w:tc>
      </w:tr>
      <w:tr>
        <w:trPr>
          <w:trHeight w:val="148"/>
        </w:trPr>
        <w:tc>
          <w:tcPr>
            <w:tcW w:w="4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146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9"/>
              </w:rPr>
              <w:t>20,589,033</w:t>
            </w: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9"/>
              </w:rPr>
              <w:t>23,459,967</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24,145,835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2.9%</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17.3%</w:t>
            </w:r>
          </w:p>
        </w:tc>
      </w:tr>
      <w:tr>
        <w:trPr>
          <w:trHeight w:val="340"/>
        </w:trPr>
        <w:tc>
          <w:tcPr>
            <w:tcW w:w="6360" w:type="dxa"/>
            <w:vAlign w:val="bottom"/>
            <w:gridSpan w:val="2"/>
          </w:tcPr>
          <w:p>
            <w:pPr>
              <w:ind w:left="3980"/>
              <w:spacing w:after="0"/>
              <w:rPr>
                <w:sz w:val="20"/>
                <w:szCs w:val="20"/>
                <w:color w:val="auto"/>
              </w:rPr>
            </w:pPr>
            <w:r>
              <w:rPr>
                <w:rFonts w:ascii="Arial" w:cs="Arial" w:eastAsia="Arial" w:hAnsi="Arial"/>
                <w:sz w:val="13"/>
                <w:szCs w:val="13"/>
                <w:b w:val="1"/>
                <w:bCs w:val="1"/>
                <w:color w:val="auto"/>
              </w:rPr>
              <w:t>Capital Ratios under Local Regulation</w:t>
            </w: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49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spacing w:after="0"/>
              <w:rPr>
                <w:sz w:val="14"/>
                <w:szCs w:val="14"/>
                <w:color w:val="auto"/>
              </w:rPr>
            </w:pPr>
          </w:p>
        </w:tc>
      </w:tr>
      <w:tr>
        <w:trPr>
          <w:trHeight w:val="148"/>
        </w:trPr>
        <w:tc>
          <w:tcPr>
            <w:tcW w:w="490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Capital ratios under Local Regulation</w:t>
            </w:r>
          </w:p>
        </w:tc>
        <w:tc>
          <w:tcPr>
            <w:tcW w:w="1460" w:type="dxa"/>
            <w:vAlign w:val="bottom"/>
            <w:shd w:val="clear" w:color="auto" w:fill="33CCCC"/>
          </w:tcPr>
          <w:p>
            <w:pPr>
              <w:spacing w:after="0"/>
              <w:rPr>
                <w:sz w:val="12"/>
                <w:szCs w:val="12"/>
                <w:color w:val="auto"/>
              </w:rPr>
            </w:pPr>
          </w:p>
        </w:tc>
        <w:tc>
          <w:tcPr>
            <w:tcW w:w="940" w:type="dxa"/>
            <w:vAlign w:val="bottom"/>
            <w:shd w:val="clear" w:color="auto" w:fill="33CCCC"/>
          </w:tcPr>
          <w:p>
            <w:pPr>
              <w:jc w:val="center"/>
              <w:ind w:right="180"/>
              <w:spacing w:after="0"/>
              <w:rPr>
                <w:sz w:val="20"/>
                <w:szCs w:val="20"/>
                <w:color w:val="auto"/>
              </w:rPr>
            </w:pPr>
            <w:r>
              <w:rPr>
                <w:rFonts w:ascii="Arial" w:cs="Arial" w:eastAsia="Arial" w:hAnsi="Arial"/>
                <w:sz w:val="12"/>
                <w:szCs w:val="12"/>
                <w:b w:val="1"/>
                <w:bCs w:val="1"/>
                <w:color w:val="FFFFFF"/>
                <w:w w:val="96"/>
              </w:rPr>
              <w:t>Quarter</w:t>
            </w:r>
          </w:p>
        </w:tc>
        <w:tc>
          <w:tcPr>
            <w:tcW w:w="1280" w:type="dxa"/>
            <w:vAlign w:val="bottom"/>
            <w:tcBorders>
              <w:right w:val="single" w:sz="8" w:color="auto"/>
            </w:tcBorders>
            <w:shd w:val="clear" w:color="auto" w:fill="33CCCC"/>
          </w:tcPr>
          <w:p>
            <w:pPr>
              <w:spacing w:after="0"/>
              <w:rPr>
                <w:sz w:val="12"/>
                <w:szCs w:val="12"/>
                <w:color w:val="auto"/>
              </w:rPr>
            </w:pPr>
          </w:p>
        </w:tc>
        <w:tc>
          <w:tcPr>
            <w:tcW w:w="1880" w:type="dxa"/>
            <w:vAlign w:val="bottom"/>
            <w:tcBorders>
              <w:right w:val="single" w:sz="8" w:color="auto"/>
            </w:tcBorders>
            <w:gridSpan w:val="2"/>
            <w:shd w:val="clear" w:color="auto" w:fill="33CCCC"/>
          </w:tcPr>
          <w:p>
            <w:pPr>
              <w:ind w:left="640"/>
              <w:spacing w:after="0"/>
              <w:rPr>
                <w:sz w:val="20"/>
                <w:szCs w:val="20"/>
                <w:color w:val="auto"/>
              </w:rPr>
            </w:pPr>
            <w:r>
              <w:rPr>
                <w:rFonts w:ascii="Arial" w:cs="Arial" w:eastAsia="Arial" w:hAnsi="Arial"/>
                <w:sz w:val="12"/>
                <w:szCs w:val="12"/>
                <w:b w:val="1"/>
                <w:bCs w:val="1"/>
                <w:color w:val="FFFFFF"/>
              </w:rPr>
              <w:t>% Change</w:t>
            </w:r>
          </w:p>
        </w:tc>
      </w:tr>
      <w:tr>
        <w:trPr>
          <w:trHeight w:val="156"/>
        </w:trPr>
        <w:tc>
          <w:tcPr>
            <w:tcW w:w="4900" w:type="dxa"/>
            <w:vAlign w:val="bottom"/>
            <w:tcBorders>
              <w:left w:val="single" w:sz="8" w:color="auto"/>
              <w:bottom w:val="single" w:sz="8" w:color="auto"/>
              <w:right w:val="single" w:sz="8" w:color="auto"/>
            </w:tcBorders>
            <w:shd w:val="clear" w:color="auto" w:fill="33CCCC"/>
          </w:tcPr>
          <w:p>
            <w:pPr>
              <w:spacing w:after="0"/>
              <w:rPr>
                <w:sz w:val="13"/>
                <w:szCs w:val="13"/>
                <w:color w:val="auto"/>
              </w:rPr>
            </w:pPr>
          </w:p>
        </w:tc>
        <w:tc>
          <w:tcPr>
            <w:tcW w:w="1460" w:type="dxa"/>
            <w:vAlign w:val="bottom"/>
            <w:tcBorders>
              <w:bottom w:val="single" w:sz="8" w:color="auto"/>
            </w:tcBorders>
            <w:shd w:val="clear" w:color="auto" w:fill="33CCCC"/>
          </w:tcPr>
          <w:p>
            <w:pPr>
              <w:ind w:left="400"/>
              <w:spacing w:after="0"/>
              <w:rPr>
                <w:sz w:val="20"/>
                <w:szCs w:val="20"/>
                <w:color w:val="auto"/>
              </w:rPr>
            </w:pPr>
            <w:r>
              <w:rPr>
                <w:rFonts w:ascii="Arial" w:cs="Arial" w:eastAsia="Arial" w:hAnsi="Arial"/>
                <w:sz w:val="12"/>
                <w:szCs w:val="12"/>
                <w:b w:val="1"/>
                <w:bCs w:val="1"/>
                <w:color w:val="FFFFFF"/>
              </w:rPr>
              <w:t>Sep 24</w:t>
            </w:r>
          </w:p>
        </w:tc>
        <w:tc>
          <w:tcPr>
            <w:tcW w:w="940" w:type="dxa"/>
            <w:vAlign w:val="bottom"/>
            <w:tcBorders>
              <w:bottom w:val="single" w:sz="8" w:color="auto"/>
            </w:tcBorders>
            <w:shd w:val="clear" w:color="auto" w:fill="33CCCC"/>
          </w:tcPr>
          <w:p>
            <w:pPr>
              <w:jc w:val="center"/>
              <w:ind w:right="180"/>
              <w:spacing w:after="0"/>
              <w:rPr>
                <w:sz w:val="20"/>
                <w:szCs w:val="20"/>
                <w:color w:val="auto"/>
              </w:rPr>
            </w:pPr>
            <w:r>
              <w:rPr>
                <w:rFonts w:ascii="Arial" w:cs="Arial" w:eastAsia="Arial" w:hAnsi="Arial"/>
                <w:sz w:val="12"/>
                <w:szCs w:val="12"/>
                <w:b w:val="1"/>
                <w:bCs w:val="1"/>
                <w:color w:val="FFFFFF"/>
                <w:w w:val="99"/>
              </w:rPr>
              <w:t>Jun 25</w:t>
            </w:r>
          </w:p>
        </w:tc>
        <w:tc>
          <w:tcPr>
            <w:tcW w:w="1280" w:type="dxa"/>
            <w:vAlign w:val="bottom"/>
            <w:tcBorders>
              <w:bottom w:val="single" w:sz="8" w:color="auto"/>
              <w:right w:val="single" w:sz="8" w:color="auto"/>
            </w:tcBorders>
            <w:shd w:val="clear" w:color="auto" w:fill="33CCCC"/>
          </w:tcPr>
          <w:p>
            <w:pPr>
              <w:ind w:left="440"/>
              <w:spacing w:after="0"/>
              <w:rPr>
                <w:sz w:val="20"/>
                <w:szCs w:val="20"/>
                <w:color w:val="auto"/>
              </w:rPr>
            </w:pPr>
            <w:r>
              <w:rPr>
                <w:rFonts w:ascii="Arial" w:cs="Arial" w:eastAsia="Arial" w:hAnsi="Arial"/>
                <w:sz w:val="12"/>
                <w:szCs w:val="12"/>
                <w:b w:val="1"/>
                <w:bCs w:val="1"/>
                <w:color w:val="FFFFFF"/>
              </w:rPr>
              <w:t>Sep 25</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QoQ</w:t>
            </w:r>
          </w:p>
        </w:tc>
        <w:tc>
          <w:tcPr>
            <w:tcW w:w="9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4"/>
              </w:rPr>
              <w:t>YoY</w:t>
            </w:r>
          </w:p>
        </w:tc>
      </w:tr>
      <w:tr>
        <w:trPr>
          <w:trHeight w:val="147"/>
        </w:trPr>
        <w:tc>
          <w:tcPr>
            <w:tcW w:w="4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Common Equity Tier 1 ratio</w:t>
            </w:r>
          </w:p>
        </w:tc>
        <w:tc>
          <w:tcPr>
            <w:tcW w:w="1460" w:type="dxa"/>
            <w:vAlign w:val="bottom"/>
          </w:tcPr>
          <w:p>
            <w:pPr>
              <w:jc w:val="center"/>
              <w:ind w:right="220"/>
              <w:spacing w:after="0"/>
              <w:rPr>
                <w:sz w:val="20"/>
                <w:szCs w:val="20"/>
                <w:color w:val="auto"/>
              </w:rPr>
            </w:pPr>
            <w:r>
              <w:rPr>
                <w:rFonts w:ascii="Arial" w:cs="Arial" w:eastAsia="Arial" w:hAnsi="Arial"/>
                <w:sz w:val="12"/>
                <w:szCs w:val="12"/>
                <w:color w:val="auto"/>
              </w:rPr>
              <w:t>13.25%</w:t>
            </w:r>
          </w:p>
        </w:tc>
        <w:tc>
          <w:tcPr>
            <w:tcW w:w="940" w:type="dxa"/>
            <w:vAlign w:val="bottom"/>
          </w:tcPr>
          <w:p>
            <w:pPr>
              <w:jc w:val="center"/>
              <w:ind w:right="160"/>
              <w:spacing w:after="0"/>
              <w:rPr>
                <w:sz w:val="20"/>
                <w:szCs w:val="20"/>
                <w:color w:val="auto"/>
              </w:rPr>
            </w:pPr>
            <w:r>
              <w:rPr>
                <w:rFonts w:ascii="Arial" w:cs="Arial" w:eastAsia="Arial" w:hAnsi="Arial"/>
                <w:sz w:val="12"/>
                <w:szCs w:val="12"/>
                <w:color w:val="auto"/>
                <w:w w:val="98"/>
              </w:rPr>
              <w:t>12.24%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12.82%</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58 bps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-42 bps</w:t>
            </w:r>
          </w:p>
        </w:tc>
      </w:tr>
      <w:tr>
        <w:trPr>
          <w:trHeight w:val="156"/>
        </w:trPr>
        <w:tc>
          <w:tcPr>
            <w:tcW w:w="4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Tier 1 Capital ratio</w:t>
            </w:r>
          </w:p>
        </w:tc>
        <w:tc>
          <w:tcPr>
            <w:tcW w:w="1460" w:type="dxa"/>
            <w:vAlign w:val="bottom"/>
          </w:tcPr>
          <w:p>
            <w:pPr>
              <w:jc w:val="center"/>
              <w:ind w:right="220"/>
              <w:spacing w:after="0"/>
              <w:rPr>
                <w:sz w:val="20"/>
                <w:szCs w:val="20"/>
                <w:color w:val="auto"/>
              </w:rPr>
            </w:pPr>
            <w:r>
              <w:rPr>
                <w:rFonts w:ascii="Arial" w:cs="Arial" w:eastAsia="Arial" w:hAnsi="Arial"/>
                <w:sz w:val="12"/>
                <w:szCs w:val="12"/>
                <w:color w:val="auto"/>
              </w:rPr>
              <w:t>13.25%</w:t>
            </w:r>
          </w:p>
        </w:tc>
        <w:tc>
          <w:tcPr>
            <w:tcW w:w="940" w:type="dxa"/>
            <w:vAlign w:val="bottom"/>
          </w:tcPr>
          <w:p>
            <w:pPr>
              <w:jc w:val="center"/>
              <w:ind w:right="160"/>
              <w:spacing w:after="0"/>
              <w:rPr>
                <w:sz w:val="20"/>
                <w:szCs w:val="20"/>
                <w:color w:val="auto"/>
              </w:rPr>
            </w:pPr>
            <w:r>
              <w:rPr>
                <w:rFonts w:ascii="Arial" w:cs="Arial" w:eastAsia="Arial" w:hAnsi="Arial"/>
                <w:sz w:val="12"/>
                <w:szCs w:val="12"/>
                <w:color w:val="auto"/>
                <w:w w:val="98"/>
              </w:rPr>
              <w:t>12.24%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12.82%</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58 bps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-42 bps</w:t>
            </w:r>
          </w:p>
        </w:tc>
      </w:tr>
      <w:tr>
        <w:trPr>
          <w:trHeight w:val="157"/>
        </w:trPr>
        <w:tc>
          <w:tcPr>
            <w:tcW w:w="4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Regulatory Global Capital ratio</w:t>
            </w:r>
          </w:p>
        </w:tc>
        <w:tc>
          <w:tcPr>
            <w:tcW w:w="146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color w:val="auto"/>
              </w:rPr>
              <w:t>18.96%</w:t>
            </w: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color w:val="auto"/>
                <w:w w:val="98"/>
              </w:rPr>
              <w:t>17.33%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17.72%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38 bps</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-125 bps</w:t>
            </w:r>
          </w:p>
        </w:tc>
      </w:tr>
    </w:tbl>
    <w:p>
      <w:pPr>
        <w:spacing w:after="0" w:line="180" w:lineRule="exact"/>
        <w:rPr>
          <w:sz w:val="20"/>
          <w:szCs w:val="20"/>
          <w:color w:val="auto"/>
        </w:rPr>
      </w:pPr>
    </w:p>
    <w:p>
      <w:pPr>
        <w:ind w:left="1160" w:hanging="146"/>
        <w:spacing w:after="0"/>
        <w:tabs>
          <w:tab w:leader="none" w:pos="1160" w:val="left"/>
        </w:tabs>
        <w:numPr>
          <w:ilvl w:val="0"/>
          <w:numId w:val="52"/>
        </w:numPr>
        <w:rPr>
          <w:rFonts w:ascii="Arial" w:cs="Arial" w:eastAsia="Arial" w:hAnsi="Arial"/>
          <w:sz w:val="11"/>
          <w:szCs w:val="11"/>
          <w:color w:val="auto"/>
        </w:rPr>
      </w:pPr>
      <w:r>
        <w:rPr>
          <w:rFonts w:ascii="Arial" w:cs="Arial" w:eastAsia="Arial" w:hAnsi="Arial"/>
          <w:sz w:val="11"/>
          <w:szCs w:val="11"/>
          <w:color w:val="auto"/>
        </w:rPr>
        <w:t>Up to 1.25% of total risk-weighted assets.</w:t>
      </w:r>
    </w:p>
    <w:p>
      <w:pPr>
        <w:spacing w:after="0" w:line="15" w:lineRule="exact"/>
        <w:rPr>
          <w:rFonts w:ascii="Arial" w:cs="Arial" w:eastAsia="Arial" w:hAnsi="Arial"/>
          <w:sz w:val="11"/>
          <w:szCs w:val="11"/>
          <w:color w:val="auto"/>
        </w:rPr>
      </w:pPr>
    </w:p>
    <w:p>
      <w:pPr>
        <w:ind w:left="1020" w:right="100" w:hanging="6"/>
        <w:spacing w:after="0" w:line="250" w:lineRule="auto"/>
        <w:tabs>
          <w:tab w:leader="none" w:pos="1170" w:val="left"/>
        </w:tabs>
        <w:numPr>
          <w:ilvl w:val="0"/>
          <w:numId w:val="52"/>
        </w:numPr>
        <w:rPr>
          <w:rFonts w:ascii="Arial" w:cs="Arial" w:eastAsia="Arial" w:hAnsi="Arial"/>
          <w:sz w:val="11"/>
          <w:szCs w:val="11"/>
          <w:color w:val="auto"/>
        </w:rPr>
      </w:pPr>
      <w:r>
        <w:rPr>
          <w:rFonts w:ascii="Arial" w:cs="Arial" w:eastAsia="Arial" w:hAnsi="Arial"/>
          <w:sz w:val="11"/>
          <w:szCs w:val="11"/>
          <w:color w:val="auto"/>
        </w:rPr>
        <w:t>Common Equity Tier 1 = Capital Stock + Reserves + Accumulated earnings – Unrealized profits or losses - 100% deductions (investment in subsidiaries, goodwill, intangible assets and deferred tax assets based on future returns).</w:t>
      </w:r>
    </w:p>
    <w:p>
      <w:pPr>
        <w:ind w:left="1160" w:hanging="146"/>
        <w:spacing w:after="0"/>
        <w:tabs>
          <w:tab w:leader="none" w:pos="1160" w:val="left"/>
        </w:tabs>
        <w:numPr>
          <w:ilvl w:val="0"/>
          <w:numId w:val="52"/>
        </w:numPr>
        <w:rPr>
          <w:rFonts w:ascii="Arial" w:cs="Arial" w:eastAsia="Arial" w:hAnsi="Arial"/>
          <w:sz w:val="11"/>
          <w:szCs w:val="11"/>
          <w:color w:val="auto"/>
        </w:rPr>
      </w:pPr>
      <w:r>
        <w:rPr>
          <w:rFonts w:ascii="Arial" w:cs="Arial" w:eastAsia="Arial" w:hAnsi="Arial"/>
          <w:sz w:val="11"/>
          <w:szCs w:val="11"/>
          <w:color w:val="auto"/>
        </w:rPr>
        <w:t>Regulatory Tier 1 Capital = Common Equity Tier 1 + Tier 1 Subordinated Debt (Perpetual).</w:t>
      </w:r>
    </w:p>
    <w:p>
      <w:pPr>
        <w:spacing w:after="0" w:line="5" w:lineRule="exact"/>
        <w:rPr>
          <w:rFonts w:ascii="Arial" w:cs="Arial" w:eastAsia="Arial" w:hAnsi="Arial"/>
          <w:sz w:val="11"/>
          <w:szCs w:val="11"/>
          <w:color w:val="auto"/>
        </w:rPr>
      </w:pPr>
    </w:p>
    <w:p>
      <w:pPr>
        <w:ind w:left="1160" w:hanging="146"/>
        <w:spacing w:after="0"/>
        <w:tabs>
          <w:tab w:leader="none" w:pos="1160" w:val="left"/>
        </w:tabs>
        <w:numPr>
          <w:ilvl w:val="0"/>
          <w:numId w:val="52"/>
        </w:numPr>
        <w:rPr>
          <w:rFonts w:ascii="Arial" w:cs="Arial" w:eastAsia="Arial" w:hAnsi="Arial"/>
          <w:sz w:val="11"/>
          <w:szCs w:val="11"/>
          <w:color w:val="auto"/>
        </w:rPr>
      </w:pPr>
      <w:r>
        <w:rPr>
          <w:rFonts w:ascii="Arial" w:cs="Arial" w:eastAsia="Arial" w:hAnsi="Arial"/>
          <w:sz w:val="11"/>
          <w:szCs w:val="11"/>
          <w:color w:val="auto"/>
        </w:rPr>
        <w:t>Regulatory Tier 2 Capital = Subordinated Debt + Loan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683260</wp:posOffset>
            </wp:positionV>
            <wp:extent cx="663892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638925" cy="1524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111760</wp:posOffset>
            </wp:positionV>
            <wp:extent cx="5998845" cy="4800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98845" cy="480060"/>
                    </a:xfrm>
                    <a:prstGeom prst="rect">
                      <a:avLst/>
                    </a:prstGeom>
                    <a:noFill/>
                  </pic:spPr>
                </pic:pic>
              </a:graphicData>
            </a:graphic>
          </wp:anchor>
        </w:drawing>
      </w:r>
    </w:p>
    <w:p>
      <w:pPr>
        <w:sectPr>
          <w:pgSz w:w="11900" w:h="16840" w:orient="portrait"/>
          <w:cols w:equalWidth="0" w:num="1">
            <w:col w:w="10460"/>
          </w:cols>
          <w:pgMar w:left="660" w:top="931" w:right="780" w:bottom="1440" w:gutter="0" w:footer="0" w:header="0"/>
        </w:sectPr>
      </w:pPr>
    </w:p>
    <w:bookmarkStart w:id="57" w:name="page58"/>
    <w:bookmarkEnd w:id="57"/>
    <w:p>
      <w:pPr>
        <w:ind w:left="2520"/>
        <w:spacing w:after="0"/>
        <w:tabs>
          <w:tab w:leader="none" w:pos="2760" w:val="left"/>
          <w:tab w:leader="none" w:pos="81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638925" cy="662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63892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638925" cy="205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63892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Regulatory Capital and Capital Adequacy Ratios at Mibanco</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468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Regulatory Capital</w:t>
            </w:r>
          </w:p>
        </w:tc>
        <w:tc>
          <w:tcPr>
            <w:tcW w:w="1160" w:type="dxa"/>
            <w:vAlign w:val="bottom"/>
            <w:tcBorders>
              <w:top w:val="single" w:sz="8" w:color="auto"/>
            </w:tcBorders>
            <w:shd w:val="clear" w:color="auto" w:fill="33CCCC"/>
          </w:tcPr>
          <w:p>
            <w:pPr>
              <w:spacing w:after="0"/>
              <w:rPr>
                <w:sz w:val="12"/>
                <w:szCs w:val="12"/>
                <w:color w:val="auto"/>
              </w:rPr>
            </w:pPr>
          </w:p>
        </w:tc>
        <w:tc>
          <w:tcPr>
            <w:tcW w:w="114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4"/>
              </w:rPr>
              <w:t>As of</w:t>
            </w:r>
          </w:p>
        </w:tc>
        <w:tc>
          <w:tcPr>
            <w:tcW w:w="1180" w:type="dxa"/>
            <w:vAlign w:val="bottom"/>
            <w:tcBorders>
              <w:top w:val="single" w:sz="8" w:color="auto"/>
              <w:right w:val="single" w:sz="8" w:color="auto"/>
            </w:tcBorders>
            <w:shd w:val="clear" w:color="auto" w:fill="33CCCC"/>
          </w:tcPr>
          <w:p>
            <w:pPr>
              <w:spacing w:after="0"/>
              <w:rPr>
                <w:sz w:val="12"/>
                <w:szCs w:val="12"/>
                <w:color w:val="auto"/>
              </w:rPr>
            </w:pPr>
          </w:p>
        </w:tc>
        <w:tc>
          <w:tcPr>
            <w:tcW w:w="800" w:type="dxa"/>
            <w:vAlign w:val="bottom"/>
            <w:tcBorders>
              <w:top w:val="single" w:sz="8" w:color="auto"/>
            </w:tcBorders>
            <w:shd w:val="clear" w:color="auto" w:fill="33CCCC"/>
          </w:tcPr>
          <w:p>
            <w:pPr>
              <w:spacing w:after="0"/>
              <w:rPr>
                <w:sz w:val="12"/>
                <w:szCs w:val="12"/>
                <w:color w:val="auto"/>
              </w:rPr>
            </w:pPr>
          </w:p>
        </w:tc>
        <w:tc>
          <w:tcPr>
            <w:tcW w:w="1500" w:type="dxa"/>
            <w:vAlign w:val="bottom"/>
            <w:tcBorders>
              <w:top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1"/>
                <w:szCs w:val="11"/>
                <w:b w:val="1"/>
                <w:bCs w:val="1"/>
                <w:color w:val="FFFFFF"/>
              </w:rPr>
              <w:t>% Change</w:t>
            </w:r>
          </w:p>
        </w:tc>
      </w:tr>
      <w:tr>
        <w:trPr>
          <w:trHeight w:val="132"/>
        </w:trPr>
        <w:tc>
          <w:tcPr>
            <w:tcW w:w="4680" w:type="dxa"/>
            <w:vAlign w:val="bottom"/>
            <w:tcBorders>
              <w:left w:val="single" w:sz="8" w:color="auto"/>
              <w:bottom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1"/>
                <w:szCs w:val="11"/>
                <w:color w:val="FFFFFF"/>
              </w:rPr>
              <w:t>(S/ thousand)</w:t>
            </w:r>
          </w:p>
        </w:tc>
        <w:tc>
          <w:tcPr>
            <w:tcW w:w="11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5"/>
              </w:rPr>
              <w:t>Sep 24</w:t>
            </w:r>
          </w:p>
        </w:tc>
        <w:tc>
          <w:tcPr>
            <w:tcW w:w="11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Jun 25</w:t>
            </w:r>
          </w:p>
        </w:tc>
        <w:tc>
          <w:tcPr>
            <w:tcW w:w="11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5"/>
              </w:rPr>
              <w:t>Sep 25</w:t>
            </w:r>
          </w:p>
        </w:tc>
        <w:tc>
          <w:tcPr>
            <w:tcW w:w="800" w:type="dxa"/>
            <w:vAlign w:val="bottom"/>
            <w:tcBorders>
              <w:bottom w:val="single" w:sz="8" w:color="auto"/>
            </w:tcBorders>
            <w:shd w:val="clear" w:color="auto" w:fill="33CCCC"/>
          </w:tcPr>
          <w:p>
            <w:pPr>
              <w:jc w:val="center"/>
              <w:ind w:left="285"/>
              <w:spacing w:after="0"/>
              <w:rPr>
                <w:sz w:val="20"/>
                <w:szCs w:val="20"/>
                <w:color w:val="auto"/>
              </w:rPr>
            </w:pPr>
            <w:r>
              <w:rPr>
                <w:rFonts w:ascii="Arial" w:cs="Arial" w:eastAsia="Arial" w:hAnsi="Arial"/>
                <w:sz w:val="11"/>
                <w:szCs w:val="11"/>
                <w:b w:val="1"/>
                <w:bCs w:val="1"/>
                <w:color w:val="FFFFFF"/>
                <w:w w:val="92"/>
              </w:rPr>
              <w:t>QoQ</w:t>
            </w:r>
          </w:p>
        </w:tc>
        <w:tc>
          <w:tcPr>
            <w:tcW w:w="1500" w:type="dxa"/>
            <w:vAlign w:val="bottom"/>
            <w:tcBorders>
              <w:bottom w:val="single" w:sz="8" w:color="auto"/>
              <w:right w:val="single" w:sz="8" w:color="auto"/>
            </w:tcBorders>
            <w:shd w:val="clear" w:color="auto" w:fill="33CCCC"/>
          </w:tcPr>
          <w:p>
            <w:pPr>
              <w:jc w:val="center"/>
              <w:ind w:left="285"/>
              <w:spacing w:after="0"/>
              <w:rPr>
                <w:sz w:val="20"/>
                <w:szCs w:val="20"/>
                <w:color w:val="auto"/>
              </w:rPr>
            </w:pPr>
            <w:r>
              <w:rPr>
                <w:rFonts w:ascii="Arial" w:cs="Arial" w:eastAsia="Arial" w:hAnsi="Arial"/>
                <w:sz w:val="11"/>
                <w:szCs w:val="11"/>
                <w:b w:val="1"/>
                <w:bCs w:val="1"/>
                <w:color w:val="FFFFFF"/>
                <w:w w:val="93"/>
              </w:rPr>
              <w:t>YoY</w:t>
            </w:r>
          </w:p>
        </w:tc>
      </w:tr>
      <w:tr>
        <w:trPr>
          <w:trHeight w:val="124"/>
        </w:trPr>
        <w:tc>
          <w:tcPr>
            <w:tcW w:w="46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Capital Stock</w:t>
            </w:r>
          </w:p>
        </w:tc>
        <w:tc>
          <w:tcPr>
            <w:tcW w:w="1160" w:type="dxa"/>
            <w:vAlign w:val="bottom"/>
          </w:tcPr>
          <w:p>
            <w:pPr>
              <w:jc w:val="center"/>
              <w:spacing w:after="0" w:line="124" w:lineRule="exact"/>
              <w:rPr>
                <w:sz w:val="20"/>
                <w:szCs w:val="20"/>
                <w:color w:val="auto"/>
              </w:rPr>
            </w:pPr>
            <w:r>
              <w:rPr>
                <w:rFonts w:ascii="Arial" w:cs="Arial" w:eastAsia="Arial" w:hAnsi="Arial"/>
                <w:sz w:val="11"/>
                <w:szCs w:val="11"/>
                <w:color w:val="auto"/>
                <w:w w:val="97"/>
              </w:rPr>
              <w:t>1,840,606</w:t>
            </w:r>
          </w:p>
        </w:tc>
        <w:tc>
          <w:tcPr>
            <w:tcW w:w="1140" w:type="dxa"/>
            <w:vAlign w:val="bottom"/>
          </w:tcPr>
          <w:p>
            <w:pPr>
              <w:jc w:val="center"/>
              <w:spacing w:after="0" w:line="124" w:lineRule="exact"/>
              <w:rPr>
                <w:sz w:val="20"/>
                <w:szCs w:val="20"/>
                <w:color w:val="auto"/>
              </w:rPr>
            </w:pPr>
            <w:r>
              <w:rPr>
                <w:rFonts w:ascii="Arial" w:cs="Arial" w:eastAsia="Arial" w:hAnsi="Arial"/>
                <w:sz w:val="11"/>
                <w:szCs w:val="11"/>
                <w:color w:val="auto"/>
                <w:w w:val="97"/>
              </w:rPr>
              <w:t>1,840,606</w:t>
            </w:r>
          </w:p>
        </w:tc>
        <w:tc>
          <w:tcPr>
            <w:tcW w:w="11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1,840,606</w:t>
            </w:r>
          </w:p>
        </w:tc>
        <w:tc>
          <w:tcPr>
            <w:tcW w:w="800" w:type="dxa"/>
            <w:vAlign w:val="bottom"/>
          </w:tcPr>
          <w:p>
            <w:pPr>
              <w:jc w:val="center"/>
              <w:ind w:left="265"/>
              <w:spacing w:after="0" w:line="124" w:lineRule="exact"/>
              <w:rPr>
                <w:sz w:val="20"/>
                <w:szCs w:val="20"/>
                <w:color w:val="auto"/>
              </w:rPr>
            </w:pPr>
            <w:r>
              <w:rPr>
                <w:rFonts w:ascii="Arial" w:cs="Arial" w:eastAsia="Arial" w:hAnsi="Arial"/>
                <w:sz w:val="11"/>
                <w:szCs w:val="11"/>
                <w:color w:val="auto"/>
                <w:w w:val="95"/>
              </w:rPr>
              <w:t>0.0%</w:t>
            </w:r>
          </w:p>
        </w:tc>
        <w:tc>
          <w:tcPr>
            <w:tcW w:w="1500" w:type="dxa"/>
            <w:vAlign w:val="bottom"/>
            <w:tcBorders>
              <w:right w:val="single" w:sz="8" w:color="auto"/>
            </w:tcBorders>
          </w:tcPr>
          <w:p>
            <w:pPr>
              <w:jc w:val="center"/>
              <w:ind w:left="265"/>
              <w:spacing w:after="0" w:line="124" w:lineRule="exact"/>
              <w:rPr>
                <w:sz w:val="20"/>
                <w:szCs w:val="20"/>
                <w:color w:val="auto"/>
              </w:rPr>
            </w:pPr>
            <w:r>
              <w:rPr>
                <w:rFonts w:ascii="Arial" w:cs="Arial" w:eastAsia="Arial" w:hAnsi="Arial"/>
                <w:sz w:val="11"/>
                <w:szCs w:val="11"/>
                <w:color w:val="auto"/>
              </w:rPr>
              <w:t>0.0%</w:t>
            </w:r>
          </w:p>
        </w:tc>
      </w:tr>
      <w:tr>
        <w:trPr>
          <w:trHeight w:val="132"/>
        </w:trPr>
        <w:tc>
          <w:tcPr>
            <w:tcW w:w="4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Reserves</w:t>
            </w:r>
          </w:p>
        </w:tc>
        <w:tc>
          <w:tcPr>
            <w:tcW w:w="1160" w:type="dxa"/>
            <w:vAlign w:val="bottom"/>
          </w:tcPr>
          <w:p>
            <w:pPr>
              <w:jc w:val="center"/>
              <w:spacing w:after="0"/>
              <w:rPr>
                <w:sz w:val="20"/>
                <w:szCs w:val="20"/>
                <w:color w:val="auto"/>
              </w:rPr>
            </w:pPr>
            <w:r>
              <w:rPr>
                <w:rFonts w:ascii="Arial" w:cs="Arial" w:eastAsia="Arial" w:hAnsi="Arial"/>
                <w:sz w:val="11"/>
                <w:szCs w:val="11"/>
                <w:color w:val="auto"/>
                <w:w w:val="95"/>
              </w:rPr>
              <w:t>334,650</w:t>
            </w:r>
          </w:p>
        </w:tc>
        <w:tc>
          <w:tcPr>
            <w:tcW w:w="1140" w:type="dxa"/>
            <w:vAlign w:val="bottom"/>
          </w:tcPr>
          <w:p>
            <w:pPr>
              <w:jc w:val="center"/>
              <w:spacing w:after="0"/>
              <w:rPr>
                <w:sz w:val="20"/>
                <w:szCs w:val="20"/>
                <w:color w:val="auto"/>
              </w:rPr>
            </w:pPr>
            <w:r>
              <w:rPr>
                <w:rFonts w:ascii="Arial" w:cs="Arial" w:eastAsia="Arial" w:hAnsi="Arial"/>
                <w:sz w:val="11"/>
                <w:szCs w:val="11"/>
                <w:color w:val="auto"/>
                <w:w w:val="95"/>
              </w:rPr>
              <w:t>365,847</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365,847</w:t>
            </w:r>
          </w:p>
        </w:tc>
        <w:tc>
          <w:tcPr>
            <w:tcW w:w="800" w:type="dxa"/>
            <w:vAlign w:val="bottom"/>
          </w:tcPr>
          <w:p>
            <w:pPr>
              <w:jc w:val="center"/>
              <w:ind w:left="265"/>
              <w:spacing w:after="0"/>
              <w:rPr>
                <w:sz w:val="20"/>
                <w:szCs w:val="20"/>
                <w:color w:val="auto"/>
              </w:rPr>
            </w:pPr>
            <w:r>
              <w:rPr>
                <w:rFonts w:ascii="Arial" w:cs="Arial" w:eastAsia="Arial" w:hAnsi="Arial"/>
                <w:sz w:val="11"/>
                <w:szCs w:val="11"/>
                <w:color w:val="auto"/>
                <w:w w:val="95"/>
              </w:rPr>
              <w:t>0.0%</w:t>
            </w:r>
          </w:p>
        </w:tc>
        <w:tc>
          <w:tcPr>
            <w:tcW w:w="1500" w:type="dxa"/>
            <w:vAlign w:val="bottom"/>
            <w:tcBorders>
              <w:right w:val="single" w:sz="8" w:color="auto"/>
            </w:tcBorders>
          </w:tcPr>
          <w:p>
            <w:pPr>
              <w:jc w:val="center"/>
              <w:ind w:left="265"/>
              <w:spacing w:after="0"/>
              <w:rPr>
                <w:sz w:val="20"/>
                <w:szCs w:val="20"/>
                <w:color w:val="auto"/>
              </w:rPr>
            </w:pPr>
            <w:r>
              <w:rPr>
                <w:rFonts w:ascii="Arial" w:cs="Arial" w:eastAsia="Arial" w:hAnsi="Arial"/>
                <w:sz w:val="11"/>
                <w:szCs w:val="11"/>
                <w:color w:val="auto"/>
              </w:rPr>
              <w:t>9.3%</w:t>
            </w:r>
          </w:p>
        </w:tc>
      </w:tr>
      <w:tr>
        <w:trPr>
          <w:trHeight w:val="121"/>
        </w:trPr>
        <w:tc>
          <w:tcPr>
            <w:tcW w:w="4680" w:type="dxa"/>
            <w:vAlign w:val="bottom"/>
            <w:tcBorders>
              <w:left w:val="single" w:sz="8" w:color="auto"/>
              <w:right w:val="single" w:sz="8" w:color="auto"/>
            </w:tcBorders>
          </w:tcPr>
          <w:p>
            <w:pPr>
              <w:ind w:left="160"/>
              <w:spacing w:after="0" w:line="121" w:lineRule="exact"/>
              <w:rPr>
                <w:sz w:val="20"/>
                <w:szCs w:val="20"/>
                <w:color w:val="auto"/>
              </w:rPr>
            </w:pPr>
            <w:r>
              <w:rPr>
                <w:rFonts w:ascii="Arial" w:cs="Arial" w:eastAsia="Arial" w:hAnsi="Arial"/>
                <w:sz w:val="11"/>
                <w:szCs w:val="11"/>
                <w:color w:val="auto"/>
              </w:rPr>
              <w:t>Accumulated earnings</w:t>
            </w:r>
          </w:p>
        </w:tc>
        <w:tc>
          <w:tcPr>
            <w:tcW w:w="1160" w:type="dxa"/>
            <w:vAlign w:val="bottom"/>
          </w:tcPr>
          <w:p>
            <w:pPr>
              <w:jc w:val="center"/>
              <w:spacing w:after="0" w:line="121" w:lineRule="exact"/>
              <w:rPr>
                <w:sz w:val="20"/>
                <w:szCs w:val="20"/>
                <w:color w:val="auto"/>
              </w:rPr>
            </w:pPr>
            <w:r>
              <w:rPr>
                <w:rFonts w:ascii="Arial" w:cs="Arial" w:eastAsia="Arial" w:hAnsi="Arial"/>
                <w:sz w:val="11"/>
                <w:szCs w:val="11"/>
                <w:color w:val="auto"/>
                <w:w w:val="95"/>
              </w:rPr>
              <w:t>424,627</w:t>
            </w:r>
          </w:p>
        </w:tc>
        <w:tc>
          <w:tcPr>
            <w:tcW w:w="1140" w:type="dxa"/>
            <w:vAlign w:val="bottom"/>
          </w:tcPr>
          <w:p>
            <w:pPr>
              <w:jc w:val="center"/>
              <w:spacing w:after="0" w:line="121" w:lineRule="exact"/>
              <w:rPr>
                <w:sz w:val="20"/>
                <w:szCs w:val="20"/>
                <w:color w:val="auto"/>
              </w:rPr>
            </w:pPr>
            <w:r>
              <w:rPr>
                <w:rFonts w:ascii="Arial" w:cs="Arial" w:eastAsia="Arial" w:hAnsi="Arial"/>
                <w:sz w:val="11"/>
                <w:szCs w:val="11"/>
                <w:color w:val="auto"/>
                <w:w w:val="95"/>
              </w:rPr>
              <w:t>238,272</w:t>
            </w:r>
          </w:p>
        </w:tc>
        <w:tc>
          <w:tcPr>
            <w:tcW w:w="11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w w:val="95"/>
              </w:rPr>
              <w:t>394,428</w:t>
            </w:r>
          </w:p>
        </w:tc>
        <w:tc>
          <w:tcPr>
            <w:tcW w:w="800" w:type="dxa"/>
            <w:vAlign w:val="bottom"/>
          </w:tcPr>
          <w:p>
            <w:pPr>
              <w:jc w:val="center"/>
              <w:ind w:left="285"/>
              <w:spacing w:after="0" w:line="121" w:lineRule="exact"/>
              <w:rPr>
                <w:sz w:val="20"/>
                <w:szCs w:val="20"/>
                <w:color w:val="auto"/>
              </w:rPr>
            </w:pPr>
            <w:r>
              <w:rPr>
                <w:rFonts w:ascii="Arial" w:cs="Arial" w:eastAsia="Arial" w:hAnsi="Arial"/>
                <w:sz w:val="11"/>
                <w:szCs w:val="11"/>
                <w:color w:val="auto"/>
                <w:w w:val="96"/>
              </w:rPr>
              <w:t>65.5%</w:t>
            </w:r>
          </w:p>
        </w:tc>
        <w:tc>
          <w:tcPr>
            <w:tcW w:w="1500" w:type="dxa"/>
            <w:vAlign w:val="bottom"/>
            <w:tcBorders>
              <w:right w:val="single" w:sz="8" w:color="auto"/>
            </w:tcBorders>
          </w:tcPr>
          <w:p>
            <w:pPr>
              <w:jc w:val="center"/>
              <w:ind w:left="245"/>
              <w:spacing w:after="0" w:line="121" w:lineRule="exact"/>
              <w:rPr>
                <w:sz w:val="20"/>
                <w:szCs w:val="20"/>
                <w:color w:val="auto"/>
              </w:rPr>
            </w:pPr>
            <w:r>
              <w:rPr>
                <w:rFonts w:ascii="Arial" w:cs="Arial" w:eastAsia="Arial" w:hAnsi="Arial"/>
                <w:sz w:val="11"/>
                <w:szCs w:val="11"/>
                <w:color w:val="auto"/>
                <w:w w:val="97"/>
              </w:rPr>
              <w:t>-7.1%</w:t>
            </w:r>
          </w:p>
        </w:tc>
      </w:tr>
      <w:tr>
        <w:trPr>
          <w:trHeight w:val="143"/>
        </w:trPr>
        <w:tc>
          <w:tcPr>
            <w:tcW w:w="4680" w:type="dxa"/>
            <w:vAlign w:val="bottom"/>
            <w:tcBorders>
              <w:left w:val="single" w:sz="8" w:color="auto"/>
              <w:right w:val="single" w:sz="8" w:color="auto"/>
            </w:tcBorders>
          </w:tcPr>
          <w:p>
            <w:pPr>
              <w:ind w:left="160"/>
              <w:spacing w:after="0" w:line="143" w:lineRule="exact"/>
              <w:rPr>
                <w:sz w:val="20"/>
                <w:szCs w:val="20"/>
                <w:color w:val="auto"/>
              </w:rPr>
            </w:pPr>
            <w:r>
              <w:rPr>
                <w:rFonts w:ascii="Arial" w:cs="Arial" w:eastAsia="Arial" w:hAnsi="Arial"/>
                <w:sz w:val="9"/>
                <w:szCs w:val="9"/>
                <w:color w:val="auto"/>
              </w:rPr>
              <w:t xml:space="preserve">Loan loss reserves </w:t>
            </w:r>
            <w:r>
              <w:rPr>
                <w:rFonts w:ascii="Arial" w:cs="Arial" w:eastAsia="Arial" w:hAnsi="Arial"/>
                <w:sz w:val="16"/>
                <w:szCs w:val="16"/>
                <w:color w:val="auto"/>
                <w:vertAlign w:val="superscript"/>
              </w:rPr>
              <w:t>(1)</w:t>
            </w:r>
          </w:p>
        </w:tc>
        <w:tc>
          <w:tcPr>
            <w:tcW w:w="1160" w:type="dxa"/>
            <w:vAlign w:val="bottom"/>
          </w:tcPr>
          <w:p>
            <w:pPr>
              <w:jc w:val="center"/>
              <w:spacing w:after="0"/>
              <w:rPr>
                <w:sz w:val="20"/>
                <w:szCs w:val="20"/>
                <w:color w:val="auto"/>
              </w:rPr>
            </w:pPr>
            <w:r>
              <w:rPr>
                <w:rFonts w:ascii="Arial" w:cs="Arial" w:eastAsia="Arial" w:hAnsi="Arial"/>
                <w:sz w:val="11"/>
                <w:szCs w:val="11"/>
                <w:color w:val="auto"/>
                <w:w w:val="95"/>
              </w:rPr>
              <w:t>143,193</w:t>
            </w:r>
          </w:p>
        </w:tc>
        <w:tc>
          <w:tcPr>
            <w:tcW w:w="1140" w:type="dxa"/>
            <w:vAlign w:val="bottom"/>
          </w:tcPr>
          <w:p>
            <w:pPr>
              <w:jc w:val="center"/>
              <w:spacing w:after="0"/>
              <w:rPr>
                <w:sz w:val="20"/>
                <w:szCs w:val="20"/>
                <w:color w:val="auto"/>
              </w:rPr>
            </w:pPr>
            <w:r>
              <w:rPr>
                <w:rFonts w:ascii="Arial" w:cs="Arial" w:eastAsia="Arial" w:hAnsi="Arial"/>
                <w:sz w:val="11"/>
                <w:szCs w:val="11"/>
                <w:color w:val="auto"/>
                <w:w w:val="95"/>
              </w:rPr>
              <w:t>153,732</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158,725</w:t>
            </w:r>
          </w:p>
        </w:tc>
        <w:tc>
          <w:tcPr>
            <w:tcW w:w="800" w:type="dxa"/>
            <w:vAlign w:val="bottom"/>
          </w:tcPr>
          <w:p>
            <w:pPr>
              <w:jc w:val="center"/>
              <w:ind w:left="265"/>
              <w:spacing w:after="0"/>
              <w:rPr>
                <w:sz w:val="20"/>
                <w:szCs w:val="20"/>
                <w:color w:val="auto"/>
              </w:rPr>
            </w:pPr>
            <w:r>
              <w:rPr>
                <w:rFonts w:ascii="Arial" w:cs="Arial" w:eastAsia="Arial" w:hAnsi="Arial"/>
                <w:sz w:val="11"/>
                <w:szCs w:val="11"/>
                <w:color w:val="auto"/>
                <w:w w:val="95"/>
              </w:rPr>
              <w:t>3.2%</w:t>
            </w:r>
          </w:p>
        </w:tc>
        <w:tc>
          <w:tcPr>
            <w:tcW w:w="1500" w:type="dxa"/>
            <w:vAlign w:val="bottom"/>
            <w:tcBorders>
              <w:right w:val="single" w:sz="8" w:color="auto"/>
            </w:tcBorders>
          </w:tcPr>
          <w:p>
            <w:pPr>
              <w:jc w:val="center"/>
              <w:ind w:left="265"/>
              <w:spacing w:after="0"/>
              <w:rPr>
                <w:sz w:val="20"/>
                <w:szCs w:val="20"/>
                <w:color w:val="auto"/>
              </w:rPr>
            </w:pPr>
            <w:r>
              <w:rPr>
                <w:rFonts w:ascii="Arial" w:cs="Arial" w:eastAsia="Arial" w:hAnsi="Arial"/>
                <w:sz w:val="11"/>
                <w:szCs w:val="11"/>
                <w:color w:val="auto"/>
                <w:w w:val="96"/>
              </w:rPr>
              <w:t>10.8%</w:t>
            </w:r>
          </w:p>
        </w:tc>
      </w:tr>
      <w:tr>
        <w:trPr>
          <w:trHeight w:val="132"/>
        </w:trPr>
        <w:tc>
          <w:tcPr>
            <w:tcW w:w="4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Perpetual subordinated debt</w:t>
            </w:r>
          </w:p>
        </w:tc>
        <w:tc>
          <w:tcPr>
            <w:tcW w:w="116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14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800" w:type="dxa"/>
            <w:vAlign w:val="bottom"/>
          </w:tcPr>
          <w:p>
            <w:pPr>
              <w:jc w:val="center"/>
              <w:ind w:left="265"/>
              <w:spacing w:after="0"/>
              <w:rPr>
                <w:sz w:val="20"/>
                <w:szCs w:val="20"/>
                <w:color w:val="auto"/>
              </w:rPr>
            </w:pPr>
            <w:r>
              <w:rPr>
                <w:rFonts w:ascii="Arial" w:cs="Arial" w:eastAsia="Arial" w:hAnsi="Arial"/>
                <w:sz w:val="11"/>
                <w:szCs w:val="11"/>
                <w:color w:val="auto"/>
              </w:rPr>
              <w:t>n.a</w:t>
            </w:r>
          </w:p>
        </w:tc>
        <w:tc>
          <w:tcPr>
            <w:tcW w:w="1500" w:type="dxa"/>
            <w:vAlign w:val="bottom"/>
            <w:tcBorders>
              <w:right w:val="single" w:sz="8" w:color="auto"/>
            </w:tcBorders>
          </w:tcPr>
          <w:p>
            <w:pPr>
              <w:jc w:val="center"/>
              <w:ind w:left="265"/>
              <w:spacing w:after="0"/>
              <w:rPr>
                <w:sz w:val="20"/>
                <w:szCs w:val="20"/>
                <w:color w:val="auto"/>
              </w:rPr>
            </w:pPr>
            <w:r>
              <w:rPr>
                <w:rFonts w:ascii="Arial" w:cs="Arial" w:eastAsia="Arial" w:hAnsi="Arial"/>
                <w:sz w:val="11"/>
                <w:szCs w:val="11"/>
                <w:color w:val="auto"/>
                <w:w w:val="97"/>
              </w:rPr>
              <w:t>n.a.</w:t>
            </w:r>
          </w:p>
        </w:tc>
      </w:tr>
      <w:tr>
        <w:trPr>
          <w:trHeight w:val="132"/>
        </w:trPr>
        <w:tc>
          <w:tcPr>
            <w:tcW w:w="4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Subordinated debt</w:t>
            </w:r>
          </w:p>
        </w:tc>
        <w:tc>
          <w:tcPr>
            <w:tcW w:w="1160" w:type="dxa"/>
            <w:vAlign w:val="bottom"/>
          </w:tcPr>
          <w:p>
            <w:pPr>
              <w:jc w:val="center"/>
              <w:spacing w:after="0"/>
              <w:rPr>
                <w:sz w:val="20"/>
                <w:szCs w:val="20"/>
                <w:color w:val="auto"/>
              </w:rPr>
            </w:pPr>
            <w:r>
              <w:rPr>
                <w:rFonts w:ascii="Arial" w:cs="Arial" w:eastAsia="Arial" w:hAnsi="Arial"/>
                <w:sz w:val="11"/>
                <w:szCs w:val="11"/>
                <w:color w:val="auto"/>
                <w:w w:val="95"/>
              </w:rPr>
              <w:t>167,000</w:t>
            </w:r>
          </w:p>
        </w:tc>
        <w:tc>
          <w:tcPr>
            <w:tcW w:w="1140" w:type="dxa"/>
            <w:vAlign w:val="bottom"/>
          </w:tcPr>
          <w:p>
            <w:pPr>
              <w:jc w:val="center"/>
              <w:spacing w:after="0"/>
              <w:rPr>
                <w:sz w:val="20"/>
                <w:szCs w:val="20"/>
                <w:color w:val="auto"/>
              </w:rPr>
            </w:pPr>
            <w:r>
              <w:rPr>
                <w:rFonts w:ascii="Arial" w:cs="Arial" w:eastAsia="Arial" w:hAnsi="Arial"/>
                <w:sz w:val="11"/>
                <w:szCs w:val="11"/>
                <w:color w:val="auto"/>
                <w:w w:val="95"/>
              </w:rPr>
              <w:t>261,000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388,551</w:t>
            </w:r>
          </w:p>
        </w:tc>
        <w:tc>
          <w:tcPr>
            <w:tcW w:w="800" w:type="dxa"/>
            <w:vAlign w:val="bottom"/>
          </w:tcPr>
          <w:p>
            <w:pPr>
              <w:jc w:val="center"/>
              <w:ind w:left="285"/>
              <w:spacing w:after="0"/>
              <w:rPr>
                <w:sz w:val="20"/>
                <w:szCs w:val="20"/>
                <w:color w:val="auto"/>
              </w:rPr>
            </w:pPr>
            <w:r>
              <w:rPr>
                <w:rFonts w:ascii="Arial" w:cs="Arial" w:eastAsia="Arial" w:hAnsi="Arial"/>
                <w:sz w:val="11"/>
                <w:szCs w:val="11"/>
                <w:color w:val="auto"/>
                <w:w w:val="96"/>
              </w:rPr>
              <w:t>48.9%</w:t>
            </w:r>
          </w:p>
        </w:tc>
        <w:tc>
          <w:tcPr>
            <w:tcW w:w="1500" w:type="dxa"/>
            <w:vAlign w:val="bottom"/>
            <w:tcBorders>
              <w:right w:val="single" w:sz="8" w:color="auto"/>
            </w:tcBorders>
          </w:tcPr>
          <w:p>
            <w:pPr>
              <w:jc w:val="center"/>
              <w:ind w:left="265"/>
              <w:spacing w:after="0"/>
              <w:rPr>
                <w:sz w:val="20"/>
                <w:szCs w:val="20"/>
                <w:color w:val="auto"/>
              </w:rPr>
            </w:pPr>
            <w:r>
              <w:rPr>
                <w:rFonts w:ascii="Arial" w:cs="Arial" w:eastAsia="Arial" w:hAnsi="Arial"/>
                <w:sz w:val="11"/>
                <w:szCs w:val="11"/>
                <w:color w:val="auto"/>
              </w:rPr>
              <w:t>132.7%</w:t>
            </w:r>
          </w:p>
        </w:tc>
      </w:tr>
      <w:tr>
        <w:trPr>
          <w:trHeight w:val="132"/>
        </w:trPr>
        <w:tc>
          <w:tcPr>
            <w:tcW w:w="4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Unrealidez Profit or Losses</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6,366</w:t>
            </w:r>
          </w:p>
        </w:tc>
        <w:tc>
          <w:tcPr>
            <w:tcW w:w="1140" w:type="dxa"/>
            <w:vAlign w:val="bottom"/>
          </w:tcPr>
          <w:p>
            <w:pPr>
              <w:jc w:val="center"/>
              <w:spacing w:after="0"/>
              <w:rPr>
                <w:sz w:val="20"/>
                <w:szCs w:val="20"/>
                <w:color w:val="auto"/>
              </w:rPr>
            </w:pPr>
            <w:r>
              <w:rPr>
                <w:rFonts w:ascii="Arial" w:cs="Arial" w:eastAsia="Arial" w:hAnsi="Arial"/>
                <w:sz w:val="11"/>
                <w:szCs w:val="11"/>
                <w:color w:val="auto"/>
                <w:w w:val="94"/>
              </w:rPr>
              <w:t>3,035</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7,294</w:t>
            </w:r>
          </w:p>
        </w:tc>
        <w:tc>
          <w:tcPr>
            <w:tcW w:w="800" w:type="dxa"/>
            <w:vAlign w:val="bottom"/>
          </w:tcPr>
          <w:p>
            <w:pPr>
              <w:jc w:val="center"/>
              <w:ind w:left="265"/>
              <w:spacing w:after="0"/>
              <w:rPr>
                <w:sz w:val="20"/>
                <w:szCs w:val="20"/>
                <w:color w:val="auto"/>
              </w:rPr>
            </w:pPr>
            <w:r>
              <w:rPr>
                <w:rFonts w:ascii="Arial" w:cs="Arial" w:eastAsia="Arial" w:hAnsi="Arial"/>
                <w:sz w:val="11"/>
                <w:szCs w:val="11"/>
                <w:color w:val="auto"/>
                <w:w w:val="96"/>
              </w:rPr>
              <w:t>140.3%</w:t>
            </w:r>
          </w:p>
        </w:tc>
        <w:tc>
          <w:tcPr>
            <w:tcW w:w="1500" w:type="dxa"/>
            <w:vAlign w:val="bottom"/>
            <w:tcBorders>
              <w:right w:val="single" w:sz="8" w:color="auto"/>
            </w:tcBorders>
          </w:tcPr>
          <w:p>
            <w:pPr>
              <w:jc w:val="center"/>
              <w:ind w:left="265"/>
              <w:spacing w:after="0"/>
              <w:rPr>
                <w:sz w:val="20"/>
                <w:szCs w:val="20"/>
                <w:color w:val="auto"/>
              </w:rPr>
            </w:pPr>
            <w:r>
              <w:rPr>
                <w:rFonts w:ascii="Arial" w:cs="Arial" w:eastAsia="Arial" w:hAnsi="Arial"/>
                <w:sz w:val="11"/>
                <w:szCs w:val="11"/>
                <w:color w:val="auto"/>
                <w:w w:val="96"/>
              </w:rPr>
              <w:t>14.6%</w:t>
            </w:r>
          </w:p>
        </w:tc>
      </w:tr>
      <w:tr>
        <w:trPr>
          <w:trHeight w:val="132"/>
        </w:trPr>
        <w:tc>
          <w:tcPr>
            <w:tcW w:w="4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Investment in subsidiaries and others, net of unrealized profit and net income in subsidiaries</w:t>
            </w:r>
          </w:p>
        </w:tc>
        <w:tc>
          <w:tcPr>
            <w:tcW w:w="1160" w:type="dxa"/>
            <w:vAlign w:val="bottom"/>
          </w:tcPr>
          <w:p>
            <w:pPr>
              <w:jc w:val="center"/>
              <w:spacing w:after="0"/>
              <w:rPr>
                <w:sz w:val="20"/>
                <w:szCs w:val="20"/>
                <w:color w:val="auto"/>
              </w:rPr>
            </w:pPr>
            <w:r>
              <w:rPr>
                <w:rFonts w:ascii="Arial" w:cs="Arial" w:eastAsia="Arial" w:hAnsi="Arial"/>
                <w:sz w:val="11"/>
                <w:szCs w:val="11"/>
                <w:color w:val="auto"/>
              </w:rPr>
              <w:t>(293)</w:t>
            </w:r>
          </w:p>
        </w:tc>
        <w:tc>
          <w:tcPr>
            <w:tcW w:w="1140" w:type="dxa"/>
            <w:vAlign w:val="bottom"/>
          </w:tcPr>
          <w:p>
            <w:pPr>
              <w:jc w:val="center"/>
              <w:spacing w:after="0"/>
              <w:rPr>
                <w:sz w:val="20"/>
                <w:szCs w:val="20"/>
                <w:color w:val="auto"/>
              </w:rPr>
            </w:pPr>
            <w:r>
              <w:rPr>
                <w:rFonts w:ascii="Arial" w:cs="Arial" w:eastAsia="Arial" w:hAnsi="Arial"/>
                <w:sz w:val="11"/>
                <w:szCs w:val="11"/>
                <w:color w:val="auto"/>
              </w:rPr>
              <w:t>(148)</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(164)</w:t>
            </w:r>
          </w:p>
        </w:tc>
        <w:tc>
          <w:tcPr>
            <w:tcW w:w="800" w:type="dxa"/>
            <w:vAlign w:val="bottom"/>
          </w:tcPr>
          <w:p>
            <w:pPr>
              <w:jc w:val="center"/>
              <w:ind w:left="285"/>
              <w:spacing w:after="0"/>
              <w:rPr>
                <w:sz w:val="20"/>
                <w:szCs w:val="20"/>
                <w:color w:val="auto"/>
              </w:rPr>
            </w:pPr>
            <w:r>
              <w:rPr>
                <w:rFonts w:ascii="Arial" w:cs="Arial" w:eastAsia="Arial" w:hAnsi="Arial"/>
                <w:sz w:val="11"/>
                <w:szCs w:val="11"/>
                <w:color w:val="auto"/>
                <w:w w:val="96"/>
              </w:rPr>
              <w:t>10.3%</w:t>
            </w:r>
          </w:p>
        </w:tc>
        <w:tc>
          <w:tcPr>
            <w:tcW w:w="1500" w:type="dxa"/>
            <w:vAlign w:val="bottom"/>
            <w:tcBorders>
              <w:right w:val="single" w:sz="8" w:color="auto"/>
            </w:tcBorders>
          </w:tcPr>
          <w:p>
            <w:pPr>
              <w:jc w:val="center"/>
              <w:ind w:left="265"/>
              <w:spacing w:after="0"/>
              <w:rPr>
                <w:sz w:val="20"/>
                <w:szCs w:val="20"/>
                <w:color w:val="auto"/>
              </w:rPr>
            </w:pPr>
            <w:r>
              <w:rPr>
                <w:rFonts w:ascii="Arial" w:cs="Arial" w:eastAsia="Arial" w:hAnsi="Arial"/>
                <w:sz w:val="11"/>
                <w:szCs w:val="11"/>
                <w:color w:val="auto"/>
                <w:w w:val="97"/>
              </w:rPr>
              <w:t>-44.1%</w:t>
            </w:r>
          </w:p>
        </w:tc>
      </w:tr>
      <w:tr>
        <w:trPr>
          <w:trHeight w:val="132"/>
        </w:trPr>
        <w:tc>
          <w:tcPr>
            <w:tcW w:w="4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Intangibles</w:t>
            </w:r>
          </w:p>
        </w:tc>
        <w:tc>
          <w:tcPr>
            <w:tcW w:w="1160" w:type="dxa"/>
            <w:vAlign w:val="bottom"/>
          </w:tcPr>
          <w:p>
            <w:pPr>
              <w:jc w:val="center"/>
              <w:spacing w:after="0"/>
              <w:rPr>
                <w:sz w:val="20"/>
                <w:szCs w:val="20"/>
                <w:color w:val="auto"/>
              </w:rPr>
            </w:pPr>
            <w:r>
              <w:rPr>
                <w:rFonts w:ascii="Arial" w:cs="Arial" w:eastAsia="Arial" w:hAnsi="Arial"/>
                <w:sz w:val="11"/>
                <w:szCs w:val="11"/>
                <w:color w:val="auto"/>
                <w:w w:val="97"/>
              </w:rPr>
              <w:t>(128,688)</w:t>
            </w:r>
          </w:p>
        </w:tc>
        <w:tc>
          <w:tcPr>
            <w:tcW w:w="1140" w:type="dxa"/>
            <w:vAlign w:val="bottom"/>
          </w:tcPr>
          <w:p>
            <w:pPr>
              <w:jc w:val="center"/>
              <w:spacing w:after="0"/>
              <w:rPr>
                <w:sz w:val="20"/>
                <w:szCs w:val="20"/>
                <w:color w:val="auto"/>
              </w:rPr>
            </w:pPr>
            <w:r>
              <w:rPr>
                <w:rFonts w:ascii="Arial" w:cs="Arial" w:eastAsia="Arial" w:hAnsi="Arial"/>
                <w:sz w:val="11"/>
                <w:szCs w:val="11"/>
                <w:color w:val="auto"/>
                <w:w w:val="97"/>
              </w:rPr>
              <w:t>(124,515)</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(124,978)</w:t>
            </w:r>
          </w:p>
        </w:tc>
        <w:tc>
          <w:tcPr>
            <w:tcW w:w="800" w:type="dxa"/>
            <w:vAlign w:val="bottom"/>
          </w:tcPr>
          <w:p>
            <w:pPr>
              <w:jc w:val="center"/>
              <w:ind w:left="265"/>
              <w:spacing w:after="0"/>
              <w:rPr>
                <w:sz w:val="20"/>
                <w:szCs w:val="20"/>
                <w:color w:val="auto"/>
              </w:rPr>
            </w:pPr>
            <w:r>
              <w:rPr>
                <w:rFonts w:ascii="Arial" w:cs="Arial" w:eastAsia="Arial" w:hAnsi="Arial"/>
                <w:sz w:val="11"/>
                <w:szCs w:val="11"/>
                <w:color w:val="auto"/>
                <w:w w:val="95"/>
              </w:rPr>
              <w:t>0.4%</w:t>
            </w:r>
          </w:p>
        </w:tc>
        <w:tc>
          <w:tcPr>
            <w:tcW w:w="1500" w:type="dxa"/>
            <w:vAlign w:val="bottom"/>
            <w:tcBorders>
              <w:right w:val="single" w:sz="8" w:color="auto"/>
            </w:tcBorders>
          </w:tcPr>
          <w:p>
            <w:pPr>
              <w:jc w:val="center"/>
              <w:ind w:left="245"/>
              <w:spacing w:after="0"/>
              <w:rPr>
                <w:sz w:val="20"/>
                <w:szCs w:val="20"/>
                <w:color w:val="auto"/>
              </w:rPr>
            </w:pPr>
            <w:r>
              <w:rPr>
                <w:rFonts w:ascii="Arial" w:cs="Arial" w:eastAsia="Arial" w:hAnsi="Arial"/>
                <w:sz w:val="11"/>
                <w:szCs w:val="11"/>
                <w:color w:val="auto"/>
                <w:w w:val="97"/>
              </w:rPr>
              <w:t>-2.9%</w:t>
            </w:r>
          </w:p>
        </w:tc>
      </w:tr>
      <w:tr>
        <w:trPr>
          <w:trHeight w:val="132"/>
        </w:trPr>
        <w:tc>
          <w:tcPr>
            <w:tcW w:w="4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Goodwill</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(139,180)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(139,180)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(139,180)</w:t>
            </w:r>
          </w:p>
        </w:tc>
        <w:tc>
          <w:tcPr>
            <w:tcW w:w="800" w:type="dxa"/>
            <w:vAlign w:val="bottom"/>
            <w:tcBorders>
              <w:bottom w:val="single" w:sz="8" w:color="auto"/>
            </w:tcBorders>
          </w:tcPr>
          <w:p>
            <w:pPr>
              <w:jc w:val="center"/>
              <w:ind w:left="265"/>
              <w:spacing w:after="0"/>
              <w:rPr>
                <w:sz w:val="20"/>
                <w:szCs w:val="20"/>
                <w:color w:val="auto"/>
              </w:rPr>
            </w:pPr>
            <w:r>
              <w:rPr>
                <w:rFonts w:ascii="Arial" w:cs="Arial" w:eastAsia="Arial" w:hAnsi="Arial"/>
                <w:sz w:val="11"/>
                <w:szCs w:val="11"/>
                <w:color w:val="auto"/>
                <w:w w:val="95"/>
              </w:rPr>
              <w:t>0.0%</w:t>
            </w:r>
          </w:p>
        </w:tc>
        <w:tc>
          <w:tcPr>
            <w:tcW w:w="1500" w:type="dxa"/>
            <w:vAlign w:val="bottom"/>
            <w:tcBorders>
              <w:bottom w:val="single" w:sz="8" w:color="auto"/>
              <w:right w:val="single" w:sz="8" w:color="auto"/>
            </w:tcBorders>
          </w:tcPr>
          <w:p>
            <w:pPr>
              <w:jc w:val="center"/>
              <w:ind w:left="265"/>
              <w:spacing w:after="0"/>
              <w:rPr>
                <w:sz w:val="20"/>
                <w:szCs w:val="20"/>
                <w:color w:val="auto"/>
              </w:rPr>
            </w:pPr>
            <w:r>
              <w:rPr>
                <w:rFonts w:ascii="Arial" w:cs="Arial" w:eastAsia="Arial" w:hAnsi="Arial"/>
                <w:sz w:val="11"/>
                <w:szCs w:val="11"/>
                <w:color w:val="auto"/>
              </w:rPr>
              <w:t>0.0%</w:t>
            </w:r>
          </w:p>
        </w:tc>
      </w:tr>
      <w:tr>
        <w:trPr>
          <w:trHeight w:val="124"/>
        </w:trPr>
        <w:tc>
          <w:tcPr>
            <w:tcW w:w="468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Total Regulatory Capital</w:t>
            </w:r>
          </w:p>
        </w:tc>
        <w:tc>
          <w:tcPr>
            <w:tcW w:w="11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2,648,281</w:t>
            </w:r>
          </w:p>
        </w:tc>
        <w:tc>
          <w:tcPr>
            <w:tcW w:w="11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2,598,649</w:t>
            </w:r>
          </w:p>
        </w:tc>
        <w:tc>
          <w:tcPr>
            <w:tcW w:w="11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2,891,129</w:t>
            </w:r>
          </w:p>
        </w:tc>
        <w:tc>
          <w:tcPr>
            <w:tcW w:w="800" w:type="dxa"/>
            <w:vAlign w:val="bottom"/>
            <w:tcBorders>
              <w:bottom w:val="single" w:sz="8" w:color="auto"/>
            </w:tcBorders>
          </w:tcPr>
          <w:p>
            <w:pPr>
              <w:jc w:val="center"/>
              <w:ind w:left="285"/>
              <w:spacing w:after="0" w:line="124" w:lineRule="exact"/>
              <w:rPr>
                <w:sz w:val="20"/>
                <w:szCs w:val="20"/>
                <w:color w:val="auto"/>
              </w:rPr>
            </w:pPr>
            <w:r>
              <w:rPr>
                <w:rFonts w:ascii="Arial" w:cs="Arial" w:eastAsia="Arial" w:hAnsi="Arial"/>
                <w:sz w:val="11"/>
                <w:szCs w:val="11"/>
                <w:b w:val="1"/>
                <w:bCs w:val="1"/>
                <w:color w:val="auto"/>
                <w:w w:val="96"/>
              </w:rPr>
              <w:t>11.3%</w:t>
            </w:r>
          </w:p>
        </w:tc>
        <w:tc>
          <w:tcPr>
            <w:tcW w:w="1500" w:type="dxa"/>
            <w:vAlign w:val="bottom"/>
            <w:tcBorders>
              <w:bottom w:val="single" w:sz="8" w:color="auto"/>
              <w:right w:val="single" w:sz="8" w:color="auto"/>
            </w:tcBorders>
          </w:tcPr>
          <w:p>
            <w:pPr>
              <w:jc w:val="center"/>
              <w:ind w:left="265"/>
              <w:spacing w:after="0" w:line="124" w:lineRule="exact"/>
              <w:rPr>
                <w:sz w:val="20"/>
                <w:szCs w:val="20"/>
                <w:color w:val="auto"/>
              </w:rPr>
            </w:pPr>
            <w:r>
              <w:rPr>
                <w:rFonts w:ascii="Arial" w:cs="Arial" w:eastAsia="Arial" w:hAnsi="Arial"/>
                <w:sz w:val="11"/>
                <w:szCs w:val="11"/>
                <w:b w:val="1"/>
                <w:bCs w:val="1"/>
                <w:color w:val="auto"/>
              </w:rPr>
              <w:t>9.2%</w:t>
            </w:r>
          </w:p>
        </w:tc>
      </w:tr>
      <w:tr>
        <w:trPr>
          <w:trHeight w:val="124"/>
        </w:trPr>
        <w:tc>
          <w:tcPr>
            <w:tcW w:w="468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9"/>
                <w:szCs w:val="9"/>
                <w:b w:val="1"/>
                <w:bCs w:val="1"/>
                <w:color w:val="auto"/>
              </w:rPr>
              <w:t xml:space="preserve">Tier Common Equity </w:t>
            </w:r>
            <w:r>
              <w:rPr>
                <w:rFonts w:ascii="Arial" w:cs="Arial" w:eastAsia="Arial" w:hAnsi="Arial"/>
                <w:sz w:val="14"/>
                <w:szCs w:val="14"/>
                <w:b w:val="1"/>
                <w:bCs w:val="1"/>
                <w:color w:val="auto"/>
                <w:vertAlign w:val="superscript"/>
              </w:rPr>
              <w:t>(2)</w:t>
            </w:r>
          </w:p>
        </w:tc>
        <w:tc>
          <w:tcPr>
            <w:tcW w:w="11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2,338,088</w:t>
            </w:r>
          </w:p>
        </w:tc>
        <w:tc>
          <w:tcPr>
            <w:tcW w:w="11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2,183,917</w:t>
            </w:r>
          </w:p>
        </w:tc>
        <w:tc>
          <w:tcPr>
            <w:tcW w:w="11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2,343,853</w:t>
            </w:r>
          </w:p>
        </w:tc>
        <w:tc>
          <w:tcPr>
            <w:tcW w:w="800" w:type="dxa"/>
            <w:vAlign w:val="bottom"/>
            <w:tcBorders>
              <w:bottom w:val="single" w:sz="8" w:color="auto"/>
            </w:tcBorders>
          </w:tcPr>
          <w:p>
            <w:pPr>
              <w:jc w:val="center"/>
              <w:ind w:left="265"/>
              <w:spacing w:after="0" w:line="124" w:lineRule="exact"/>
              <w:rPr>
                <w:sz w:val="20"/>
                <w:szCs w:val="20"/>
                <w:color w:val="auto"/>
              </w:rPr>
            </w:pPr>
            <w:r>
              <w:rPr>
                <w:rFonts w:ascii="Arial" w:cs="Arial" w:eastAsia="Arial" w:hAnsi="Arial"/>
                <w:sz w:val="11"/>
                <w:szCs w:val="11"/>
                <w:b w:val="1"/>
                <w:bCs w:val="1"/>
                <w:color w:val="auto"/>
                <w:w w:val="95"/>
              </w:rPr>
              <w:t>7.3%</w:t>
            </w:r>
          </w:p>
        </w:tc>
        <w:tc>
          <w:tcPr>
            <w:tcW w:w="1500" w:type="dxa"/>
            <w:vAlign w:val="bottom"/>
            <w:tcBorders>
              <w:bottom w:val="single" w:sz="8" w:color="auto"/>
              <w:right w:val="single" w:sz="8" w:color="auto"/>
            </w:tcBorders>
          </w:tcPr>
          <w:p>
            <w:pPr>
              <w:jc w:val="center"/>
              <w:ind w:left="265"/>
              <w:spacing w:after="0" w:line="124" w:lineRule="exact"/>
              <w:rPr>
                <w:sz w:val="20"/>
                <w:szCs w:val="20"/>
                <w:color w:val="auto"/>
              </w:rPr>
            </w:pPr>
            <w:r>
              <w:rPr>
                <w:rFonts w:ascii="Arial" w:cs="Arial" w:eastAsia="Arial" w:hAnsi="Arial"/>
                <w:sz w:val="11"/>
                <w:szCs w:val="11"/>
                <w:b w:val="1"/>
                <w:bCs w:val="1"/>
                <w:color w:val="auto"/>
              </w:rPr>
              <w:t>0.2%</w:t>
            </w:r>
          </w:p>
        </w:tc>
      </w:tr>
      <w:tr>
        <w:trPr>
          <w:trHeight w:val="124"/>
        </w:trPr>
        <w:tc>
          <w:tcPr>
            <w:tcW w:w="468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9"/>
                <w:szCs w:val="9"/>
                <w:b w:val="1"/>
                <w:bCs w:val="1"/>
                <w:color w:val="auto"/>
              </w:rPr>
              <w:t xml:space="preserve">Regulatory Tier 1 Capital </w:t>
            </w:r>
            <w:r>
              <w:rPr>
                <w:rFonts w:ascii="Arial" w:cs="Arial" w:eastAsia="Arial" w:hAnsi="Arial"/>
                <w:sz w:val="14"/>
                <w:szCs w:val="14"/>
                <w:b w:val="1"/>
                <w:bCs w:val="1"/>
                <w:color w:val="auto"/>
                <w:vertAlign w:val="superscript"/>
              </w:rPr>
              <w:t>(3)</w:t>
            </w:r>
          </w:p>
        </w:tc>
        <w:tc>
          <w:tcPr>
            <w:tcW w:w="11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2,338,088</w:t>
            </w:r>
          </w:p>
        </w:tc>
        <w:tc>
          <w:tcPr>
            <w:tcW w:w="11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2,183,917</w:t>
            </w:r>
          </w:p>
        </w:tc>
        <w:tc>
          <w:tcPr>
            <w:tcW w:w="11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2,343,853</w:t>
            </w:r>
          </w:p>
        </w:tc>
        <w:tc>
          <w:tcPr>
            <w:tcW w:w="800" w:type="dxa"/>
            <w:vAlign w:val="bottom"/>
            <w:tcBorders>
              <w:bottom w:val="single" w:sz="8" w:color="auto"/>
            </w:tcBorders>
          </w:tcPr>
          <w:p>
            <w:pPr>
              <w:jc w:val="center"/>
              <w:ind w:left="265"/>
              <w:spacing w:after="0" w:line="124" w:lineRule="exact"/>
              <w:rPr>
                <w:sz w:val="20"/>
                <w:szCs w:val="20"/>
                <w:color w:val="auto"/>
              </w:rPr>
            </w:pPr>
            <w:r>
              <w:rPr>
                <w:rFonts w:ascii="Arial" w:cs="Arial" w:eastAsia="Arial" w:hAnsi="Arial"/>
                <w:sz w:val="11"/>
                <w:szCs w:val="11"/>
                <w:b w:val="1"/>
                <w:bCs w:val="1"/>
                <w:color w:val="auto"/>
                <w:w w:val="95"/>
              </w:rPr>
              <w:t>7.3%</w:t>
            </w:r>
          </w:p>
        </w:tc>
        <w:tc>
          <w:tcPr>
            <w:tcW w:w="1500" w:type="dxa"/>
            <w:vAlign w:val="bottom"/>
            <w:tcBorders>
              <w:bottom w:val="single" w:sz="8" w:color="auto"/>
              <w:right w:val="single" w:sz="8" w:color="auto"/>
            </w:tcBorders>
          </w:tcPr>
          <w:p>
            <w:pPr>
              <w:jc w:val="center"/>
              <w:ind w:left="265"/>
              <w:spacing w:after="0" w:line="124" w:lineRule="exact"/>
              <w:rPr>
                <w:sz w:val="20"/>
                <w:szCs w:val="20"/>
                <w:color w:val="auto"/>
              </w:rPr>
            </w:pPr>
            <w:r>
              <w:rPr>
                <w:rFonts w:ascii="Arial" w:cs="Arial" w:eastAsia="Arial" w:hAnsi="Arial"/>
                <w:sz w:val="11"/>
                <w:szCs w:val="11"/>
                <w:b w:val="1"/>
                <w:bCs w:val="1"/>
                <w:color w:val="auto"/>
              </w:rPr>
              <w:t>0.2%</w:t>
            </w:r>
          </w:p>
        </w:tc>
      </w:tr>
      <w:tr>
        <w:trPr>
          <w:trHeight w:val="124"/>
        </w:trPr>
        <w:tc>
          <w:tcPr>
            <w:tcW w:w="468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9"/>
                <w:szCs w:val="9"/>
                <w:b w:val="1"/>
                <w:bCs w:val="1"/>
                <w:color w:val="auto"/>
              </w:rPr>
              <w:t xml:space="preserve">Regulatory Tier 2 Capital </w:t>
            </w:r>
            <w:r>
              <w:rPr>
                <w:rFonts w:ascii="Arial" w:cs="Arial" w:eastAsia="Arial" w:hAnsi="Arial"/>
                <w:sz w:val="14"/>
                <w:szCs w:val="14"/>
                <w:b w:val="1"/>
                <w:bCs w:val="1"/>
                <w:color w:val="auto"/>
                <w:vertAlign w:val="superscript"/>
              </w:rPr>
              <w:t>(4)</w:t>
            </w:r>
          </w:p>
        </w:tc>
        <w:tc>
          <w:tcPr>
            <w:tcW w:w="11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5"/>
              </w:rPr>
              <w:t>310,193</w:t>
            </w:r>
          </w:p>
        </w:tc>
        <w:tc>
          <w:tcPr>
            <w:tcW w:w="11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5"/>
              </w:rPr>
              <w:t>414,732</w:t>
            </w:r>
          </w:p>
        </w:tc>
        <w:tc>
          <w:tcPr>
            <w:tcW w:w="11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5"/>
              </w:rPr>
              <w:t>547,276</w:t>
            </w:r>
          </w:p>
        </w:tc>
        <w:tc>
          <w:tcPr>
            <w:tcW w:w="800" w:type="dxa"/>
            <w:vAlign w:val="bottom"/>
            <w:tcBorders>
              <w:bottom w:val="single" w:sz="8" w:color="auto"/>
            </w:tcBorders>
          </w:tcPr>
          <w:p>
            <w:pPr>
              <w:jc w:val="center"/>
              <w:ind w:left="285"/>
              <w:spacing w:after="0" w:line="124" w:lineRule="exact"/>
              <w:rPr>
                <w:sz w:val="20"/>
                <w:szCs w:val="20"/>
                <w:color w:val="auto"/>
              </w:rPr>
            </w:pPr>
            <w:r>
              <w:rPr>
                <w:rFonts w:ascii="Arial" w:cs="Arial" w:eastAsia="Arial" w:hAnsi="Arial"/>
                <w:sz w:val="11"/>
                <w:szCs w:val="11"/>
                <w:b w:val="1"/>
                <w:bCs w:val="1"/>
                <w:color w:val="auto"/>
                <w:w w:val="96"/>
              </w:rPr>
              <w:t>32.0%</w:t>
            </w:r>
          </w:p>
        </w:tc>
        <w:tc>
          <w:tcPr>
            <w:tcW w:w="1500" w:type="dxa"/>
            <w:vAlign w:val="bottom"/>
            <w:tcBorders>
              <w:bottom w:val="single" w:sz="8" w:color="auto"/>
              <w:right w:val="single" w:sz="8" w:color="auto"/>
            </w:tcBorders>
          </w:tcPr>
          <w:p>
            <w:pPr>
              <w:jc w:val="center"/>
              <w:ind w:left="265"/>
              <w:spacing w:after="0" w:line="124" w:lineRule="exact"/>
              <w:rPr>
                <w:sz w:val="20"/>
                <w:szCs w:val="20"/>
                <w:color w:val="auto"/>
              </w:rPr>
            </w:pPr>
            <w:r>
              <w:rPr>
                <w:rFonts w:ascii="Arial" w:cs="Arial" w:eastAsia="Arial" w:hAnsi="Arial"/>
                <w:sz w:val="11"/>
                <w:szCs w:val="11"/>
                <w:b w:val="1"/>
                <w:bCs w:val="1"/>
                <w:color w:val="auto"/>
                <w:w w:val="96"/>
              </w:rPr>
              <w:t>76.4%</w:t>
            </w:r>
          </w:p>
        </w:tc>
      </w:tr>
      <w:tr>
        <w:trPr>
          <w:trHeight w:val="172"/>
        </w:trPr>
        <w:tc>
          <w:tcPr>
            <w:tcW w:w="4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24"/>
        </w:trPr>
        <w:tc>
          <w:tcPr>
            <w:tcW w:w="4680" w:type="dxa"/>
            <w:vAlign w:val="bottom"/>
            <w:tcBorders>
              <w:left w:val="single" w:sz="8" w:color="auto"/>
              <w:right w:val="single" w:sz="8" w:color="auto"/>
            </w:tcBorders>
            <w:shd w:val="clear" w:color="auto" w:fill="33CCCC"/>
          </w:tcPr>
          <w:p>
            <w:pPr>
              <w:ind w:left="20"/>
              <w:spacing w:after="0" w:line="124" w:lineRule="exact"/>
              <w:rPr>
                <w:sz w:val="20"/>
                <w:szCs w:val="20"/>
                <w:color w:val="auto"/>
              </w:rPr>
            </w:pPr>
            <w:r>
              <w:rPr>
                <w:rFonts w:ascii="Arial" w:cs="Arial" w:eastAsia="Arial" w:hAnsi="Arial"/>
                <w:sz w:val="11"/>
                <w:szCs w:val="11"/>
                <w:b w:val="1"/>
                <w:bCs w:val="1"/>
                <w:color w:val="FFFFFF"/>
              </w:rPr>
              <w:t>Total risk-weighted assets</w:t>
            </w:r>
          </w:p>
        </w:tc>
        <w:tc>
          <w:tcPr>
            <w:tcW w:w="1160" w:type="dxa"/>
            <w:vAlign w:val="bottom"/>
            <w:shd w:val="clear" w:color="auto" w:fill="33CCCC"/>
          </w:tcPr>
          <w:p>
            <w:pPr>
              <w:spacing w:after="0"/>
              <w:rPr>
                <w:sz w:val="10"/>
                <w:szCs w:val="10"/>
                <w:color w:val="auto"/>
              </w:rPr>
            </w:pPr>
          </w:p>
        </w:tc>
        <w:tc>
          <w:tcPr>
            <w:tcW w:w="1140" w:type="dxa"/>
            <w:vAlign w:val="bottom"/>
            <w:shd w:val="clear" w:color="auto" w:fill="33CCCC"/>
          </w:tcPr>
          <w:p>
            <w:pPr>
              <w:jc w:val="center"/>
              <w:spacing w:after="0" w:line="124" w:lineRule="exact"/>
              <w:rPr>
                <w:sz w:val="20"/>
                <w:szCs w:val="20"/>
                <w:color w:val="auto"/>
              </w:rPr>
            </w:pPr>
            <w:r>
              <w:rPr>
                <w:rFonts w:ascii="Arial" w:cs="Arial" w:eastAsia="Arial" w:hAnsi="Arial"/>
                <w:sz w:val="11"/>
                <w:szCs w:val="11"/>
                <w:b w:val="1"/>
                <w:bCs w:val="1"/>
                <w:color w:val="FFFFFF"/>
                <w:w w:val="94"/>
              </w:rPr>
              <w:t>As of</w:t>
            </w:r>
          </w:p>
        </w:tc>
        <w:tc>
          <w:tcPr>
            <w:tcW w:w="1180" w:type="dxa"/>
            <w:vAlign w:val="bottom"/>
            <w:tcBorders>
              <w:right w:val="single" w:sz="8" w:color="auto"/>
            </w:tcBorders>
            <w:shd w:val="clear" w:color="auto" w:fill="33CCCC"/>
          </w:tcPr>
          <w:p>
            <w:pPr>
              <w:spacing w:after="0"/>
              <w:rPr>
                <w:sz w:val="10"/>
                <w:szCs w:val="10"/>
                <w:color w:val="auto"/>
              </w:rPr>
            </w:pPr>
          </w:p>
        </w:tc>
        <w:tc>
          <w:tcPr>
            <w:tcW w:w="800" w:type="dxa"/>
            <w:vAlign w:val="bottom"/>
            <w:shd w:val="clear" w:color="auto" w:fill="33CCCC"/>
          </w:tcPr>
          <w:p>
            <w:pPr>
              <w:spacing w:after="0"/>
              <w:rPr>
                <w:sz w:val="10"/>
                <w:szCs w:val="10"/>
                <w:color w:val="auto"/>
              </w:rPr>
            </w:pPr>
          </w:p>
        </w:tc>
        <w:tc>
          <w:tcPr>
            <w:tcW w:w="1500" w:type="dxa"/>
            <w:vAlign w:val="bottom"/>
            <w:tcBorders>
              <w:right w:val="single" w:sz="8" w:color="auto"/>
            </w:tcBorders>
            <w:shd w:val="clear" w:color="auto" w:fill="33CCCC"/>
          </w:tcPr>
          <w:p>
            <w:pPr>
              <w:jc w:val="center"/>
              <w:ind w:right="745"/>
              <w:spacing w:after="0" w:line="124" w:lineRule="exact"/>
              <w:rPr>
                <w:sz w:val="20"/>
                <w:szCs w:val="20"/>
                <w:color w:val="auto"/>
              </w:rPr>
            </w:pPr>
            <w:r>
              <w:rPr>
                <w:rFonts w:ascii="Arial" w:cs="Arial" w:eastAsia="Arial" w:hAnsi="Arial"/>
                <w:sz w:val="11"/>
                <w:szCs w:val="11"/>
                <w:b w:val="1"/>
                <w:bCs w:val="1"/>
                <w:color w:val="FFFFFF"/>
                <w:w w:val="97"/>
              </w:rPr>
              <w:t>% change</w:t>
            </w:r>
          </w:p>
        </w:tc>
      </w:tr>
      <w:tr>
        <w:trPr>
          <w:trHeight w:val="132"/>
        </w:trPr>
        <w:tc>
          <w:tcPr>
            <w:tcW w:w="4680" w:type="dxa"/>
            <w:vAlign w:val="bottom"/>
            <w:tcBorders>
              <w:left w:val="single" w:sz="8" w:color="auto"/>
              <w:bottom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1"/>
                <w:szCs w:val="11"/>
                <w:color w:val="FFFFFF"/>
              </w:rPr>
              <w:t>(S/ thousand)</w:t>
            </w:r>
          </w:p>
        </w:tc>
        <w:tc>
          <w:tcPr>
            <w:tcW w:w="11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5"/>
              </w:rPr>
              <w:t>Sep 24</w:t>
            </w:r>
          </w:p>
        </w:tc>
        <w:tc>
          <w:tcPr>
            <w:tcW w:w="11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Jun 25</w:t>
            </w:r>
          </w:p>
        </w:tc>
        <w:tc>
          <w:tcPr>
            <w:tcW w:w="11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5"/>
              </w:rPr>
              <w:t>Sep 25</w:t>
            </w:r>
          </w:p>
        </w:tc>
        <w:tc>
          <w:tcPr>
            <w:tcW w:w="800" w:type="dxa"/>
            <w:vAlign w:val="bottom"/>
            <w:tcBorders>
              <w:bottom w:val="single" w:sz="8" w:color="auto"/>
            </w:tcBorders>
            <w:shd w:val="clear" w:color="auto" w:fill="33CCCC"/>
          </w:tcPr>
          <w:p>
            <w:pPr>
              <w:jc w:val="center"/>
              <w:ind w:left="285"/>
              <w:spacing w:after="0"/>
              <w:rPr>
                <w:sz w:val="20"/>
                <w:szCs w:val="20"/>
                <w:color w:val="auto"/>
              </w:rPr>
            </w:pPr>
            <w:r>
              <w:rPr>
                <w:rFonts w:ascii="Arial" w:cs="Arial" w:eastAsia="Arial" w:hAnsi="Arial"/>
                <w:sz w:val="11"/>
                <w:szCs w:val="11"/>
                <w:b w:val="1"/>
                <w:bCs w:val="1"/>
                <w:color w:val="FFFFFF"/>
                <w:w w:val="92"/>
              </w:rPr>
              <w:t>QoQ</w:t>
            </w:r>
          </w:p>
        </w:tc>
        <w:tc>
          <w:tcPr>
            <w:tcW w:w="1500" w:type="dxa"/>
            <w:vAlign w:val="bottom"/>
            <w:tcBorders>
              <w:bottom w:val="single" w:sz="8" w:color="auto"/>
              <w:right w:val="single" w:sz="8" w:color="auto"/>
            </w:tcBorders>
            <w:shd w:val="clear" w:color="auto" w:fill="33CCCC"/>
          </w:tcPr>
          <w:p>
            <w:pPr>
              <w:jc w:val="center"/>
              <w:ind w:left="285"/>
              <w:spacing w:after="0"/>
              <w:rPr>
                <w:sz w:val="20"/>
                <w:szCs w:val="20"/>
                <w:color w:val="auto"/>
              </w:rPr>
            </w:pPr>
            <w:r>
              <w:rPr>
                <w:rFonts w:ascii="Arial" w:cs="Arial" w:eastAsia="Arial" w:hAnsi="Arial"/>
                <w:sz w:val="11"/>
                <w:szCs w:val="11"/>
                <w:b w:val="1"/>
                <w:bCs w:val="1"/>
                <w:color w:val="FFFFFF"/>
                <w:w w:val="93"/>
              </w:rPr>
              <w:t>YoY</w:t>
            </w:r>
          </w:p>
        </w:tc>
      </w:tr>
      <w:tr>
        <w:trPr>
          <w:trHeight w:val="124"/>
        </w:trPr>
        <w:tc>
          <w:tcPr>
            <w:tcW w:w="46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Market risk-weighted assets</w:t>
            </w:r>
          </w:p>
        </w:tc>
        <w:tc>
          <w:tcPr>
            <w:tcW w:w="1160" w:type="dxa"/>
            <w:vAlign w:val="bottom"/>
          </w:tcPr>
          <w:p>
            <w:pPr>
              <w:jc w:val="center"/>
              <w:spacing w:after="0" w:line="124" w:lineRule="exact"/>
              <w:rPr>
                <w:sz w:val="20"/>
                <w:szCs w:val="20"/>
                <w:color w:val="auto"/>
              </w:rPr>
            </w:pPr>
            <w:r>
              <w:rPr>
                <w:rFonts w:ascii="Arial" w:cs="Arial" w:eastAsia="Arial" w:hAnsi="Arial"/>
                <w:sz w:val="11"/>
                <w:szCs w:val="11"/>
                <w:color w:val="auto"/>
                <w:w w:val="95"/>
              </w:rPr>
              <w:t>238,117</w:t>
            </w:r>
          </w:p>
        </w:tc>
        <w:tc>
          <w:tcPr>
            <w:tcW w:w="1140" w:type="dxa"/>
            <w:vAlign w:val="bottom"/>
          </w:tcPr>
          <w:p>
            <w:pPr>
              <w:jc w:val="center"/>
              <w:spacing w:after="0" w:line="124" w:lineRule="exact"/>
              <w:rPr>
                <w:sz w:val="20"/>
                <w:szCs w:val="20"/>
                <w:color w:val="auto"/>
              </w:rPr>
            </w:pPr>
            <w:r>
              <w:rPr>
                <w:rFonts w:ascii="Arial" w:cs="Arial" w:eastAsia="Arial" w:hAnsi="Arial"/>
                <w:sz w:val="11"/>
                <w:szCs w:val="11"/>
                <w:color w:val="auto"/>
                <w:w w:val="95"/>
              </w:rPr>
              <w:t>193,276</w:t>
            </w:r>
          </w:p>
        </w:tc>
        <w:tc>
          <w:tcPr>
            <w:tcW w:w="11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221,008</w:t>
            </w:r>
          </w:p>
        </w:tc>
        <w:tc>
          <w:tcPr>
            <w:tcW w:w="800" w:type="dxa"/>
            <w:vAlign w:val="bottom"/>
          </w:tcPr>
          <w:p>
            <w:pPr>
              <w:jc w:val="center"/>
              <w:ind w:left="285"/>
              <w:spacing w:after="0" w:line="124" w:lineRule="exact"/>
              <w:rPr>
                <w:sz w:val="20"/>
                <w:szCs w:val="20"/>
                <w:color w:val="auto"/>
              </w:rPr>
            </w:pPr>
            <w:r>
              <w:rPr>
                <w:rFonts w:ascii="Arial" w:cs="Arial" w:eastAsia="Arial" w:hAnsi="Arial"/>
                <w:sz w:val="11"/>
                <w:szCs w:val="11"/>
                <w:color w:val="auto"/>
                <w:w w:val="96"/>
              </w:rPr>
              <w:t>14.3%</w:t>
            </w:r>
          </w:p>
        </w:tc>
        <w:tc>
          <w:tcPr>
            <w:tcW w:w="1500" w:type="dxa"/>
            <w:vAlign w:val="bottom"/>
            <w:tcBorders>
              <w:right w:val="single" w:sz="8" w:color="auto"/>
            </w:tcBorders>
          </w:tcPr>
          <w:p>
            <w:pPr>
              <w:jc w:val="center"/>
              <w:ind w:left="245"/>
              <w:spacing w:after="0" w:line="124" w:lineRule="exact"/>
              <w:rPr>
                <w:sz w:val="20"/>
                <w:szCs w:val="20"/>
                <w:color w:val="auto"/>
              </w:rPr>
            </w:pPr>
            <w:r>
              <w:rPr>
                <w:rFonts w:ascii="Arial" w:cs="Arial" w:eastAsia="Arial" w:hAnsi="Arial"/>
                <w:sz w:val="11"/>
                <w:szCs w:val="11"/>
                <w:color w:val="auto"/>
                <w:w w:val="97"/>
              </w:rPr>
              <w:t>-7.2%</w:t>
            </w:r>
          </w:p>
        </w:tc>
      </w:tr>
      <w:tr>
        <w:trPr>
          <w:trHeight w:val="132"/>
        </w:trPr>
        <w:tc>
          <w:tcPr>
            <w:tcW w:w="4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Credit risk-weighted assets</w:t>
            </w:r>
          </w:p>
        </w:tc>
        <w:tc>
          <w:tcPr>
            <w:tcW w:w="1160" w:type="dxa"/>
            <w:vAlign w:val="bottom"/>
          </w:tcPr>
          <w:p>
            <w:pPr>
              <w:jc w:val="center"/>
              <w:spacing w:after="0"/>
              <w:rPr>
                <w:sz w:val="20"/>
                <w:szCs w:val="20"/>
                <w:color w:val="auto"/>
              </w:rPr>
            </w:pPr>
            <w:r>
              <w:rPr>
                <w:rFonts w:ascii="Arial" w:cs="Arial" w:eastAsia="Arial" w:hAnsi="Arial"/>
                <w:sz w:val="11"/>
                <w:szCs w:val="11"/>
                <w:color w:val="auto"/>
                <w:w w:val="98"/>
              </w:rPr>
              <w:t>11,263,844</w:t>
            </w:r>
          </w:p>
        </w:tc>
        <w:tc>
          <w:tcPr>
            <w:tcW w:w="1140" w:type="dxa"/>
            <w:vAlign w:val="bottom"/>
          </w:tcPr>
          <w:p>
            <w:pPr>
              <w:jc w:val="center"/>
              <w:spacing w:after="0"/>
              <w:rPr>
                <w:sz w:val="20"/>
                <w:szCs w:val="20"/>
                <w:color w:val="auto"/>
              </w:rPr>
            </w:pPr>
            <w:r>
              <w:rPr>
                <w:rFonts w:ascii="Arial" w:cs="Arial" w:eastAsia="Arial" w:hAnsi="Arial"/>
                <w:sz w:val="11"/>
                <w:szCs w:val="11"/>
                <w:color w:val="auto"/>
                <w:w w:val="98"/>
              </w:rPr>
              <w:t>12,139,570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12,539,729</w:t>
            </w:r>
          </w:p>
        </w:tc>
        <w:tc>
          <w:tcPr>
            <w:tcW w:w="800" w:type="dxa"/>
            <w:vAlign w:val="bottom"/>
          </w:tcPr>
          <w:p>
            <w:pPr>
              <w:jc w:val="center"/>
              <w:ind w:left="265"/>
              <w:spacing w:after="0"/>
              <w:rPr>
                <w:sz w:val="20"/>
                <w:szCs w:val="20"/>
                <w:color w:val="auto"/>
              </w:rPr>
            </w:pPr>
            <w:r>
              <w:rPr>
                <w:rFonts w:ascii="Arial" w:cs="Arial" w:eastAsia="Arial" w:hAnsi="Arial"/>
                <w:sz w:val="11"/>
                <w:szCs w:val="11"/>
                <w:color w:val="auto"/>
                <w:w w:val="95"/>
              </w:rPr>
              <w:t>3.3%</w:t>
            </w:r>
          </w:p>
        </w:tc>
        <w:tc>
          <w:tcPr>
            <w:tcW w:w="1500" w:type="dxa"/>
            <w:vAlign w:val="bottom"/>
            <w:tcBorders>
              <w:right w:val="single" w:sz="8" w:color="auto"/>
            </w:tcBorders>
          </w:tcPr>
          <w:p>
            <w:pPr>
              <w:jc w:val="center"/>
              <w:ind w:left="265"/>
              <w:spacing w:after="0"/>
              <w:rPr>
                <w:sz w:val="20"/>
                <w:szCs w:val="20"/>
                <w:color w:val="auto"/>
              </w:rPr>
            </w:pPr>
            <w:r>
              <w:rPr>
                <w:rFonts w:ascii="Arial" w:cs="Arial" w:eastAsia="Arial" w:hAnsi="Arial"/>
                <w:sz w:val="11"/>
                <w:szCs w:val="11"/>
                <w:color w:val="auto"/>
                <w:w w:val="96"/>
              </w:rPr>
              <w:t>11.3%</w:t>
            </w:r>
          </w:p>
        </w:tc>
      </w:tr>
      <w:tr>
        <w:trPr>
          <w:trHeight w:val="132"/>
        </w:trPr>
        <w:tc>
          <w:tcPr>
            <w:tcW w:w="4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Operational risk-weighted assets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1,594,338</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920,354</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922,672</w:t>
            </w:r>
          </w:p>
        </w:tc>
        <w:tc>
          <w:tcPr>
            <w:tcW w:w="800" w:type="dxa"/>
            <w:vAlign w:val="bottom"/>
            <w:tcBorders>
              <w:bottom w:val="single" w:sz="8" w:color="auto"/>
            </w:tcBorders>
          </w:tcPr>
          <w:p>
            <w:pPr>
              <w:jc w:val="center"/>
              <w:ind w:left="265"/>
              <w:spacing w:after="0"/>
              <w:rPr>
                <w:sz w:val="20"/>
                <w:szCs w:val="20"/>
                <w:color w:val="auto"/>
              </w:rPr>
            </w:pPr>
            <w:r>
              <w:rPr>
                <w:rFonts w:ascii="Arial" w:cs="Arial" w:eastAsia="Arial" w:hAnsi="Arial"/>
                <w:sz w:val="11"/>
                <w:szCs w:val="11"/>
                <w:color w:val="auto"/>
                <w:w w:val="95"/>
              </w:rPr>
              <w:t>0.3%</w:t>
            </w:r>
          </w:p>
        </w:tc>
        <w:tc>
          <w:tcPr>
            <w:tcW w:w="1500" w:type="dxa"/>
            <w:vAlign w:val="bottom"/>
            <w:tcBorders>
              <w:bottom w:val="single" w:sz="8" w:color="auto"/>
              <w:right w:val="single" w:sz="8" w:color="auto"/>
            </w:tcBorders>
          </w:tcPr>
          <w:p>
            <w:pPr>
              <w:jc w:val="center"/>
              <w:ind w:left="265"/>
              <w:spacing w:after="0"/>
              <w:rPr>
                <w:sz w:val="20"/>
                <w:szCs w:val="20"/>
                <w:color w:val="auto"/>
              </w:rPr>
            </w:pPr>
            <w:r>
              <w:rPr>
                <w:rFonts w:ascii="Arial" w:cs="Arial" w:eastAsia="Arial" w:hAnsi="Arial"/>
                <w:sz w:val="11"/>
                <w:szCs w:val="11"/>
                <w:color w:val="auto"/>
                <w:w w:val="97"/>
              </w:rPr>
              <w:t>-42.1%</w:t>
            </w:r>
          </w:p>
        </w:tc>
      </w:tr>
      <w:tr>
        <w:trPr>
          <w:trHeight w:val="124"/>
        </w:trPr>
        <w:tc>
          <w:tcPr>
            <w:tcW w:w="468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Total</w:t>
            </w:r>
          </w:p>
        </w:tc>
        <w:tc>
          <w:tcPr>
            <w:tcW w:w="11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13,096,299</w:t>
            </w:r>
          </w:p>
        </w:tc>
        <w:tc>
          <w:tcPr>
            <w:tcW w:w="11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13,253,200</w:t>
            </w:r>
          </w:p>
        </w:tc>
        <w:tc>
          <w:tcPr>
            <w:tcW w:w="11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13,683,410</w:t>
            </w:r>
          </w:p>
        </w:tc>
        <w:tc>
          <w:tcPr>
            <w:tcW w:w="800" w:type="dxa"/>
            <w:vAlign w:val="bottom"/>
            <w:tcBorders>
              <w:bottom w:val="single" w:sz="8" w:color="auto"/>
            </w:tcBorders>
          </w:tcPr>
          <w:p>
            <w:pPr>
              <w:jc w:val="center"/>
              <w:ind w:left="265"/>
              <w:spacing w:after="0" w:line="124" w:lineRule="exact"/>
              <w:rPr>
                <w:sz w:val="20"/>
                <w:szCs w:val="20"/>
                <w:color w:val="auto"/>
              </w:rPr>
            </w:pPr>
            <w:r>
              <w:rPr>
                <w:rFonts w:ascii="Arial" w:cs="Arial" w:eastAsia="Arial" w:hAnsi="Arial"/>
                <w:sz w:val="11"/>
                <w:szCs w:val="11"/>
                <w:b w:val="1"/>
                <w:bCs w:val="1"/>
                <w:color w:val="auto"/>
                <w:w w:val="95"/>
              </w:rPr>
              <w:t>3.2%</w:t>
            </w:r>
          </w:p>
        </w:tc>
        <w:tc>
          <w:tcPr>
            <w:tcW w:w="1500" w:type="dxa"/>
            <w:vAlign w:val="bottom"/>
            <w:tcBorders>
              <w:bottom w:val="single" w:sz="8" w:color="auto"/>
              <w:right w:val="single" w:sz="8" w:color="auto"/>
            </w:tcBorders>
          </w:tcPr>
          <w:p>
            <w:pPr>
              <w:jc w:val="center"/>
              <w:ind w:left="265"/>
              <w:spacing w:after="0" w:line="124" w:lineRule="exact"/>
              <w:rPr>
                <w:sz w:val="20"/>
                <w:szCs w:val="20"/>
                <w:color w:val="auto"/>
              </w:rPr>
            </w:pPr>
            <w:r>
              <w:rPr>
                <w:rFonts w:ascii="Arial" w:cs="Arial" w:eastAsia="Arial" w:hAnsi="Arial"/>
                <w:sz w:val="11"/>
                <w:szCs w:val="11"/>
                <w:b w:val="1"/>
                <w:bCs w:val="1"/>
                <w:color w:val="auto"/>
              </w:rPr>
              <w:t>4.5%</w:t>
            </w:r>
          </w:p>
        </w:tc>
      </w:tr>
      <w:tr>
        <w:trPr>
          <w:trHeight w:val="172"/>
        </w:trPr>
        <w:tc>
          <w:tcPr>
            <w:tcW w:w="4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24"/>
        </w:trPr>
        <w:tc>
          <w:tcPr>
            <w:tcW w:w="4680" w:type="dxa"/>
            <w:vAlign w:val="bottom"/>
            <w:tcBorders>
              <w:left w:val="single" w:sz="8" w:color="auto"/>
              <w:right w:val="single" w:sz="8" w:color="auto"/>
            </w:tcBorders>
            <w:shd w:val="clear" w:color="auto" w:fill="33CCCC"/>
          </w:tcPr>
          <w:p>
            <w:pPr>
              <w:ind w:left="20"/>
              <w:spacing w:after="0" w:line="124" w:lineRule="exact"/>
              <w:rPr>
                <w:sz w:val="20"/>
                <w:szCs w:val="20"/>
                <w:color w:val="auto"/>
              </w:rPr>
            </w:pPr>
            <w:r>
              <w:rPr>
                <w:rFonts w:ascii="Arial" w:cs="Arial" w:eastAsia="Arial" w:hAnsi="Arial"/>
                <w:sz w:val="11"/>
                <w:szCs w:val="11"/>
                <w:b w:val="1"/>
                <w:bCs w:val="1"/>
                <w:color w:val="FFFFFF"/>
              </w:rPr>
              <w:t>Capital requirement</w:t>
            </w:r>
          </w:p>
        </w:tc>
        <w:tc>
          <w:tcPr>
            <w:tcW w:w="1160" w:type="dxa"/>
            <w:vAlign w:val="bottom"/>
            <w:shd w:val="clear" w:color="auto" w:fill="33CCCC"/>
          </w:tcPr>
          <w:p>
            <w:pPr>
              <w:spacing w:after="0"/>
              <w:rPr>
                <w:sz w:val="10"/>
                <w:szCs w:val="10"/>
                <w:color w:val="auto"/>
              </w:rPr>
            </w:pPr>
          </w:p>
        </w:tc>
        <w:tc>
          <w:tcPr>
            <w:tcW w:w="1140" w:type="dxa"/>
            <w:vAlign w:val="bottom"/>
            <w:shd w:val="clear" w:color="auto" w:fill="33CCCC"/>
          </w:tcPr>
          <w:p>
            <w:pPr>
              <w:jc w:val="center"/>
              <w:spacing w:after="0" w:line="124" w:lineRule="exact"/>
              <w:rPr>
                <w:sz w:val="20"/>
                <w:szCs w:val="20"/>
                <w:color w:val="auto"/>
              </w:rPr>
            </w:pPr>
            <w:r>
              <w:rPr>
                <w:rFonts w:ascii="Arial" w:cs="Arial" w:eastAsia="Arial" w:hAnsi="Arial"/>
                <w:sz w:val="11"/>
                <w:szCs w:val="11"/>
                <w:b w:val="1"/>
                <w:bCs w:val="1"/>
                <w:color w:val="FFFFFF"/>
                <w:w w:val="94"/>
              </w:rPr>
              <w:t>As of</w:t>
            </w:r>
          </w:p>
        </w:tc>
        <w:tc>
          <w:tcPr>
            <w:tcW w:w="1180" w:type="dxa"/>
            <w:vAlign w:val="bottom"/>
            <w:tcBorders>
              <w:right w:val="single" w:sz="8" w:color="auto"/>
            </w:tcBorders>
            <w:shd w:val="clear" w:color="auto" w:fill="33CCCC"/>
          </w:tcPr>
          <w:p>
            <w:pPr>
              <w:spacing w:after="0"/>
              <w:rPr>
                <w:sz w:val="10"/>
                <w:szCs w:val="10"/>
                <w:color w:val="auto"/>
              </w:rPr>
            </w:pPr>
          </w:p>
        </w:tc>
        <w:tc>
          <w:tcPr>
            <w:tcW w:w="800" w:type="dxa"/>
            <w:vAlign w:val="bottom"/>
            <w:shd w:val="clear" w:color="auto" w:fill="33CCCC"/>
          </w:tcPr>
          <w:p>
            <w:pPr>
              <w:spacing w:after="0"/>
              <w:rPr>
                <w:sz w:val="10"/>
                <w:szCs w:val="10"/>
                <w:color w:val="auto"/>
              </w:rPr>
            </w:pPr>
          </w:p>
        </w:tc>
        <w:tc>
          <w:tcPr>
            <w:tcW w:w="1500" w:type="dxa"/>
            <w:vAlign w:val="bottom"/>
            <w:tcBorders>
              <w:right w:val="single" w:sz="8" w:color="auto"/>
            </w:tcBorders>
            <w:shd w:val="clear" w:color="auto" w:fill="33CCCC"/>
          </w:tcPr>
          <w:p>
            <w:pPr>
              <w:jc w:val="center"/>
              <w:ind w:right="745"/>
              <w:spacing w:after="0" w:line="124" w:lineRule="exact"/>
              <w:rPr>
                <w:sz w:val="20"/>
                <w:szCs w:val="20"/>
                <w:color w:val="auto"/>
              </w:rPr>
            </w:pPr>
            <w:r>
              <w:rPr>
                <w:rFonts w:ascii="Arial" w:cs="Arial" w:eastAsia="Arial" w:hAnsi="Arial"/>
                <w:sz w:val="11"/>
                <w:szCs w:val="11"/>
                <w:b w:val="1"/>
                <w:bCs w:val="1"/>
                <w:color w:val="FFFFFF"/>
                <w:w w:val="97"/>
              </w:rPr>
              <w:t>% change</w:t>
            </w:r>
          </w:p>
        </w:tc>
      </w:tr>
      <w:tr>
        <w:trPr>
          <w:trHeight w:val="132"/>
        </w:trPr>
        <w:tc>
          <w:tcPr>
            <w:tcW w:w="4680" w:type="dxa"/>
            <w:vAlign w:val="bottom"/>
            <w:tcBorders>
              <w:left w:val="single" w:sz="8" w:color="auto"/>
              <w:bottom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1"/>
                <w:szCs w:val="11"/>
                <w:color w:val="FFFFFF"/>
              </w:rPr>
              <w:t>(S/ thousand)</w:t>
            </w:r>
          </w:p>
        </w:tc>
        <w:tc>
          <w:tcPr>
            <w:tcW w:w="11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5"/>
              </w:rPr>
              <w:t>Sep 24</w:t>
            </w:r>
          </w:p>
        </w:tc>
        <w:tc>
          <w:tcPr>
            <w:tcW w:w="11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Jun 25</w:t>
            </w:r>
          </w:p>
        </w:tc>
        <w:tc>
          <w:tcPr>
            <w:tcW w:w="11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5"/>
              </w:rPr>
              <w:t>Sep 25</w:t>
            </w:r>
          </w:p>
        </w:tc>
        <w:tc>
          <w:tcPr>
            <w:tcW w:w="800" w:type="dxa"/>
            <w:vAlign w:val="bottom"/>
            <w:tcBorders>
              <w:bottom w:val="single" w:sz="8" w:color="auto"/>
            </w:tcBorders>
            <w:shd w:val="clear" w:color="auto" w:fill="33CCCC"/>
          </w:tcPr>
          <w:p>
            <w:pPr>
              <w:jc w:val="center"/>
              <w:ind w:left="285"/>
              <w:spacing w:after="0"/>
              <w:rPr>
                <w:sz w:val="20"/>
                <w:szCs w:val="20"/>
                <w:color w:val="auto"/>
              </w:rPr>
            </w:pPr>
            <w:r>
              <w:rPr>
                <w:rFonts w:ascii="Arial" w:cs="Arial" w:eastAsia="Arial" w:hAnsi="Arial"/>
                <w:sz w:val="11"/>
                <w:szCs w:val="11"/>
                <w:b w:val="1"/>
                <w:bCs w:val="1"/>
                <w:color w:val="FFFFFF"/>
                <w:w w:val="92"/>
              </w:rPr>
              <w:t>QoQ</w:t>
            </w:r>
          </w:p>
        </w:tc>
        <w:tc>
          <w:tcPr>
            <w:tcW w:w="1500" w:type="dxa"/>
            <w:vAlign w:val="bottom"/>
            <w:tcBorders>
              <w:bottom w:val="single" w:sz="8" w:color="auto"/>
              <w:right w:val="single" w:sz="8" w:color="auto"/>
            </w:tcBorders>
            <w:shd w:val="clear" w:color="auto" w:fill="33CCCC"/>
          </w:tcPr>
          <w:p>
            <w:pPr>
              <w:jc w:val="center"/>
              <w:ind w:left="285"/>
              <w:spacing w:after="0"/>
              <w:rPr>
                <w:sz w:val="20"/>
                <w:szCs w:val="20"/>
                <w:color w:val="auto"/>
              </w:rPr>
            </w:pPr>
            <w:r>
              <w:rPr>
                <w:rFonts w:ascii="Arial" w:cs="Arial" w:eastAsia="Arial" w:hAnsi="Arial"/>
                <w:sz w:val="11"/>
                <w:szCs w:val="11"/>
                <w:b w:val="1"/>
                <w:bCs w:val="1"/>
                <w:color w:val="FFFFFF"/>
                <w:w w:val="93"/>
              </w:rPr>
              <w:t>YoY</w:t>
            </w:r>
          </w:p>
        </w:tc>
      </w:tr>
      <w:tr>
        <w:trPr>
          <w:trHeight w:val="124"/>
        </w:trPr>
        <w:tc>
          <w:tcPr>
            <w:tcW w:w="46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Market risk capital requirement</w:t>
            </w:r>
          </w:p>
        </w:tc>
        <w:tc>
          <w:tcPr>
            <w:tcW w:w="1160" w:type="dxa"/>
            <w:vAlign w:val="bottom"/>
          </w:tcPr>
          <w:p>
            <w:pPr>
              <w:jc w:val="center"/>
              <w:spacing w:after="0" w:line="124" w:lineRule="exact"/>
              <w:rPr>
                <w:sz w:val="20"/>
                <w:szCs w:val="20"/>
                <w:color w:val="auto"/>
              </w:rPr>
            </w:pPr>
            <w:r>
              <w:rPr>
                <w:rFonts w:ascii="Arial" w:cs="Arial" w:eastAsia="Arial" w:hAnsi="Arial"/>
                <w:sz w:val="11"/>
                <w:szCs w:val="11"/>
                <w:color w:val="auto"/>
              </w:rPr>
              <w:t>23,812</w:t>
            </w:r>
          </w:p>
        </w:tc>
        <w:tc>
          <w:tcPr>
            <w:tcW w:w="1140" w:type="dxa"/>
            <w:vAlign w:val="bottom"/>
          </w:tcPr>
          <w:p>
            <w:pPr>
              <w:jc w:val="center"/>
              <w:spacing w:after="0" w:line="124" w:lineRule="exact"/>
              <w:rPr>
                <w:sz w:val="20"/>
                <w:szCs w:val="20"/>
                <w:color w:val="auto"/>
              </w:rPr>
            </w:pPr>
            <w:r>
              <w:rPr>
                <w:rFonts w:ascii="Arial" w:cs="Arial" w:eastAsia="Arial" w:hAnsi="Arial"/>
                <w:sz w:val="11"/>
                <w:szCs w:val="11"/>
                <w:color w:val="auto"/>
              </w:rPr>
              <w:t>19,328</w:t>
            </w:r>
          </w:p>
        </w:tc>
        <w:tc>
          <w:tcPr>
            <w:tcW w:w="11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4"/>
              </w:rPr>
              <w:t>22,101</w:t>
            </w:r>
          </w:p>
        </w:tc>
        <w:tc>
          <w:tcPr>
            <w:tcW w:w="800" w:type="dxa"/>
            <w:vAlign w:val="bottom"/>
          </w:tcPr>
          <w:p>
            <w:pPr>
              <w:jc w:val="center"/>
              <w:ind w:left="285"/>
              <w:spacing w:after="0" w:line="124" w:lineRule="exact"/>
              <w:rPr>
                <w:sz w:val="20"/>
                <w:szCs w:val="20"/>
                <w:color w:val="auto"/>
              </w:rPr>
            </w:pPr>
            <w:r>
              <w:rPr>
                <w:rFonts w:ascii="Arial" w:cs="Arial" w:eastAsia="Arial" w:hAnsi="Arial"/>
                <w:sz w:val="11"/>
                <w:szCs w:val="11"/>
                <w:color w:val="auto"/>
                <w:w w:val="96"/>
              </w:rPr>
              <w:t>14.3%</w:t>
            </w:r>
          </w:p>
        </w:tc>
        <w:tc>
          <w:tcPr>
            <w:tcW w:w="1500" w:type="dxa"/>
            <w:vAlign w:val="bottom"/>
            <w:tcBorders>
              <w:right w:val="single" w:sz="8" w:color="auto"/>
            </w:tcBorders>
          </w:tcPr>
          <w:p>
            <w:pPr>
              <w:jc w:val="center"/>
              <w:ind w:left="245"/>
              <w:spacing w:after="0" w:line="124" w:lineRule="exact"/>
              <w:rPr>
                <w:sz w:val="20"/>
                <w:szCs w:val="20"/>
                <w:color w:val="auto"/>
              </w:rPr>
            </w:pPr>
            <w:r>
              <w:rPr>
                <w:rFonts w:ascii="Arial" w:cs="Arial" w:eastAsia="Arial" w:hAnsi="Arial"/>
                <w:sz w:val="11"/>
                <w:szCs w:val="11"/>
                <w:color w:val="auto"/>
                <w:w w:val="97"/>
              </w:rPr>
              <w:t>-7.2%</w:t>
            </w:r>
          </w:p>
        </w:tc>
      </w:tr>
      <w:tr>
        <w:trPr>
          <w:trHeight w:val="132"/>
        </w:trPr>
        <w:tc>
          <w:tcPr>
            <w:tcW w:w="4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Credit risk capital requirement</w:t>
            </w:r>
          </w:p>
        </w:tc>
        <w:tc>
          <w:tcPr>
            <w:tcW w:w="1160" w:type="dxa"/>
            <w:vAlign w:val="bottom"/>
          </w:tcPr>
          <w:p>
            <w:pPr>
              <w:jc w:val="center"/>
              <w:spacing w:after="0"/>
              <w:rPr>
                <w:sz w:val="20"/>
                <w:szCs w:val="20"/>
                <w:color w:val="auto"/>
              </w:rPr>
            </w:pPr>
            <w:r>
              <w:rPr>
                <w:rFonts w:ascii="Arial" w:cs="Arial" w:eastAsia="Arial" w:hAnsi="Arial"/>
                <w:sz w:val="11"/>
                <w:szCs w:val="11"/>
                <w:color w:val="auto"/>
                <w:w w:val="97"/>
              </w:rPr>
              <w:t>1,070,065</w:t>
            </w:r>
          </w:p>
        </w:tc>
        <w:tc>
          <w:tcPr>
            <w:tcW w:w="1140" w:type="dxa"/>
            <w:vAlign w:val="bottom"/>
          </w:tcPr>
          <w:p>
            <w:pPr>
              <w:jc w:val="center"/>
              <w:spacing w:after="0"/>
              <w:rPr>
                <w:sz w:val="20"/>
                <w:szCs w:val="20"/>
                <w:color w:val="auto"/>
              </w:rPr>
            </w:pPr>
            <w:r>
              <w:rPr>
                <w:rFonts w:ascii="Arial" w:cs="Arial" w:eastAsia="Arial" w:hAnsi="Arial"/>
                <w:sz w:val="11"/>
                <w:szCs w:val="11"/>
                <w:color w:val="auto"/>
                <w:w w:val="97"/>
              </w:rPr>
              <w:t>1,213,957</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1,253,973</w:t>
            </w:r>
          </w:p>
        </w:tc>
        <w:tc>
          <w:tcPr>
            <w:tcW w:w="800" w:type="dxa"/>
            <w:vAlign w:val="bottom"/>
          </w:tcPr>
          <w:p>
            <w:pPr>
              <w:jc w:val="center"/>
              <w:ind w:left="265"/>
              <w:spacing w:after="0"/>
              <w:rPr>
                <w:sz w:val="20"/>
                <w:szCs w:val="20"/>
                <w:color w:val="auto"/>
              </w:rPr>
            </w:pPr>
            <w:r>
              <w:rPr>
                <w:rFonts w:ascii="Arial" w:cs="Arial" w:eastAsia="Arial" w:hAnsi="Arial"/>
                <w:sz w:val="11"/>
                <w:szCs w:val="11"/>
                <w:color w:val="auto"/>
                <w:w w:val="95"/>
              </w:rPr>
              <w:t>3.3%</w:t>
            </w:r>
          </w:p>
        </w:tc>
        <w:tc>
          <w:tcPr>
            <w:tcW w:w="1500" w:type="dxa"/>
            <w:vAlign w:val="bottom"/>
            <w:tcBorders>
              <w:right w:val="single" w:sz="8" w:color="auto"/>
            </w:tcBorders>
          </w:tcPr>
          <w:p>
            <w:pPr>
              <w:jc w:val="center"/>
              <w:ind w:left="265"/>
              <w:spacing w:after="0"/>
              <w:rPr>
                <w:sz w:val="20"/>
                <w:szCs w:val="20"/>
                <w:color w:val="auto"/>
              </w:rPr>
            </w:pPr>
            <w:r>
              <w:rPr>
                <w:rFonts w:ascii="Arial" w:cs="Arial" w:eastAsia="Arial" w:hAnsi="Arial"/>
                <w:sz w:val="11"/>
                <w:szCs w:val="11"/>
                <w:color w:val="auto"/>
                <w:w w:val="96"/>
              </w:rPr>
              <w:t>17.2%</w:t>
            </w:r>
          </w:p>
        </w:tc>
      </w:tr>
      <w:tr>
        <w:trPr>
          <w:trHeight w:val="132"/>
        </w:trPr>
        <w:tc>
          <w:tcPr>
            <w:tcW w:w="4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Operational risk capital requirement</w:t>
            </w:r>
          </w:p>
        </w:tc>
        <w:tc>
          <w:tcPr>
            <w:tcW w:w="1160" w:type="dxa"/>
            <w:vAlign w:val="bottom"/>
          </w:tcPr>
          <w:p>
            <w:pPr>
              <w:jc w:val="center"/>
              <w:spacing w:after="0"/>
              <w:rPr>
                <w:sz w:val="20"/>
                <w:szCs w:val="20"/>
                <w:color w:val="auto"/>
              </w:rPr>
            </w:pPr>
            <w:r>
              <w:rPr>
                <w:rFonts w:ascii="Arial" w:cs="Arial" w:eastAsia="Arial" w:hAnsi="Arial"/>
                <w:sz w:val="11"/>
                <w:szCs w:val="11"/>
                <w:color w:val="auto"/>
                <w:w w:val="95"/>
              </w:rPr>
              <w:t>159,434</w:t>
            </w:r>
          </w:p>
        </w:tc>
        <w:tc>
          <w:tcPr>
            <w:tcW w:w="1140" w:type="dxa"/>
            <w:vAlign w:val="bottom"/>
          </w:tcPr>
          <w:p>
            <w:pPr>
              <w:jc w:val="center"/>
              <w:spacing w:after="0"/>
              <w:rPr>
                <w:sz w:val="20"/>
                <w:szCs w:val="20"/>
                <w:color w:val="auto"/>
              </w:rPr>
            </w:pPr>
            <w:r>
              <w:rPr>
                <w:rFonts w:ascii="Arial" w:cs="Arial" w:eastAsia="Arial" w:hAnsi="Arial"/>
                <w:sz w:val="11"/>
                <w:szCs w:val="11"/>
                <w:color w:val="auto"/>
              </w:rPr>
              <w:t>92,035</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92,267</w:t>
            </w:r>
          </w:p>
        </w:tc>
        <w:tc>
          <w:tcPr>
            <w:tcW w:w="800" w:type="dxa"/>
            <w:vAlign w:val="bottom"/>
          </w:tcPr>
          <w:p>
            <w:pPr>
              <w:jc w:val="center"/>
              <w:ind w:left="265"/>
              <w:spacing w:after="0"/>
              <w:rPr>
                <w:sz w:val="20"/>
                <w:szCs w:val="20"/>
                <w:color w:val="auto"/>
              </w:rPr>
            </w:pPr>
            <w:r>
              <w:rPr>
                <w:rFonts w:ascii="Arial" w:cs="Arial" w:eastAsia="Arial" w:hAnsi="Arial"/>
                <w:sz w:val="11"/>
                <w:szCs w:val="11"/>
                <w:color w:val="auto"/>
                <w:w w:val="95"/>
              </w:rPr>
              <w:t>0.3%</w:t>
            </w:r>
          </w:p>
        </w:tc>
        <w:tc>
          <w:tcPr>
            <w:tcW w:w="1500" w:type="dxa"/>
            <w:vAlign w:val="bottom"/>
            <w:tcBorders>
              <w:right w:val="single" w:sz="8" w:color="auto"/>
            </w:tcBorders>
          </w:tcPr>
          <w:p>
            <w:pPr>
              <w:jc w:val="center"/>
              <w:ind w:left="265"/>
              <w:spacing w:after="0"/>
              <w:rPr>
                <w:sz w:val="20"/>
                <w:szCs w:val="20"/>
                <w:color w:val="auto"/>
              </w:rPr>
            </w:pPr>
            <w:r>
              <w:rPr>
                <w:rFonts w:ascii="Arial" w:cs="Arial" w:eastAsia="Arial" w:hAnsi="Arial"/>
                <w:sz w:val="11"/>
                <w:szCs w:val="11"/>
                <w:color w:val="auto"/>
                <w:w w:val="97"/>
              </w:rPr>
              <w:t>-42.1%</w:t>
            </w:r>
          </w:p>
        </w:tc>
      </w:tr>
      <w:tr>
        <w:trPr>
          <w:trHeight w:val="132"/>
        </w:trPr>
        <w:tc>
          <w:tcPr>
            <w:tcW w:w="4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Additional capital requirements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160,510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182,094</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188,096</w:t>
            </w:r>
          </w:p>
        </w:tc>
        <w:tc>
          <w:tcPr>
            <w:tcW w:w="800" w:type="dxa"/>
            <w:vAlign w:val="bottom"/>
            <w:tcBorders>
              <w:bottom w:val="single" w:sz="8" w:color="auto"/>
            </w:tcBorders>
          </w:tcPr>
          <w:p>
            <w:pPr>
              <w:jc w:val="center"/>
              <w:ind w:left="265"/>
              <w:spacing w:after="0"/>
              <w:rPr>
                <w:sz w:val="20"/>
                <w:szCs w:val="20"/>
                <w:color w:val="auto"/>
              </w:rPr>
            </w:pPr>
            <w:r>
              <w:rPr>
                <w:rFonts w:ascii="Arial" w:cs="Arial" w:eastAsia="Arial" w:hAnsi="Arial"/>
                <w:sz w:val="11"/>
                <w:szCs w:val="11"/>
                <w:color w:val="auto"/>
                <w:w w:val="95"/>
              </w:rPr>
              <w:t>3.3%</w:t>
            </w:r>
          </w:p>
        </w:tc>
        <w:tc>
          <w:tcPr>
            <w:tcW w:w="1500" w:type="dxa"/>
            <w:vAlign w:val="bottom"/>
            <w:tcBorders>
              <w:bottom w:val="single" w:sz="8" w:color="auto"/>
              <w:right w:val="single" w:sz="8" w:color="auto"/>
            </w:tcBorders>
          </w:tcPr>
          <w:p>
            <w:pPr>
              <w:jc w:val="center"/>
              <w:ind w:left="265"/>
              <w:spacing w:after="0"/>
              <w:rPr>
                <w:sz w:val="20"/>
                <w:szCs w:val="20"/>
                <w:color w:val="auto"/>
              </w:rPr>
            </w:pPr>
            <w:r>
              <w:rPr>
                <w:rFonts w:ascii="Arial" w:cs="Arial" w:eastAsia="Arial" w:hAnsi="Arial"/>
                <w:sz w:val="11"/>
                <w:szCs w:val="11"/>
                <w:color w:val="auto"/>
                <w:w w:val="96"/>
              </w:rPr>
              <w:t>17.2%</w:t>
            </w:r>
          </w:p>
        </w:tc>
      </w:tr>
      <w:tr>
        <w:trPr>
          <w:trHeight w:val="124"/>
        </w:trPr>
        <w:tc>
          <w:tcPr>
            <w:tcW w:w="468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Total</w:t>
            </w:r>
          </w:p>
        </w:tc>
        <w:tc>
          <w:tcPr>
            <w:tcW w:w="11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1,413,821</w:t>
            </w:r>
          </w:p>
        </w:tc>
        <w:tc>
          <w:tcPr>
            <w:tcW w:w="11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1,507,414</w:t>
            </w:r>
          </w:p>
        </w:tc>
        <w:tc>
          <w:tcPr>
            <w:tcW w:w="11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1,556,437</w:t>
            </w:r>
          </w:p>
        </w:tc>
        <w:tc>
          <w:tcPr>
            <w:tcW w:w="800" w:type="dxa"/>
            <w:vAlign w:val="bottom"/>
            <w:tcBorders>
              <w:bottom w:val="single" w:sz="8" w:color="auto"/>
            </w:tcBorders>
          </w:tcPr>
          <w:p>
            <w:pPr>
              <w:jc w:val="center"/>
              <w:ind w:left="265"/>
              <w:spacing w:after="0" w:line="124" w:lineRule="exact"/>
              <w:rPr>
                <w:sz w:val="20"/>
                <w:szCs w:val="20"/>
                <w:color w:val="auto"/>
              </w:rPr>
            </w:pPr>
            <w:r>
              <w:rPr>
                <w:rFonts w:ascii="Arial" w:cs="Arial" w:eastAsia="Arial" w:hAnsi="Arial"/>
                <w:sz w:val="11"/>
                <w:szCs w:val="11"/>
                <w:b w:val="1"/>
                <w:bCs w:val="1"/>
                <w:color w:val="auto"/>
                <w:w w:val="95"/>
              </w:rPr>
              <w:t>3.3%</w:t>
            </w:r>
          </w:p>
        </w:tc>
        <w:tc>
          <w:tcPr>
            <w:tcW w:w="1500" w:type="dxa"/>
            <w:vAlign w:val="bottom"/>
            <w:tcBorders>
              <w:bottom w:val="single" w:sz="8" w:color="auto"/>
              <w:right w:val="single" w:sz="8" w:color="auto"/>
            </w:tcBorders>
          </w:tcPr>
          <w:p>
            <w:pPr>
              <w:jc w:val="center"/>
              <w:ind w:left="265"/>
              <w:spacing w:after="0" w:line="124" w:lineRule="exact"/>
              <w:rPr>
                <w:sz w:val="20"/>
                <w:szCs w:val="20"/>
                <w:color w:val="auto"/>
              </w:rPr>
            </w:pPr>
            <w:r>
              <w:rPr>
                <w:rFonts w:ascii="Arial" w:cs="Arial" w:eastAsia="Arial" w:hAnsi="Arial"/>
                <w:sz w:val="11"/>
                <w:szCs w:val="11"/>
                <w:b w:val="1"/>
                <w:bCs w:val="1"/>
                <w:color w:val="auto"/>
                <w:w w:val="96"/>
              </w:rPr>
              <w:t>10.1%</w:t>
            </w:r>
          </w:p>
        </w:tc>
      </w:tr>
      <w:tr>
        <w:trPr>
          <w:trHeight w:val="374"/>
        </w:trPr>
        <w:tc>
          <w:tcPr>
            <w:tcW w:w="6980" w:type="dxa"/>
            <w:vAlign w:val="bottom"/>
            <w:gridSpan w:val="3"/>
          </w:tcPr>
          <w:p>
            <w:pPr>
              <w:ind w:left="3820"/>
              <w:spacing w:after="0"/>
              <w:rPr>
                <w:sz w:val="20"/>
                <w:szCs w:val="20"/>
                <w:color w:val="auto"/>
              </w:rPr>
            </w:pPr>
            <w:r>
              <w:rPr>
                <w:rFonts w:ascii="Arial" w:cs="Arial" w:eastAsia="Arial" w:hAnsi="Arial"/>
                <w:sz w:val="16"/>
                <w:szCs w:val="16"/>
                <w:b w:val="1"/>
                <w:bCs w:val="1"/>
                <w:color w:val="auto"/>
              </w:rPr>
              <w:t>Capital Ratios under Local Regulation</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58"/>
        </w:trPr>
        <w:tc>
          <w:tcPr>
            <w:tcW w:w="46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47"/>
        </w:trPr>
        <w:tc>
          <w:tcPr>
            <w:tcW w:w="468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Capital ratios under Local Regulation</w:t>
            </w:r>
          </w:p>
        </w:tc>
        <w:tc>
          <w:tcPr>
            <w:tcW w:w="1160" w:type="dxa"/>
            <w:vAlign w:val="bottom"/>
            <w:shd w:val="clear" w:color="auto" w:fill="33CCCC"/>
          </w:tcPr>
          <w:p>
            <w:pPr>
              <w:spacing w:after="0"/>
              <w:rPr>
                <w:sz w:val="12"/>
                <w:szCs w:val="12"/>
                <w:color w:val="auto"/>
              </w:rPr>
            </w:pPr>
          </w:p>
        </w:tc>
        <w:tc>
          <w:tcPr>
            <w:tcW w:w="1140" w:type="dxa"/>
            <w:vAlign w:val="bottom"/>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As of</w:t>
            </w:r>
          </w:p>
        </w:tc>
        <w:tc>
          <w:tcPr>
            <w:tcW w:w="1180" w:type="dxa"/>
            <w:vAlign w:val="bottom"/>
            <w:tcBorders>
              <w:right w:val="single" w:sz="8" w:color="auto"/>
            </w:tcBorders>
            <w:shd w:val="clear" w:color="auto" w:fill="33CCCC"/>
          </w:tcPr>
          <w:p>
            <w:pPr>
              <w:spacing w:after="0"/>
              <w:rPr>
                <w:sz w:val="12"/>
                <w:szCs w:val="12"/>
                <w:color w:val="auto"/>
              </w:rPr>
            </w:pPr>
          </w:p>
        </w:tc>
        <w:tc>
          <w:tcPr>
            <w:tcW w:w="800" w:type="dxa"/>
            <w:vAlign w:val="bottom"/>
            <w:shd w:val="clear" w:color="auto" w:fill="33CCCC"/>
          </w:tcPr>
          <w:p>
            <w:pPr>
              <w:spacing w:after="0"/>
              <w:rPr>
                <w:sz w:val="12"/>
                <w:szCs w:val="12"/>
                <w:color w:val="auto"/>
              </w:rPr>
            </w:pPr>
          </w:p>
        </w:tc>
        <w:tc>
          <w:tcPr>
            <w:tcW w:w="1500" w:type="dxa"/>
            <w:vAlign w:val="bottom"/>
            <w:tcBorders>
              <w:right w:val="single" w:sz="8" w:color="auto"/>
            </w:tcBorders>
            <w:shd w:val="clear" w:color="auto" w:fill="33CCCC"/>
          </w:tcPr>
          <w:p>
            <w:pPr>
              <w:jc w:val="center"/>
              <w:ind w:right="765"/>
              <w:spacing w:after="0"/>
              <w:rPr>
                <w:sz w:val="20"/>
                <w:szCs w:val="20"/>
                <w:color w:val="auto"/>
              </w:rPr>
            </w:pPr>
            <w:r>
              <w:rPr>
                <w:rFonts w:ascii="Arial" w:cs="Arial" w:eastAsia="Arial" w:hAnsi="Arial"/>
                <w:sz w:val="12"/>
                <w:szCs w:val="12"/>
                <w:b w:val="1"/>
                <w:bCs w:val="1"/>
                <w:color w:val="FFFFFF"/>
                <w:w w:val="99"/>
              </w:rPr>
              <w:t>% change</w:t>
            </w:r>
          </w:p>
        </w:tc>
      </w:tr>
      <w:tr>
        <w:trPr>
          <w:trHeight w:val="169"/>
        </w:trPr>
        <w:tc>
          <w:tcPr>
            <w:tcW w:w="4680" w:type="dxa"/>
            <w:vAlign w:val="bottom"/>
            <w:tcBorders>
              <w:left w:val="single" w:sz="8" w:color="auto"/>
              <w:bottom w:val="single" w:sz="8" w:color="auto"/>
              <w:right w:val="single" w:sz="8" w:color="auto"/>
            </w:tcBorders>
            <w:shd w:val="clear" w:color="auto" w:fill="33CCCC"/>
          </w:tcPr>
          <w:p>
            <w:pPr>
              <w:spacing w:after="0"/>
              <w:rPr>
                <w:sz w:val="14"/>
                <w:szCs w:val="14"/>
                <w:color w:val="auto"/>
              </w:rPr>
            </w:pPr>
          </w:p>
        </w:tc>
        <w:tc>
          <w:tcPr>
            <w:tcW w:w="11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8"/>
              </w:rPr>
              <w:t>Sep 24</w:t>
            </w:r>
          </w:p>
        </w:tc>
        <w:tc>
          <w:tcPr>
            <w:tcW w:w="11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Jun 25</w:t>
            </w:r>
          </w:p>
        </w:tc>
        <w:tc>
          <w:tcPr>
            <w:tcW w:w="11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8"/>
              </w:rPr>
              <w:t>Sep 25</w:t>
            </w:r>
          </w:p>
        </w:tc>
        <w:tc>
          <w:tcPr>
            <w:tcW w:w="800" w:type="dxa"/>
            <w:vAlign w:val="bottom"/>
            <w:tcBorders>
              <w:bottom w:val="single" w:sz="8" w:color="auto"/>
            </w:tcBorders>
            <w:shd w:val="clear" w:color="auto" w:fill="33CCCC"/>
          </w:tcPr>
          <w:p>
            <w:pPr>
              <w:jc w:val="center"/>
              <w:ind w:left="285"/>
              <w:spacing w:after="0"/>
              <w:rPr>
                <w:sz w:val="20"/>
                <w:szCs w:val="20"/>
                <w:color w:val="auto"/>
              </w:rPr>
            </w:pPr>
            <w:r>
              <w:rPr>
                <w:rFonts w:ascii="Arial" w:cs="Arial" w:eastAsia="Arial" w:hAnsi="Arial"/>
                <w:sz w:val="12"/>
                <w:szCs w:val="12"/>
                <w:b w:val="1"/>
                <w:bCs w:val="1"/>
                <w:color w:val="FFFFFF"/>
                <w:w w:val="99"/>
              </w:rPr>
              <w:t>QoQ</w:t>
            </w:r>
          </w:p>
        </w:tc>
        <w:tc>
          <w:tcPr>
            <w:tcW w:w="1500" w:type="dxa"/>
            <w:vAlign w:val="bottom"/>
            <w:tcBorders>
              <w:bottom w:val="single" w:sz="8" w:color="auto"/>
              <w:right w:val="single" w:sz="8" w:color="auto"/>
            </w:tcBorders>
            <w:shd w:val="clear" w:color="auto" w:fill="33CCCC"/>
          </w:tcPr>
          <w:p>
            <w:pPr>
              <w:jc w:val="center"/>
              <w:ind w:left="285"/>
              <w:spacing w:after="0"/>
              <w:rPr>
                <w:sz w:val="20"/>
                <w:szCs w:val="20"/>
                <w:color w:val="auto"/>
              </w:rPr>
            </w:pPr>
            <w:r>
              <w:rPr>
                <w:rFonts w:ascii="Arial" w:cs="Arial" w:eastAsia="Arial" w:hAnsi="Arial"/>
                <w:sz w:val="12"/>
                <w:szCs w:val="12"/>
                <w:b w:val="1"/>
                <w:bCs w:val="1"/>
                <w:color w:val="FFFFFF"/>
              </w:rPr>
              <w:t>YoY</w:t>
            </w:r>
          </w:p>
        </w:tc>
      </w:tr>
      <w:tr>
        <w:trPr>
          <w:trHeight w:val="147"/>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Common Equity Tier 1 Ratio</w:t>
            </w:r>
          </w:p>
        </w:tc>
        <w:tc>
          <w:tcPr>
            <w:tcW w:w="1160" w:type="dxa"/>
            <w:vAlign w:val="bottom"/>
          </w:tcPr>
          <w:p>
            <w:pPr>
              <w:jc w:val="center"/>
              <w:spacing w:after="0"/>
              <w:rPr>
                <w:sz w:val="20"/>
                <w:szCs w:val="20"/>
                <w:color w:val="auto"/>
              </w:rPr>
            </w:pPr>
            <w:r>
              <w:rPr>
                <w:rFonts w:ascii="Arial" w:cs="Arial" w:eastAsia="Arial" w:hAnsi="Arial"/>
                <w:sz w:val="12"/>
                <w:szCs w:val="12"/>
                <w:color w:val="auto"/>
              </w:rPr>
              <w:t>17.85%</w:t>
            </w:r>
          </w:p>
        </w:tc>
        <w:tc>
          <w:tcPr>
            <w:tcW w:w="1140" w:type="dxa"/>
            <w:vAlign w:val="bottom"/>
          </w:tcPr>
          <w:p>
            <w:pPr>
              <w:jc w:val="center"/>
              <w:spacing w:after="0"/>
              <w:rPr>
                <w:sz w:val="20"/>
                <w:szCs w:val="20"/>
                <w:color w:val="auto"/>
              </w:rPr>
            </w:pPr>
            <w:r>
              <w:rPr>
                <w:rFonts w:ascii="Arial" w:cs="Arial" w:eastAsia="Arial" w:hAnsi="Arial"/>
                <w:sz w:val="12"/>
                <w:szCs w:val="12"/>
                <w:color w:val="auto"/>
              </w:rPr>
              <w:t>16.48%</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17.13%</w:t>
            </w:r>
          </w:p>
        </w:tc>
        <w:tc>
          <w:tcPr>
            <w:tcW w:w="800" w:type="dxa"/>
            <w:vAlign w:val="bottom"/>
          </w:tcPr>
          <w:p>
            <w:pPr>
              <w:jc w:val="center"/>
              <w:ind w:left="265"/>
              <w:spacing w:after="0"/>
              <w:rPr>
                <w:sz w:val="20"/>
                <w:szCs w:val="20"/>
                <w:color w:val="auto"/>
              </w:rPr>
            </w:pPr>
            <w:r>
              <w:rPr>
                <w:rFonts w:ascii="Arial" w:cs="Arial" w:eastAsia="Arial" w:hAnsi="Arial"/>
                <w:sz w:val="12"/>
                <w:szCs w:val="12"/>
                <w:color w:val="auto"/>
                <w:w w:val="99"/>
              </w:rPr>
              <w:t>65 bps</w:t>
            </w:r>
          </w:p>
        </w:tc>
        <w:tc>
          <w:tcPr>
            <w:tcW w:w="1500" w:type="dxa"/>
            <w:vAlign w:val="bottom"/>
            <w:tcBorders>
              <w:right w:val="single" w:sz="8" w:color="auto"/>
            </w:tcBorders>
          </w:tcPr>
          <w:p>
            <w:pPr>
              <w:jc w:val="center"/>
              <w:ind w:left="285"/>
              <w:spacing w:after="0"/>
              <w:rPr>
                <w:sz w:val="20"/>
                <w:szCs w:val="20"/>
                <w:color w:val="auto"/>
              </w:rPr>
            </w:pPr>
            <w:r>
              <w:rPr>
                <w:rFonts w:ascii="Arial" w:cs="Arial" w:eastAsia="Arial" w:hAnsi="Arial"/>
                <w:sz w:val="12"/>
                <w:szCs w:val="12"/>
                <w:color w:val="auto"/>
                <w:w w:val="99"/>
              </w:rPr>
              <w:t>-72 bps</w:t>
            </w:r>
          </w:p>
        </w:tc>
      </w:tr>
      <w:tr>
        <w:trPr>
          <w:trHeight w:val="156"/>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Tier 1 Capital ratio</w:t>
            </w:r>
          </w:p>
        </w:tc>
        <w:tc>
          <w:tcPr>
            <w:tcW w:w="1160" w:type="dxa"/>
            <w:vAlign w:val="bottom"/>
          </w:tcPr>
          <w:p>
            <w:pPr>
              <w:jc w:val="center"/>
              <w:spacing w:after="0"/>
              <w:rPr>
                <w:sz w:val="20"/>
                <w:szCs w:val="20"/>
                <w:color w:val="auto"/>
              </w:rPr>
            </w:pPr>
            <w:r>
              <w:rPr>
                <w:rFonts w:ascii="Arial" w:cs="Arial" w:eastAsia="Arial" w:hAnsi="Arial"/>
                <w:sz w:val="12"/>
                <w:szCs w:val="12"/>
                <w:color w:val="auto"/>
              </w:rPr>
              <w:t>17.85%</w:t>
            </w:r>
          </w:p>
        </w:tc>
        <w:tc>
          <w:tcPr>
            <w:tcW w:w="1140" w:type="dxa"/>
            <w:vAlign w:val="bottom"/>
          </w:tcPr>
          <w:p>
            <w:pPr>
              <w:jc w:val="center"/>
              <w:spacing w:after="0"/>
              <w:rPr>
                <w:sz w:val="20"/>
                <w:szCs w:val="20"/>
                <w:color w:val="auto"/>
              </w:rPr>
            </w:pPr>
            <w:r>
              <w:rPr>
                <w:rFonts w:ascii="Arial" w:cs="Arial" w:eastAsia="Arial" w:hAnsi="Arial"/>
                <w:sz w:val="12"/>
                <w:szCs w:val="12"/>
                <w:color w:val="auto"/>
              </w:rPr>
              <w:t>16.48%</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17.13%</w:t>
            </w:r>
          </w:p>
        </w:tc>
        <w:tc>
          <w:tcPr>
            <w:tcW w:w="800" w:type="dxa"/>
            <w:vAlign w:val="bottom"/>
          </w:tcPr>
          <w:p>
            <w:pPr>
              <w:jc w:val="center"/>
              <w:ind w:left="265"/>
              <w:spacing w:after="0"/>
              <w:rPr>
                <w:sz w:val="20"/>
                <w:szCs w:val="20"/>
                <w:color w:val="auto"/>
              </w:rPr>
            </w:pPr>
            <w:r>
              <w:rPr>
                <w:rFonts w:ascii="Arial" w:cs="Arial" w:eastAsia="Arial" w:hAnsi="Arial"/>
                <w:sz w:val="12"/>
                <w:szCs w:val="12"/>
                <w:color w:val="auto"/>
                <w:w w:val="99"/>
              </w:rPr>
              <w:t>65 bps</w:t>
            </w:r>
          </w:p>
        </w:tc>
        <w:tc>
          <w:tcPr>
            <w:tcW w:w="1500" w:type="dxa"/>
            <w:vAlign w:val="bottom"/>
            <w:tcBorders>
              <w:right w:val="single" w:sz="8" w:color="auto"/>
            </w:tcBorders>
          </w:tcPr>
          <w:p>
            <w:pPr>
              <w:jc w:val="center"/>
              <w:ind w:left="285"/>
              <w:spacing w:after="0"/>
              <w:rPr>
                <w:sz w:val="20"/>
                <w:szCs w:val="20"/>
                <w:color w:val="auto"/>
              </w:rPr>
            </w:pPr>
            <w:r>
              <w:rPr>
                <w:rFonts w:ascii="Arial" w:cs="Arial" w:eastAsia="Arial" w:hAnsi="Arial"/>
                <w:sz w:val="12"/>
                <w:szCs w:val="12"/>
                <w:color w:val="auto"/>
                <w:w w:val="99"/>
              </w:rPr>
              <w:t>-72 bps</w:t>
            </w:r>
          </w:p>
        </w:tc>
      </w:tr>
      <w:tr>
        <w:trPr>
          <w:trHeight w:val="157"/>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Regulatory Global Capital Ratio</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20.22%</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19.61%</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21.13%</w:t>
            </w:r>
          </w:p>
        </w:tc>
        <w:tc>
          <w:tcPr>
            <w:tcW w:w="800" w:type="dxa"/>
            <w:vAlign w:val="bottom"/>
            <w:tcBorders>
              <w:bottom w:val="single" w:sz="8" w:color="auto"/>
            </w:tcBorders>
          </w:tcPr>
          <w:p>
            <w:pPr>
              <w:jc w:val="center"/>
              <w:ind w:left="285"/>
              <w:spacing w:after="0"/>
              <w:rPr>
                <w:sz w:val="20"/>
                <w:szCs w:val="20"/>
                <w:color w:val="auto"/>
              </w:rPr>
            </w:pPr>
            <w:r>
              <w:rPr>
                <w:rFonts w:ascii="Arial" w:cs="Arial" w:eastAsia="Arial" w:hAnsi="Arial"/>
                <w:sz w:val="12"/>
                <w:szCs w:val="12"/>
                <w:color w:val="auto"/>
                <w:w w:val="98"/>
              </w:rPr>
              <w:t>152 bps</w:t>
            </w:r>
          </w:p>
        </w:tc>
        <w:tc>
          <w:tcPr>
            <w:tcW w:w="1500" w:type="dxa"/>
            <w:vAlign w:val="bottom"/>
            <w:tcBorders>
              <w:bottom w:val="single" w:sz="8" w:color="auto"/>
              <w:right w:val="single" w:sz="8" w:color="auto"/>
            </w:tcBorders>
          </w:tcPr>
          <w:p>
            <w:pPr>
              <w:jc w:val="center"/>
              <w:ind w:left="285"/>
              <w:spacing w:after="0"/>
              <w:rPr>
                <w:sz w:val="20"/>
                <w:szCs w:val="20"/>
                <w:color w:val="auto"/>
              </w:rPr>
            </w:pPr>
            <w:r>
              <w:rPr>
                <w:rFonts w:ascii="Arial" w:cs="Arial" w:eastAsia="Arial" w:hAnsi="Arial"/>
                <w:sz w:val="12"/>
                <w:szCs w:val="12"/>
                <w:color w:val="auto"/>
                <w:w w:val="99"/>
              </w:rPr>
              <w:t>91 bps</w:t>
            </w:r>
          </w:p>
        </w:tc>
      </w:tr>
    </w:tbl>
    <w:p>
      <w:pPr>
        <w:spacing w:after="0" w:line="132" w:lineRule="exact"/>
        <w:rPr>
          <w:sz w:val="20"/>
          <w:szCs w:val="20"/>
          <w:color w:val="auto"/>
        </w:rPr>
      </w:pPr>
    </w:p>
    <w:p>
      <w:pPr>
        <w:ind w:left="1300" w:hanging="142"/>
        <w:spacing w:after="0"/>
        <w:tabs>
          <w:tab w:leader="none" w:pos="1300" w:val="left"/>
        </w:tabs>
        <w:numPr>
          <w:ilvl w:val="0"/>
          <w:numId w:val="53"/>
        </w:numPr>
        <w:rPr>
          <w:rFonts w:ascii="Arial" w:cs="Arial" w:eastAsia="Arial" w:hAnsi="Arial"/>
          <w:sz w:val="11"/>
          <w:szCs w:val="11"/>
          <w:color w:val="auto"/>
        </w:rPr>
      </w:pPr>
      <w:r>
        <w:rPr>
          <w:rFonts w:ascii="Arial" w:cs="Arial" w:eastAsia="Arial" w:hAnsi="Arial"/>
          <w:sz w:val="11"/>
          <w:szCs w:val="11"/>
          <w:color w:val="auto"/>
        </w:rPr>
        <w:t>Up to 1.25% of total risk-weighted assets.</w:t>
      </w:r>
    </w:p>
    <w:p>
      <w:pPr>
        <w:spacing w:after="0" w:line="15" w:lineRule="exact"/>
        <w:rPr>
          <w:rFonts w:ascii="Arial" w:cs="Arial" w:eastAsia="Arial" w:hAnsi="Arial"/>
          <w:sz w:val="11"/>
          <w:szCs w:val="11"/>
          <w:color w:val="auto"/>
        </w:rPr>
      </w:pPr>
    </w:p>
    <w:p>
      <w:pPr>
        <w:ind w:left="1160" w:right="380" w:hanging="2"/>
        <w:spacing w:after="0" w:line="250" w:lineRule="auto"/>
        <w:tabs>
          <w:tab w:leader="none" w:pos="1310" w:val="left"/>
        </w:tabs>
        <w:numPr>
          <w:ilvl w:val="0"/>
          <w:numId w:val="53"/>
        </w:numPr>
        <w:rPr>
          <w:rFonts w:ascii="Arial" w:cs="Arial" w:eastAsia="Arial" w:hAnsi="Arial"/>
          <w:sz w:val="11"/>
          <w:szCs w:val="11"/>
          <w:color w:val="auto"/>
        </w:rPr>
      </w:pPr>
      <w:r>
        <w:rPr>
          <w:rFonts w:ascii="Arial" w:cs="Arial" w:eastAsia="Arial" w:hAnsi="Arial"/>
          <w:sz w:val="11"/>
          <w:szCs w:val="11"/>
          <w:color w:val="auto"/>
        </w:rPr>
        <w:t>Common Equity Tier 1 = Capital Stock + Reserves + Accumulated earnings – Unrealized profits or losses - 100% deductions (investment in subsidiaries, goodwill, intangible assets and deferred tax assets based on future returns).</w:t>
      </w:r>
    </w:p>
    <w:p>
      <w:pPr>
        <w:ind w:left="1300" w:hanging="142"/>
        <w:spacing w:after="0"/>
        <w:tabs>
          <w:tab w:leader="none" w:pos="1300" w:val="left"/>
        </w:tabs>
        <w:numPr>
          <w:ilvl w:val="0"/>
          <w:numId w:val="53"/>
        </w:numPr>
        <w:rPr>
          <w:rFonts w:ascii="Arial" w:cs="Arial" w:eastAsia="Arial" w:hAnsi="Arial"/>
          <w:sz w:val="11"/>
          <w:szCs w:val="11"/>
          <w:color w:val="auto"/>
        </w:rPr>
      </w:pPr>
      <w:r>
        <w:rPr>
          <w:rFonts w:ascii="Arial" w:cs="Arial" w:eastAsia="Arial" w:hAnsi="Arial"/>
          <w:sz w:val="11"/>
          <w:szCs w:val="11"/>
          <w:color w:val="auto"/>
        </w:rPr>
        <w:t>Regulatory Tier 1 Capital = Common Equity Tier 1 + Tier 1 Subordinated Debt (Perpetual).</w:t>
      </w:r>
    </w:p>
    <w:p>
      <w:pPr>
        <w:spacing w:after="0" w:line="5" w:lineRule="exact"/>
        <w:rPr>
          <w:rFonts w:ascii="Arial" w:cs="Arial" w:eastAsia="Arial" w:hAnsi="Arial"/>
          <w:sz w:val="11"/>
          <w:szCs w:val="11"/>
          <w:color w:val="auto"/>
        </w:rPr>
      </w:pPr>
    </w:p>
    <w:p>
      <w:pPr>
        <w:ind w:left="1300" w:hanging="142"/>
        <w:spacing w:after="0"/>
        <w:tabs>
          <w:tab w:leader="none" w:pos="1300" w:val="left"/>
        </w:tabs>
        <w:numPr>
          <w:ilvl w:val="0"/>
          <w:numId w:val="53"/>
        </w:numPr>
        <w:rPr>
          <w:rFonts w:ascii="Arial" w:cs="Arial" w:eastAsia="Arial" w:hAnsi="Arial"/>
          <w:sz w:val="11"/>
          <w:szCs w:val="11"/>
          <w:color w:val="auto"/>
        </w:rPr>
      </w:pPr>
      <w:r>
        <w:rPr>
          <w:rFonts w:ascii="Arial" w:cs="Arial" w:eastAsia="Arial" w:hAnsi="Arial"/>
          <w:sz w:val="11"/>
          <w:szCs w:val="11"/>
          <w:color w:val="auto"/>
        </w:rPr>
        <w:t>Regulatory Tier 2 Capital = Subordinated Debt + Loan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782320</wp:posOffset>
            </wp:positionV>
            <wp:extent cx="663892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38925" cy="1524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81280</wp:posOffset>
            </wp:positionV>
            <wp:extent cx="6509385" cy="6096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509385" cy="609600"/>
                    </a:xfrm>
                    <a:prstGeom prst="rect">
                      <a:avLst/>
                    </a:prstGeom>
                    <a:noFill/>
                  </pic:spPr>
                </pic:pic>
              </a:graphicData>
            </a:graphic>
          </wp:anchor>
        </w:drawing>
      </w:r>
    </w:p>
    <w:p>
      <w:pPr>
        <w:sectPr>
          <w:pgSz w:w="11900" w:h="16840" w:orient="portrait"/>
          <w:cols w:equalWidth="0" w:num="1">
            <w:col w:w="10460"/>
          </w:cols>
          <w:pgMar w:left="660" w:top="931" w:right="780" w:bottom="1440" w:gutter="0" w:footer="0" w:header="0"/>
        </w:sectPr>
      </w:pPr>
    </w:p>
    <w:bookmarkStart w:id="58" w:name="page59"/>
    <w:bookmarkEnd w:id="58"/>
    <w:p>
      <w:pPr>
        <w:ind w:left="2520"/>
        <w:spacing w:after="0"/>
        <w:tabs>
          <w:tab w:leader="none" w:pos="2760" w:val="left"/>
          <w:tab w:leader="none" w:pos="81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638925" cy="662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63892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638925" cy="205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3892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14"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Common Equity Tier 1 IFRS</w:t>
      </w:r>
    </w:p>
    <w:p>
      <w:pPr>
        <w:spacing w:after="0" w:line="15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BCP Stand-alone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358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Common Equity Tier 1 IFRS</w:t>
            </w:r>
          </w:p>
        </w:tc>
        <w:tc>
          <w:tcPr>
            <w:tcW w:w="140" w:type="dxa"/>
            <w:vAlign w:val="bottom"/>
            <w:tcBorders>
              <w:top w:val="single" w:sz="8" w:color="auto"/>
              <w:right w:val="single" w:sz="8" w:color="33CCCC"/>
            </w:tcBorders>
            <w:shd w:val="clear" w:color="auto" w:fill="33CCCC"/>
          </w:tcPr>
          <w:p>
            <w:pPr>
              <w:spacing w:after="0"/>
              <w:rPr>
                <w:sz w:val="14"/>
                <w:szCs w:val="14"/>
                <w:color w:val="auto"/>
              </w:rPr>
            </w:pPr>
          </w:p>
        </w:tc>
        <w:tc>
          <w:tcPr>
            <w:tcW w:w="1040" w:type="dxa"/>
            <w:vAlign w:val="bottom"/>
            <w:tcBorders>
              <w:top w:val="single" w:sz="8" w:color="auto"/>
            </w:tcBorders>
            <w:shd w:val="clear" w:color="auto" w:fill="33CCCC"/>
          </w:tcPr>
          <w:p>
            <w:pPr>
              <w:spacing w:after="0"/>
              <w:rPr>
                <w:sz w:val="14"/>
                <w:szCs w:val="14"/>
                <w:color w:val="auto"/>
              </w:rPr>
            </w:pPr>
          </w:p>
        </w:tc>
        <w:tc>
          <w:tcPr>
            <w:tcW w:w="1680" w:type="dxa"/>
            <w:vAlign w:val="bottom"/>
            <w:tcBorders>
              <w:top w:val="single" w:sz="8" w:color="auto"/>
            </w:tcBorders>
            <w:shd w:val="clear" w:color="auto" w:fill="33CCCC"/>
          </w:tcPr>
          <w:p>
            <w:pPr>
              <w:jc w:val="center"/>
              <w:ind w:left="399"/>
              <w:spacing w:after="0"/>
              <w:rPr>
                <w:sz w:val="20"/>
                <w:szCs w:val="20"/>
                <w:color w:val="auto"/>
              </w:rPr>
            </w:pPr>
            <w:r>
              <w:rPr>
                <w:rFonts w:ascii="Arial" w:cs="Arial" w:eastAsia="Arial" w:hAnsi="Arial"/>
                <w:sz w:val="12"/>
                <w:szCs w:val="12"/>
                <w:b w:val="1"/>
                <w:bCs w:val="1"/>
                <w:color w:val="FFFFFF"/>
                <w:w w:val="99"/>
              </w:rPr>
              <w:t>As of</w:t>
            </w:r>
          </w:p>
        </w:tc>
        <w:tc>
          <w:tcPr>
            <w:tcW w:w="1300" w:type="dxa"/>
            <w:vAlign w:val="bottom"/>
            <w:tcBorders>
              <w:top w:val="single" w:sz="8" w:color="auto"/>
              <w:right w:val="single" w:sz="8" w:color="33CCCC"/>
            </w:tcBorders>
            <w:shd w:val="clear" w:color="auto" w:fill="33CCCC"/>
          </w:tcPr>
          <w:p>
            <w:pPr>
              <w:spacing w:after="0"/>
              <w:rPr>
                <w:sz w:val="14"/>
                <w:szCs w:val="14"/>
                <w:color w:val="auto"/>
              </w:rPr>
            </w:pPr>
          </w:p>
        </w:tc>
        <w:tc>
          <w:tcPr>
            <w:tcW w:w="300" w:type="dxa"/>
            <w:vAlign w:val="bottom"/>
            <w:tcBorders>
              <w:top w:val="single" w:sz="8" w:color="auto"/>
            </w:tcBorders>
            <w:shd w:val="clear" w:color="auto" w:fill="33CCCC"/>
          </w:tcPr>
          <w:p>
            <w:pPr>
              <w:spacing w:after="0"/>
              <w:rPr>
                <w:sz w:val="14"/>
                <w:szCs w:val="14"/>
                <w:color w:val="auto"/>
              </w:rPr>
            </w:pPr>
          </w:p>
        </w:tc>
        <w:tc>
          <w:tcPr>
            <w:tcW w:w="340" w:type="dxa"/>
            <w:vAlign w:val="bottom"/>
            <w:tcBorders>
              <w:top w:val="single" w:sz="8" w:color="auto"/>
              <w:right w:val="single" w:sz="8" w:color="auto"/>
            </w:tcBorders>
            <w:shd w:val="clear" w:color="auto" w:fill="33CCCC"/>
          </w:tcPr>
          <w:p>
            <w:pPr>
              <w:spacing w:after="0"/>
              <w:rPr>
                <w:sz w:val="14"/>
                <w:szCs w:val="14"/>
                <w:color w:val="auto"/>
              </w:rPr>
            </w:pPr>
          </w:p>
        </w:tc>
        <w:tc>
          <w:tcPr>
            <w:tcW w:w="2080" w:type="dxa"/>
            <w:vAlign w:val="bottom"/>
            <w:tcBorders>
              <w:top w:val="single" w:sz="8" w:color="auto"/>
              <w:right w:val="single" w:sz="8" w:color="auto"/>
            </w:tcBorders>
            <w:gridSpan w:val="2"/>
            <w:shd w:val="clear" w:color="auto" w:fill="33CCCC"/>
          </w:tcPr>
          <w:p>
            <w:pPr>
              <w:ind w:left="740"/>
              <w:spacing w:after="0"/>
              <w:rPr>
                <w:sz w:val="20"/>
                <w:szCs w:val="20"/>
                <w:color w:val="auto"/>
              </w:rPr>
            </w:pPr>
            <w:r>
              <w:rPr>
                <w:rFonts w:ascii="Arial" w:cs="Arial" w:eastAsia="Arial" w:hAnsi="Arial"/>
                <w:sz w:val="12"/>
                <w:szCs w:val="12"/>
                <w:b w:val="1"/>
                <w:bCs w:val="1"/>
                <w:color w:val="FFFFFF"/>
              </w:rPr>
              <w:t>% Change</w:t>
            </w:r>
          </w:p>
        </w:tc>
      </w:tr>
      <w:tr>
        <w:trPr>
          <w:trHeight w:val="157"/>
        </w:trPr>
        <w:tc>
          <w:tcPr>
            <w:tcW w:w="358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color w:val="FFFFFF"/>
              </w:rPr>
              <w:t>(S/ thousand)</w:t>
            </w:r>
          </w:p>
        </w:tc>
        <w:tc>
          <w:tcPr>
            <w:tcW w:w="140" w:type="dxa"/>
            <w:vAlign w:val="bottom"/>
            <w:tcBorders>
              <w:bottom w:val="single" w:sz="8" w:color="auto"/>
              <w:right w:val="single" w:sz="8" w:color="33CCCC"/>
            </w:tcBorders>
            <w:shd w:val="clear" w:color="auto" w:fill="33CCCC"/>
          </w:tcPr>
          <w:p>
            <w:pPr>
              <w:spacing w:after="0"/>
              <w:rPr>
                <w:sz w:val="13"/>
                <w:szCs w:val="13"/>
                <w:color w:val="auto"/>
              </w:rPr>
            </w:pPr>
          </w:p>
        </w:tc>
        <w:tc>
          <w:tcPr>
            <w:tcW w:w="1040" w:type="dxa"/>
            <w:vAlign w:val="bottom"/>
            <w:tcBorders>
              <w:bottom w:val="single" w:sz="8" w:color="auto"/>
            </w:tcBorders>
            <w:shd w:val="clear" w:color="auto" w:fill="33CCCC"/>
          </w:tcPr>
          <w:p>
            <w:pPr>
              <w:ind w:left="340"/>
              <w:spacing w:after="0"/>
              <w:rPr>
                <w:sz w:val="20"/>
                <w:szCs w:val="20"/>
                <w:color w:val="auto"/>
              </w:rPr>
            </w:pPr>
            <w:r>
              <w:rPr>
                <w:rFonts w:ascii="Arial" w:cs="Arial" w:eastAsia="Arial" w:hAnsi="Arial"/>
                <w:sz w:val="12"/>
                <w:szCs w:val="12"/>
                <w:b w:val="1"/>
                <w:bCs w:val="1"/>
                <w:color w:val="FFFFFF"/>
              </w:rPr>
              <w:t>Sep 24</w:t>
            </w:r>
          </w:p>
        </w:tc>
        <w:tc>
          <w:tcPr>
            <w:tcW w:w="1680" w:type="dxa"/>
            <w:vAlign w:val="bottom"/>
            <w:tcBorders>
              <w:bottom w:val="single" w:sz="8" w:color="auto"/>
            </w:tcBorders>
            <w:shd w:val="clear" w:color="auto" w:fill="33CCCC"/>
          </w:tcPr>
          <w:p>
            <w:pPr>
              <w:jc w:val="center"/>
              <w:ind w:left="359"/>
              <w:spacing w:after="0"/>
              <w:rPr>
                <w:sz w:val="20"/>
                <w:szCs w:val="20"/>
                <w:color w:val="auto"/>
              </w:rPr>
            </w:pPr>
            <w:r>
              <w:rPr>
                <w:rFonts w:ascii="Arial" w:cs="Arial" w:eastAsia="Arial" w:hAnsi="Arial"/>
                <w:sz w:val="12"/>
                <w:szCs w:val="12"/>
                <w:b w:val="1"/>
                <w:bCs w:val="1"/>
                <w:color w:val="FFFFFF"/>
                <w:w w:val="99"/>
              </w:rPr>
              <w:t>Jun 25</w:t>
            </w:r>
          </w:p>
        </w:tc>
        <w:tc>
          <w:tcPr>
            <w:tcW w:w="1600" w:type="dxa"/>
            <w:vAlign w:val="bottom"/>
            <w:tcBorders>
              <w:bottom w:val="single" w:sz="8" w:color="auto"/>
            </w:tcBorders>
            <w:gridSpan w:val="2"/>
            <w:shd w:val="clear" w:color="auto" w:fill="33CCCC"/>
          </w:tcPr>
          <w:p>
            <w:pPr>
              <w:ind w:left="900"/>
              <w:spacing w:after="0"/>
              <w:rPr>
                <w:sz w:val="20"/>
                <w:szCs w:val="20"/>
                <w:color w:val="auto"/>
              </w:rPr>
            </w:pPr>
            <w:r>
              <w:rPr>
                <w:rFonts w:ascii="Arial" w:cs="Arial" w:eastAsia="Arial" w:hAnsi="Arial"/>
                <w:sz w:val="12"/>
                <w:szCs w:val="12"/>
                <w:b w:val="1"/>
                <w:bCs w:val="1"/>
                <w:color w:val="FFFFFF"/>
              </w:rPr>
              <w:t>Sep 25</w:t>
            </w:r>
          </w:p>
        </w:tc>
        <w:tc>
          <w:tcPr>
            <w:tcW w:w="340" w:type="dxa"/>
            <w:vAlign w:val="bottom"/>
            <w:tcBorders>
              <w:bottom w:val="single" w:sz="8" w:color="auto"/>
              <w:right w:val="single" w:sz="8" w:color="auto"/>
            </w:tcBorders>
            <w:shd w:val="clear" w:color="auto" w:fill="33CCCC"/>
          </w:tcPr>
          <w:p>
            <w:pPr>
              <w:spacing w:after="0"/>
              <w:rPr>
                <w:sz w:val="13"/>
                <w:szCs w:val="13"/>
                <w:color w:val="auto"/>
              </w:rPr>
            </w:pPr>
          </w:p>
        </w:tc>
        <w:tc>
          <w:tcPr>
            <w:tcW w:w="10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QoQ</w:t>
            </w:r>
          </w:p>
        </w:tc>
        <w:tc>
          <w:tcPr>
            <w:tcW w:w="10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4"/>
              </w:rPr>
              <w:t>YoY</w:t>
            </w:r>
          </w:p>
        </w:tc>
      </w:tr>
      <w:tr>
        <w:trPr>
          <w:trHeight w:val="147"/>
        </w:trPr>
        <w:tc>
          <w:tcPr>
            <w:tcW w:w="35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Capital and reserves</w:t>
            </w:r>
          </w:p>
        </w:tc>
        <w:tc>
          <w:tcPr>
            <w:tcW w:w="1180" w:type="dxa"/>
            <w:vAlign w:val="bottom"/>
            <w:gridSpan w:val="2"/>
          </w:tcPr>
          <w:p>
            <w:pPr>
              <w:jc w:val="center"/>
              <w:ind w:left="80"/>
              <w:spacing w:after="0"/>
              <w:rPr>
                <w:sz w:val="20"/>
                <w:szCs w:val="20"/>
                <w:color w:val="auto"/>
              </w:rPr>
            </w:pPr>
            <w:r>
              <w:rPr>
                <w:rFonts w:ascii="Arial" w:cs="Arial" w:eastAsia="Arial" w:hAnsi="Arial"/>
                <w:sz w:val="12"/>
                <w:szCs w:val="12"/>
                <w:color w:val="auto"/>
                <w:w w:val="99"/>
              </w:rPr>
              <w:t>19,052,262</w:t>
            </w:r>
          </w:p>
        </w:tc>
        <w:tc>
          <w:tcPr>
            <w:tcW w:w="1680" w:type="dxa"/>
            <w:vAlign w:val="bottom"/>
          </w:tcPr>
          <w:p>
            <w:pPr>
              <w:jc w:val="center"/>
              <w:ind w:left="339"/>
              <w:spacing w:after="0"/>
              <w:rPr>
                <w:sz w:val="20"/>
                <w:szCs w:val="20"/>
                <w:color w:val="auto"/>
              </w:rPr>
            </w:pPr>
            <w:r>
              <w:rPr>
                <w:rFonts w:ascii="Arial" w:cs="Arial" w:eastAsia="Arial" w:hAnsi="Arial"/>
                <w:sz w:val="12"/>
                <w:szCs w:val="12"/>
                <w:color w:val="auto"/>
                <w:w w:val="99"/>
              </w:rPr>
              <w:t>18,586,384</w:t>
            </w:r>
          </w:p>
        </w:tc>
        <w:tc>
          <w:tcPr>
            <w:tcW w:w="1600" w:type="dxa"/>
            <w:vAlign w:val="bottom"/>
            <w:gridSpan w:val="2"/>
          </w:tcPr>
          <w:p>
            <w:pPr>
              <w:jc w:val="center"/>
              <w:ind w:left="500"/>
              <w:spacing w:after="0"/>
              <w:rPr>
                <w:sz w:val="20"/>
                <w:szCs w:val="20"/>
                <w:color w:val="auto"/>
              </w:rPr>
            </w:pPr>
            <w:r>
              <w:rPr>
                <w:rFonts w:ascii="Arial" w:cs="Arial" w:eastAsia="Arial" w:hAnsi="Arial"/>
                <w:sz w:val="12"/>
                <w:szCs w:val="12"/>
                <w:color w:val="auto"/>
                <w:w w:val="99"/>
              </w:rPr>
              <w:t>18,586,384</w:t>
            </w:r>
          </w:p>
        </w:tc>
        <w:tc>
          <w:tcPr>
            <w:tcW w:w="340" w:type="dxa"/>
            <w:vAlign w:val="bottom"/>
            <w:tcBorders>
              <w:right w:val="single" w:sz="8" w:color="auto"/>
            </w:tcBorders>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4"/>
              </w:rPr>
              <w:t>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-2.4%</w:t>
            </w:r>
          </w:p>
        </w:tc>
      </w:tr>
      <w:tr>
        <w:trPr>
          <w:trHeight w:val="156"/>
        </w:trPr>
        <w:tc>
          <w:tcPr>
            <w:tcW w:w="35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Retained earnings</w:t>
            </w:r>
          </w:p>
        </w:tc>
        <w:tc>
          <w:tcPr>
            <w:tcW w:w="1180" w:type="dxa"/>
            <w:vAlign w:val="bottom"/>
            <w:gridSpan w:val="2"/>
          </w:tcPr>
          <w:p>
            <w:pPr>
              <w:jc w:val="center"/>
              <w:ind w:left="100"/>
              <w:spacing w:after="0"/>
              <w:rPr>
                <w:sz w:val="20"/>
                <w:szCs w:val="20"/>
                <w:color w:val="auto"/>
              </w:rPr>
            </w:pPr>
            <w:r>
              <w:rPr>
                <w:rFonts w:ascii="Arial" w:cs="Arial" w:eastAsia="Arial" w:hAnsi="Arial"/>
                <w:sz w:val="12"/>
                <w:szCs w:val="12"/>
                <w:color w:val="auto"/>
              </w:rPr>
              <w:t>6,076,551</w:t>
            </w:r>
          </w:p>
        </w:tc>
        <w:tc>
          <w:tcPr>
            <w:tcW w:w="1680" w:type="dxa"/>
            <w:vAlign w:val="bottom"/>
          </w:tcPr>
          <w:p>
            <w:pPr>
              <w:jc w:val="center"/>
              <w:ind w:left="359"/>
              <w:spacing w:after="0"/>
              <w:rPr>
                <w:sz w:val="20"/>
                <w:szCs w:val="20"/>
                <w:color w:val="auto"/>
              </w:rPr>
            </w:pPr>
            <w:r>
              <w:rPr>
                <w:rFonts w:ascii="Arial" w:cs="Arial" w:eastAsia="Arial" w:hAnsi="Arial"/>
                <w:sz w:val="12"/>
                <w:szCs w:val="12"/>
                <w:color w:val="auto"/>
              </w:rPr>
              <w:t>5,926,516</w:t>
            </w:r>
          </w:p>
        </w:tc>
        <w:tc>
          <w:tcPr>
            <w:tcW w:w="1600" w:type="dxa"/>
            <w:vAlign w:val="bottom"/>
            <w:gridSpan w:val="2"/>
          </w:tcPr>
          <w:p>
            <w:pPr>
              <w:jc w:val="center"/>
              <w:ind w:left="520"/>
              <w:spacing w:after="0"/>
              <w:rPr>
                <w:sz w:val="20"/>
                <w:szCs w:val="20"/>
                <w:color w:val="auto"/>
              </w:rPr>
            </w:pPr>
            <w:r>
              <w:rPr>
                <w:rFonts w:ascii="Arial" w:cs="Arial" w:eastAsia="Arial" w:hAnsi="Arial"/>
                <w:sz w:val="12"/>
                <w:szCs w:val="12"/>
                <w:color w:val="auto"/>
              </w:rPr>
              <w:t>7,524,062</w:t>
            </w:r>
          </w:p>
        </w:tc>
        <w:tc>
          <w:tcPr>
            <w:tcW w:w="340" w:type="dxa"/>
            <w:vAlign w:val="bottom"/>
            <w:tcBorders>
              <w:right w:val="single" w:sz="8" w:color="auto"/>
            </w:tcBorders>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9"/>
              </w:rPr>
              <w:t>27.0%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23.8%</w:t>
            </w:r>
          </w:p>
        </w:tc>
      </w:tr>
      <w:tr>
        <w:trPr>
          <w:trHeight w:val="156"/>
        </w:trPr>
        <w:tc>
          <w:tcPr>
            <w:tcW w:w="35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Unrealized gains (losses)</w:t>
            </w:r>
          </w:p>
        </w:tc>
        <w:tc>
          <w:tcPr>
            <w:tcW w:w="1180" w:type="dxa"/>
            <w:vAlign w:val="bottom"/>
            <w:gridSpan w:val="2"/>
          </w:tcPr>
          <w:p>
            <w:pPr>
              <w:jc w:val="center"/>
              <w:ind w:left="100"/>
              <w:spacing w:after="0"/>
              <w:rPr>
                <w:sz w:val="20"/>
                <w:szCs w:val="20"/>
                <w:color w:val="auto"/>
              </w:rPr>
            </w:pPr>
            <w:r>
              <w:rPr>
                <w:rFonts w:ascii="Arial" w:cs="Arial" w:eastAsia="Arial" w:hAnsi="Arial"/>
                <w:sz w:val="12"/>
                <w:szCs w:val="12"/>
                <w:color w:val="auto"/>
                <w:w w:val="96"/>
              </w:rPr>
              <w:t>222,730</w:t>
            </w:r>
          </w:p>
        </w:tc>
        <w:tc>
          <w:tcPr>
            <w:tcW w:w="1680" w:type="dxa"/>
            <w:vAlign w:val="bottom"/>
          </w:tcPr>
          <w:p>
            <w:pPr>
              <w:jc w:val="center"/>
              <w:ind w:left="359"/>
              <w:spacing w:after="0"/>
              <w:rPr>
                <w:sz w:val="20"/>
                <w:szCs w:val="20"/>
                <w:color w:val="auto"/>
              </w:rPr>
            </w:pPr>
            <w:r>
              <w:rPr>
                <w:rFonts w:ascii="Arial" w:cs="Arial" w:eastAsia="Arial" w:hAnsi="Arial"/>
                <w:sz w:val="12"/>
                <w:szCs w:val="12"/>
                <w:color w:val="auto"/>
                <w:w w:val="96"/>
              </w:rPr>
              <w:t>282,927</w:t>
            </w:r>
          </w:p>
        </w:tc>
        <w:tc>
          <w:tcPr>
            <w:tcW w:w="1600" w:type="dxa"/>
            <w:vAlign w:val="bottom"/>
            <w:gridSpan w:val="2"/>
          </w:tcPr>
          <w:p>
            <w:pPr>
              <w:jc w:val="center"/>
              <w:ind w:left="520"/>
              <w:spacing w:after="0"/>
              <w:rPr>
                <w:sz w:val="20"/>
                <w:szCs w:val="20"/>
                <w:color w:val="auto"/>
              </w:rPr>
            </w:pPr>
            <w:r>
              <w:rPr>
                <w:rFonts w:ascii="Arial" w:cs="Arial" w:eastAsia="Arial" w:hAnsi="Arial"/>
                <w:sz w:val="12"/>
                <w:szCs w:val="12"/>
                <w:color w:val="auto"/>
                <w:w w:val="96"/>
              </w:rPr>
              <w:t>505,339</w:t>
            </w:r>
          </w:p>
        </w:tc>
        <w:tc>
          <w:tcPr>
            <w:tcW w:w="340" w:type="dxa"/>
            <w:vAlign w:val="bottom"/>
            <w:tcBorders>
              <w:right w:val="single" w:sz="8" w:color="auto"/>
            </w:tcBorders>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9"/>
              </w:rPr>
              <w:t>78.6%</w:t>
            </w:r>
          </w:p>
        </w:tc>
        <w:tc>
          <w:tcPr>
            <w:tcW w:w="100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color w:val="auto"/>
                <w:w w:val="98"/>
              </w:rPr>
              <w:t>126.9%</w:t>
            </w:r>
          </w:p>
        </w:tc>
      </w:tr>
      <w:tr>
        <w:trPr>
          <w:trHeight w:val="156"/>
        </w:trPr>
        <w:tc>
          <w:tcPr>
            <w:tcW w:w="35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Goodwill and intangibles</w:t>
            </w:r>
          </w:p>
        </w:tc>
        <w:tc>
          <w:tcPr>
            <w:tcW w:w="1180" w:type="dxa"/>
            <w:vAlign w:val="bottom"/>
            <w:gridSpan w:val="2"/>
          </w:tcPr>
          <w:p>
            <w:pPr>
              <w:jc w:val="center"/>
              <w:ind w:left="100"/>
              <w:spacing w:after="0"/>
              <w:rPr>
                <w:sz w:val="20"/>
                <w:szCs w:val="20"/>
                <w:color w:val="auto"/>
              </w:rPr>
            </w:pPr>
            <w:r>
              <w:rPr>
                <w:rFonts w:ascii="Arial" w:cs="Arial" w:eastAsia="Arial" w:hAnsi="Arial"/>
                <w:sz w:val="12"/>
                <w:szCs w:val="12"/>
                <w:color w:val="auto"/>
              </w:rPr>
              <w:t>(1,599,568)</w:t>
            </w:r>
          </w:p>
        </w:tc>
        <w:tc>
          <w:tcPr>
            <w:tcW w:w="1680" w:type="dxa"/>
            <w:vAlign w:val="bottom"/>
          </w:tcPr>
          <w:p>
            <w:pPr>
              <w:jc w:val="center"/>
              <w:ind w:left="359"/>
              <w:spacing w:after="0"/>
              <w:rPr>
                <w:sz w:val="20"/>
                <w:szCs w:val="20"/>
                <w:color w:val="auto"/>
              </w:rPr>
            </w:pPr>
            <w:r>
              <w:rPr>
                <w:rFonts w:ascii="Arial" w:cs="Arial" w:eastAsia="Arial" w:hAnsi="Arial"/>
                <w:sz w:val="12"/>
                <w:szCs w:val="12"/>
                <w:color w:val="auto"/>
              </w:rPr>
              <w:t>(1,739,625)</w:t>
            </w:r>
          </w:p>
        </w:tc>
        <w:tc>
          <w:tcPr>
            <w:tcW w:w="1600" w:type="dxa"/>
            <w:vAlign w:val="bottom"/>
            <w:gridSpan w:val="2"/>
          </w:tcPr>
          <w:p>
            <w:pPr>
              <w:jc w:val="center"/>
              <w:ind w:left="520"/>
              <w:spacing w:after="0"/>
              <w:rPr>
                <w:sz w:val="20"/>
                <w:szCs w:val="20"/>
                <w:color w:val="auto"/>
              </w:rPr>
            </w:pPr>
            <w:r>
              <w:rPr>
                <w:rFonts w:ascii="Arial" w:cs="Arial" w:eastAsia="Arial" w:hAnsi="Arial"/>
                <w:sz w:val="12"/>
                <w:szCs w:val="12"/>
                <w:color w:val="auto"/>
              </w:rPr>
              <w:t>(1,806,698)</w:t>
            </w:r>
          </w:p>
        </w:tc>
        <w:tc>
          <w:tcPr>
            <w:tcW w:w="340" w:type="dxa"/>
            <w:vAlign w:val="bottom"/>
            <w:tcBorders>
              <w:right w:val="single" w:sz="8" w:color="auto"/>
            </w:tcBorders>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4"/>
              </w:rPr>
              <w:t>3.9%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12.9%</w:t>
            </w:r>
          </w:p>
        </w:tc>
      </w:tr>
      <w:tr>
        <w:trPr>
          <w:trHeight w:val="157"/>
        </w:trPr>
        <w:tc>
          <w:tcPr>
            <w:tcW w:w="3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Investments in subsidiaries</w:t>
            </w:r>
          </w:p>
        </w:tc>
        <w:tc>
          <w:tcPr>
            <w:tcW w:w="1180" w:type="dxa"/>
            <w:vAlign w:val="bottom"/>
            <w:tcBorders>
              <w:bottom w:val="single" w:sz="8" w:color="auto"/>
            </w:tcBorders>
            <w:gridSpan w:val="2"/>
          </w:tcPr>
          <w:p>
            <w:pPr>
              <w:jc w:val="center"/>
              <w:ind w:left="100"/>
              <w:spacing w:after="0"/>
              <w:rPr>
                <w:sz w:val="20"/>
                <w:szCs w:val="20"/>
                <w:color w:val="auto"/>
              </w:rPr>
            </w:pPr>
            <w:r>
              <w:rPr>
                <w:rFonts w:ascii="Arial" w:cs="Arial" w:eastAsia="Arial" w:hAnsi="Arial"/>
                <w:sz w:val="12"/>
                <w:szCs w:val="12"/>
                <w:color w:val="auto"/>
              </w:rPr>
              <w:t>(2,669,334)</w:t>
            </w:r>
          </w:p>
        </w:tc>
        <w:tc>
          <w:tcPr>
            <w:tcW w:w="1680" w:type="dxa"/>
            <w:vAlign w:val="bottom"/>
            <w:tcBorders>
              <w:bottom w:val="single" w:sz="8" w:color="auto"/>
            </w:tcBorders>
          </w:tcPr>
          <w:p>
            <w:pPr>
              <w:jc w:val="center"/>
              <w:ind w:left="359"/>
              <w:spacing w:after="0"/>
              <w:rPr>
                <w:sz w:val="20"/>
                <w:szCs w:val="20"/>
                <w:color w:val="auto"/>
              </w:rPr>
            </w:pPr>
            <w:r>
              <w:rPr>
                <w:rFonts w:ascii="Arial" w:cs="Arial" w:eastAsia="Arial" w:hAnsi="Arial"/>
                <w:sz w:val="12"/>
                <w:szCs w:val="12"/>
                <w:color w:val="auto"/>
              </w:rPr>
              <w:t>(2,463,279)</w:t>
            </w:r>
          </w:p>
        </w:tc>
        <w:tc>
          <w:tcPr>
            <w:tcW w:w="1600" w:type="dxa"/>
            <w:vAlign w:val="bottom"/>
            <w:tcBorders>
              <w:bottom w:val="single" w:sz="8" w:color="auto"/>
            </w:tcBorders>
            <w:gridSpan w:val="2"/>
          </w:tcPr>
          <w:p>
            <w:pPr>
              <w:jc w:val="center"/>
              <w:ind w:left="520"/>
              <w:spacing w:after="0"/>
              <w:rPr>
                <w:sz w:val="20"/>
                <w:szCs w:val="20"/>
                <w:color w:val="auto"/>
              </w:rPr>
            </w:pPr>
            <w:r>
              <w:rPr>
                <w:rFonts w:ascii="Arial" w:cs="Arial" w:eastAsia="Arial" w:hAnsi="Arial"/>
                <w:sz w:val="12"/>
                <w:szCs w:val="12"/>
                <w:color w:val="auto"/>
              </w:rPr>
              <w:t>(2,585,795)</w:t>
            </w:r>
          </w:p>
        </w:tc>
        <w:tc>
          <w:tcPr>
            <w:tcW w:w="340" w:type="dxa"/>
            <w:vAlign w:val="bottom"/>
            <w:tcBorders>
              <w:bottom w:val="single" w:sz="8" w:color="auto"/>
              <w:right w:val="single" w:sz="8" w:color="auto"/>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5.0%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-3.1%</w:t>
            </w:r>
          </w:p>
        </w:tc>
      </w:tr>
      <w:tr>
        <w:trPr>
          <w:trHeight w:val="148"/>
        </w:trPr>
        <w:tc>
          <w:tcPr>
            <w:tcW w:w="3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1180" w:type="dxa"/>
            <w:vAlign w:val="bottom"/>
            <w:tcBorders>
              <w:bottom w:val="single" w:sz="8" w:color="auto"/>
            </w:tcBorders>
            <w:gridSpan w:val="2"/>
          </w:tcPr>
          <w:p>
            <w:pPr>
              <w:jc w:val="center"/>
              <w:ind w:left="80"/>
              <w:spacing w:after="0"/>
              <w:rPr>
                <w:sz w:val="20"/>
                <w:szCs w:val="20"/>
                <w:color w:val="auto"/>
              </w:rPr>
            </w:pPr>
            <w:r>
              <w:rPr>
                <w:rFonts w:ascii="Arial" w:cs="Arial" w:eastAsia="Arial" w:hAnsi="Arial"/>
                <w:sz w:val="12"/>
                <w:szCs w:val="12"/>
                <w:b w:val="1"/>
                <w:bCs w:val="1"/>
                <w:color w:val="auto"/>
                <w:w w:val="99"/>
              </w:rPr>
              <w:t>21,082,641</w:t>
            </w:r>
          </w:p>
        </w:tc>
        <w:tc>
          <w:tcPr>
            <w:tcW w:w="1680" w:type="dxa"/>
            <w:vAlign w:val="bottom"/>
            <w:tcBorders>
              <w:bottom w:val="single" w:sz="8" w:color="auto"/>
            </w:tcBorders>
          </w:tcPr>
          <w:p>
            <w:pPr>
              <w:jc w:val="center"/>
              <w:ind w:left="339"/>
              <w:spacing w:after="0"/>
              <w:rPr>
                <w:sz w:val="20"/>
                <w:szCs w:val="20"/>
                <w:color w:val="auto"/>
              </w:rPr>
            </w:pPr>
            <w:r>
              <w:rPr>
                <w:rFonts w:ascii="Arial" w:cs="Arial" w:eastAsia="Arial" w:hAnsi="Arial"/>
                <w:sz w:val="12"/>
                <w:szCs w:val="12"/>
                <w:b w:val="1"/>
                <w:bCs w:val="1"/>
                <w:color w:val="auto"/>
                <w:w w:val="99"/>
              </w:rPr>
              <w:t>20,592,923</w:t>
            </w:r>
          </w:p>
        </w:tc>
        <w:tc>
          <w:tcPr>
            <w:tcW w:w="1600" w:type="dxa"/>
            <w:vAlign w:val="bottom"/>
            <w:tcBorders>
              <w:bottom w:val="single" w:sz="8" w:color="auto"/>
            </w:tcBorders>
            <w:gridSpan w:val="2"/>
          </w:tcPr>
          <w:p>
            <w:pPr>
              <w:jc w:val="center"/>
              <w:ind w:left="500"/>
              <w:spacing w:after="0"/>
              <w:rPr>
                <w:sz w:val="20"/>
                <w:szCs w:val="20"/>
                <w:color w:val="auto"/>
              </w:rPr>
            </w:pPr>
            <w:r>
              <w:rPr>
                <w:rFonts w:ascii="Arial" w:cs="Arial" w:eastAsia="Arial" w:hAnsi="Arial"/>
                <w:sz w:val="12"/>
                <w:szCs w:val="12"/>
                <w:b w:val="1"/>
                <w:bCs w:val="1"/>
                <w:color w:val="auto"/>
                <w:w w:val="99"/>
              </w:rPr>
              <w:t>22,223,292</w:t>
            </w:r>
          </w:p>
        </w:tc>
        <w:tc>
          <w:tcPr>
            <w:tcW w:w="34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7.9%</w:t>
            </w:r>
          </w:p>
        </w:tc>
        <w:tc>
          <w:tcPr>
            <w:tcW w:w="1000" w:type="dxa"/>
            <w:vAlign w:val="bottom"/>
            <w:tcBorders>
              <w:bottom w:val="single" w:sz="8" w:color="auto"/>
              <w:right w:val="single" w:sz="8" w:color="auto"/>
            </w:tcBorders>
          </w:tcPr>
          <w:p>
            <w:pPr>
              <w:jc w:val="center"/>
              <w:ind w:right="20"/>
              <w:spacing w:after="0"/>
              <w:rPr>
                <w:sz w:val="20"/>
                <w:szCs w:val="20"/>
                <w:color w:val="auto"/>
              </w:rPr>
            </w:pPr>
            <w:r>
              <w:rPr>
                <w:rFonts w:ascii="Arial" w:cs="Arial" w:eastAsia="Arial" w:hAnsi="Arial"/>
                <w:sz w:val="12"/>
                <w:szCs w:val="12"/>
                <w:b w:val="1"/>
                <w:bCs w:val="1"/>
                <w:color w:val="auto"/>
              </w:rPr>
              <w:t>5.4%</w:t>
            </w:r>
          </w:p>
        </w:tc>
      </w:tr>
      <w:tr>
        <w:trPr>
          <w:trHeight w:val="172"/>
        </w:trPr>
        <w:tc>
          <w:tcPr>
            <w:tcW w:w="3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8"/>
        </w:trPr>
        <w:tc>
          <w:tcPr>
            <w:tcW w:w="3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Adjusted RWAs IFRS</w:t>
            </w:r>
          </w:p>
        </w:tc>
        <w:tc>
          <w:tcPr>
            <w:tcW w:w="1180" w:type="dxa"/>
            <w:vAlign w:val="bottom"/>
            <w:tcBorders>
              <w:bottom w:val="single" w:sz="8" w:color="auto"/>
            </w:tcBorders>
            <w:gridSpan w:val="2"/>
          </w:tcPr>
          <w:p>
            <w:pPr>
              <w:jc w:val="center"/>
              <w:ind w:left="100"/>
              <w:spacing w:after="0"/>
              <w:rPr>
                <w:sz w:val="20"/>
                <w:szCs w:val="20"/>
                <w:color w:val="auto"/>
              </w:rPr>
            </w:pPr>
            <w:r>
              <w:rPr>
                <w:rFonts w:ascii="Arial" w:cs="Arial" w:eastAsia="Arial" w:hAnsi="Arial"/>
                <w:sz w:val="12"/>
                <w:szCs w:val="12"/>
                <w:b w:val="1"/>
                <w:bCs w:val="1"/>
                <w:color w:val="auto"/>
                <w:w w:val="98"/>
              </w:rPr>
              <w:t>157,046,547</w:t>
            </w:r>
          </w:p>
        </w:tc>
        <w:tc>
          <w:tcPr>
            <w:tcW w:w="1680" w:type="dxa"/>
            <w:vAlign w:val="bottom"/>
            <w:tcBorders>
              <w:bottom w:val="single" w:sz="8" w:color="auto"/>
            </w:tcBorders>
          </w:tcPr>
          <w:p>
            <w:pPr>
              <w:jc w:val="center"/>
              <w:ind w:left="359"/>
              <w:spacing w:after="0"/>
              <w:rPr>
                <w:sz w:val="20"/>
                <w:szCs w:val="20"/>
                <w:color w:val="auto"/>
              </w:rPr>
            </w:pPr>
            <w:r>
              <w:rPr>
                <w:rFonts w:ascii="Arial" w:cs="Arial" w:eastAsia="Arial" w:hAnsi="Arial"/>
                <w:sz w:val="12"/>
                <w:szCs w:val="12"/>
                <w:b w:val="1"/>
                <w:bCs w:val="1"/>
                <w:color w:val="auto"/>
                <w:w w:val="98"/>
              </w:rPr>
              <w:t>163,938,888</w:t>
            </w:r>
          </w:p>
        </w:tc>
        <w:tc>
          <w:tcPr>
            <w:tcW w:w="1600" w:type="dxa"/>
            <w:vAlign w:val="bottom"/>
            <w:tcBorders>
              <w:bottom w:val="single" w:sz="8" w:color="auto"/>
            </w:tcBorders>
            <w:gridSpan w:val="2"/>
          </w:tcPr>
          <w:p>
            <w:pPr>
              <w:jc w:val="center"/>
              <w:ind w:left="520"/>
              <w:spacing w:after="0"/>
              <w:rPr>
                <w:sz w:val="20"/>
                <w:szCs w:val="20"/>
                <w:color w:val="auto"/>
              </w:rPr>
            </w:pPr>
            <w:r>
              <w:rPr>
                <w:rFonts w:ascii="Arial" w:cs="Arial" w:eastAsia="Arial" w:hAnsi="Arial"/>
                <w:sz w:val="12"/>
                <w:szCs w:val="12"/>
                <w:b w:val="1"/>
                <w:bCs w:val="1"/>
                <w:color w:val="auto"/>
                <w:w w:val="98"/>
              </w:rPr>
              <w:t>168,714,799</w:t>
            </w:r>
          </w:p>
        </w:tc>
        <w:tc>
          <w:tcPr>
            <w:tcW w:w="34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2.9%</w:t>
            </w:r>
          </w:p>
        </w:tc>
        <w:tc>
          <w:tcPr>
            <w:tcW w:w="1000" w:type="dxa"/>
            <w:vAlign w:val="bottom"/>
            <w:tcBorders>
              <w:bottom w:val="single" w:sz="8" w:color="auto"/>
              <w:right w:val="single" w:sz="8" w:color="auto"/>
            </w:tcBorders>
          </w:tcPr>
          <w:p>
            <w:pPr>
              <w:jc w:val="center"/>
              <w:ind w:right="20"/>
              <w:spacing w:after="0"/>
              <w:rPr>
                <w:sz w:val="20"/>
                <w:szCs w:val="20"/>
                <w:color w:val="auto"/>
              </w:rPr>
            </w:pPr>
            <w:r>
              <w:rPr>
                <w:rFonts w:ascii="Arial" w:cs="Arial" w:eastAsia="Arial" w:hAnsi="Arial"/>
                <w:sz w:val="12"/>
                <w:szCs w:val="12"/>
                <w:b w:val="1"/>
                <w:bCs w:val="1"/>
                <w:color w:val="auto"/>
              </w:rPr>
              <w:t>7.4%</w:t>
            </w:r>
          </w:p>
        </w:tc>
      </w:tr>
      <w:tr>
        <w:trPr>
          <w:trHeight w:val="147"/>
        </w:trPr>
        <w:tc>
          <w:tcPr>
            <w:tcW w:w="35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Adjusted Credit RWAs IFRS</w:t>
            </w:r>
          </w:p>
        </w:tc>
        <w:tc>
          <w:tcPr>
            <w:tcW w:w="1180" w:type="dxa"/>
            <w:vAlign w:val="bottom"/>
            <w:gridSpan w:val="2"/>
          </w:tcPr>
          <w:p>
            <w:pPr>
              <w:jc w:val="center"/>
              <w:ind w:left="100"/>
              <w:spacing w:after="0"/>
              <w:rPr>
                <w:sz w:val="20"/>
                <w:szCs w:val="20"/>
                <w:color w:val="auto"/>
              </w:rPr>
            </w:pPr>
            <w:r>
              <w:rPr>
                <w:rFonts w:ascii="Arial" w:cs="Arial" w:eastAsia="Arial" w:hAnsi="Arial"/>
                <w:sz w:val="12"/>
                <w:szCs w:val="12"/>
                <w:color w:val="auto"/>
                <w:w w:val="98"/>
              </w:rPr>
              <w:t>134,873,654</w:t>
            </w:r>
          </w:p>
        </w:tc>
        <w:tc>
          <w:tcPr>
            <w:tcW w:w="1680" w:type="dxa"/>
            <w:vAlign w:val="bottom"/>
          </w:tcPr>
          <w:p>
            <w:pPr>
              <w:jc w:val="center"/>
              <w:ind w:left="359"/>
              <w:spacing w:after="0"/>
              <w:rPr>
                <w:sz w:val="20"/>
                <w:szCs w:val="20"/>
                <w:color w:val="auto"/>
              </w:rPr>
            </w:pPr>
            <w:r>
              <w:rPr>
                <w:rFonts w:ascii="Arial" w:cs="Arial" w:eastAsia="Arial" w:hAnsi="Arial"/>
                <w:sz w:val="12"/>
                <w:szCs w:val="12"/>
                <w:color w:val="auto"/>
                <w:w w:val="98"/>
              </w:rPr>
              <w:t>140,154,641</w:t>
            </w:r>
          </w:p>
        </w:tc>
        <w:tc>
          <w:tcPr>
            <w:tcW w:w="1600" w:type="dxa"/>
            <w:vAlign w:val="bottom"/>
            <w:gridSpan w:val="2"/>
          </w:tcPr>
          <w:p>
            <w:pPr>
              <w:jc w:val="center"/>
              <w:ind w:left="520"/>
              <w:spacing w:after="0"/>
              <w:rPr>
                <w:sz w:val="20"/>
                <w:szCs w:val="20"/>
                <w:color w:val="auto"/>
              </w:rPr>
            </w:pPr>
            <w:r>
              <w:rPr>
                <w:rFonts w:ascii="Arial" w:cs="Arial" w:eastAsia="Arial" w:hAnsi="Arial"/>
                <w:sz w:val="12"/>
                <w:szCs w:val="12"/>
                <w:color w:val="auto"/>
                <w:w w:val="98"/>
              </w:rPr>
              <w:t>143,634,722</w:t>
            </w:r>
          </w:p>
        </w:tc>
        <w:tc>
          <w:tcPr>
            <w:tcW w:w="340" w:type="dxa"/>
            <w:vAlign w:val="bottom"/>
            <w:tcBorders>
              <w:right w:val="single" w:sz="8" w:color="auto"/>
            </w:tcBorders>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4"/>
              </w:rPr>
              <w:t>2.5%</w:t>
            </w:r>
          </w:p>
        </w:tc>
        <w:tc>
          <w:tcPr>
            <w:tcW w:w="100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color w:val="auto"/>
              </w:rPr>
              <w:t>6.5%</w:t>
            </w:r>
          </w:p>
        </w:tc>
      </w:tr>
      <w:tr>
        <w:trPr>
          <w:trHeight w:val="157"/>
        </w:trPr>
        <w:tc>
          <w:tcPr>
            <w:tcW w:w="3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Others</w:t>
            </w:r>
          </w:p>
        </w:tc>
        <w:tc>
          <w:tcPr>
            <w:tcW w:w="1180" w:type="dxa"/>
            <w:vAlign w:val="bottom"/>
            <w:tcBorders>
              <w:bottom w:val="single" w:sz="8" w:color="auto"/>
            </w:tcBorders>
            <w:gridSpan w:val="2"/>
          </w:tcPr>
          <w:p>
            <w:pPr>
              <w:jc w:val="center"/>
              <w:ind w:left="80"/>
              <w:spacing w:after="0"/>
              <w:rPr>
                <w:sz w:val="20"/>
                <w:szCs w:val="20"/>
                <w:color w:val="auto"/>
              </w:rPr>
            </w:pPr>
            <w:r>
              <w:rPr>
                <w:rFonts w:ascii="Arial" w:cs="Arial" w:eastAsia="Arial" w:hAnsi="Arial"/>
                <w:sz w:val="12"/>
                <w:szCs w:val="12"/>
                <w:color w:val="auto"/>
                <w:w w:val="99"/>
              </w:rPr>
              <w:t>22,172,893</w:t>
            </w:r>
          </w:p>
        </w:tc>
        <w:tc>
          <w:tcPr>
            <w:tcW w:w="1680" w:type="dxa"/>
            <w:vAlign w:val="bottom"/>
            <w:tcBorders>
              <w:bottom w:val="single" w:sz="8" w:color="auto"/>
            </w:tcBorders>
          </w:tcPr>
          <w:p>
            <w:pPr>
              <w:jc w:val="center"/>
              <w:ind w:left="339"/>
              <w:spacing w:after="0"/>
              <w:rPr>
                <w:sz w:val="20"/>
                <w:szCs w:val="20"/>
                <w:color w:val="auto"/>
              </w:rPr>
            </w:pPr>
            <w:r>
              <w:rPr>
                <w:rFonts w:ascii="Arial" w:cs="Arial" w:eastAsia="Arial" w:hAnsi="Arial"/>
                <w:sz w:val="12"/>
                <w:szCs w:val="12"/>
                <w:color w:val="auto"/>
                <w:w w:val="99"/>
              </w:rPr>
              <w:t>23,784,246</w:t>
            </w:r>
          </w:p>
        </w:tc>
        <w:tc>
          <w:tcPr>
            <w:tcW w:w="1600" w:type="dxa"/>
            <w:vAlign w:val="bottom"/>
            <w:tcBorders>
              <w:bottom w:val="single" w:sz="8" w:color="auto"/>
            </w:tcBorders>
            <w:gridSpan w:val="2"/>
          </w:tcPr>
          <w:p>
            <w:pPr>
              <w:jc w:val="center"/>
              <w:ind w:left="500"/>
              <w:spacing w:after="0"/>
              <w:rPr>
                <w:sz w:val="20"/>
                <w:szCs w:val="20"/>
                <w:color w:val="auto"/>
              </w:rPr>
            </w:pPr>
            <w:r>
              <w:rPr>
                <w:rFonts w:ascii="Arial" w:cs="Arial" w:eastAsia="Arial" w:hAnsi="Arial"/>
                <w:sz w:val="12"/>
                <w:szCs w:val="12"/>
                <w:color w:val="auto"/>
                <w:w w:val="99"/>
              </w:rPr>
              <w:t>25,080,077</w:t>
            </w:r>
          </w:p>
        </w:tc>
        <w:tc>
          <w:tcPr>
            <w:tcW w:w="340" w:type="dxa"/>
            <w:vAlign w:val="bottom"/>
            <w:tcBorders>
              <w:bottom w:val="single" w:sz="8" w:color="auto"/>
              <w:right w:val="single" w:sz="8" w:color="auto"/>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5.4%</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13.1%</w:t>
            </w:r>
          </w:p>
        </w:tc>
      </w:tr>
      <w:tr>
        <w:trPr>
          <w:trHeight w:val="172"/>
        </w:trPr>
        <w:tc>
          <w:tcPr>
            <w:tcW w:w="3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8"/>
        </w:trPr>
        <w:tc>
          <w:tcPr>
            <w:tcW w:w="3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CET1 ratio IFRS</w:t>
            </w:r>
          </w:p>
        </w:tc>
        <w:tc>
          <w:tcPr>
            <w:tcW w:w="1180" w:type="dxa"/>
            <w:vAlign w:val="bottom"/>
            <w:tcBorders>
              <w:bottom w:val="single" w:sz="8" w:color="auto"/>
            </w:tcBorders>
            <w:gridSpan w:val="2"/>
          </w:tcPr>
          <w:p>
            <w:pPr>
              <w:jc w:val="center"/>
              <w:ind w:left="100"/>
              <w:spacing w:after="0"/>
              <w:rPr>
                <w:sz w:val="20"/>
                <w:szCs w:val="20"/>
                <w:color w:val="auto"/>
              </w:rPr>
            </w:pPr>
            <w:r>
              <w:rPr>
                <w:rFonts w:ascii="Arial" w:cs="Arial" w:eastAsia="Arial" w:hAnsi="Arial"/>
                <w:sz w:val="12"/>
                <w:szCs w:val="12"/>
                <w:b w:val="1"/>
                <w:bCs w:val="1"/>
                <w:color w:val="auto"/>
              </w:rPr>
              <w:t>13.42%</w:t>
            </w:r>
          </w:p>
        </w:tc>
        <w:tc>
          <w:tcPr>
            <w:tcW w:w="1680" w:type="dxa"/>
            <w:vAlign w:val="bottom"/>
            <w:tcBorders>
              <w:bottom w:val="single" w:sz="8" w:color="auto"/>
            </w:tcBorders>
          </w:tcPr>
          <w:p>
            <w:pPr>
              <w:jc w:val="center"/>
              <w:ind w:left="359"/>
              <w:spacing w:after="0"/>
              <w:rPr>
                <w:sz w:val="20"/>
                <w:szCs w:val="20"/>
                <w:color w:val="auto"/>
              </w:rPr>
            </w:pPr>
            <w:r>
              <w:rPr>
                <w:rFonts w:ascii="Arial" w:cs="Arial" w:eastAsia="Arial" w:hAnsi="Arial"/>
                <w:sz w:val="12"/>
                <w:szCs w:val="12"/>
                <w:b w:val="1"/>
                <w:bCs w:val="1"/>
                <w:color w:val="auto"/>
              </w:rPr>
              <w:t>12.56%</w:t>
            </w:r>
          </w:p>
        </w:tc>
        <w:tc>
          <w:tcPr>
            <w:tcW w:w="1300" w:type="dxa"/>
            <w:vAlign w:val="bottom"/>
            <w:tcBorders>
              <w:bottom w:val="single" w:sz="8" w:color="auto"/>
            </w:tcBorders>
          </w:tcPr>
          <w:p>
            <w:pPr>
              <w:jc w:val="center"/>
              <w:ind w:left="800"/>
              <w:spacing w:after="0"/>
              <w:rPr>
                <w:sz w:val="20"/>
                <w:szCs w:val="20"/>
                <w:color w:val="auto"/>
              </w:rPr>
            </w:pPr>
            <w:r>
              <w:rPr>
                <w:rFonts w:ascii="Arial" w:cs="Arial" w:eastAsia="Arial" w:hAnsi="Arial"/>
                <w:sz w:val="12"/>
                <w:szCs w:val="12"/>
                <w:b w:val="1"/>
                <w:bCs w:val="1"/>
                <w:color w:val="auto"/>
                <w:w w:val="98"/>
              </w:rPr>
              <w:t>13.17%</w:t>
            </w: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61 bps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-25 bps</w:t>
            </w:r>
          </w:p>
        </w:tc>
      </w:tr>
      <w:tr>
        <w:trPr>
          <w:trHeight w:val="374"/>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tcPr>
          <w:p>
            <w:pPr>
              <w:ind w:left="100"/>
              <w:spacing w:after="0"/>
              <w:rPr>
                <w:sz w:val="20"/>
                <w:szCs w:val="20"/>
                <w:color w:val="auto"/>
              </w:rPr>
            </w:pPr>
            <w:r>
              <w:rPr>
                <w:rFonts w:ascii="Arial" w:cs="Arial" w:eastAsia="Arial" w:hAnsi="Arial"/>
                <w:sz w:val="16"/>
                <w:szCs w:val="16"/>
                <w:b w:val="1"/>
                <w:bCs w:val="1"/>
                <w:color w:val="auto"/>
              </w:rPr>
              <w:t>Mibanco</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8"/>
        </w:trPr>
        <w:tc>
          <w:tcPr>
            <w:tcW w:w="3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7"/>
        </w:trPr>
        <w:tc>
          <w:tcPr>
            <w:tcW w:w="3580" w:type="dxa"/>
            <w:vAlign w:val="bottom"/>
            <w:tcBorders>
              <w:left w:val="single" w:sz="8" w:color="auto"/>
              <w:right w:val="single" w:sz="8" w:color="33CCCC"/>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Common Equity Tier 1 IFRS</w:t>
            </w:r>
          </w:p>
        </w:tc>
        <w:tc>
          <w:tcPr>
            <w:tcW w:w="140" w:type="dxa"/>
            <w:vAlign w:val="bottom"/>
            <w:tcBorders>
              <w:right w:val="single" w:sz="8" w:color="auto"/>
            </w:tcBorders>
            <w:shd w:val="clear" w:color="auto" w:fill="33CCCC"/>
          </w:tcPr>
          <w:p>
            <w:pPr>
              <w:spacing w:after="0"/>
              <w:rPr>
                <w:sz w:val="12"/>
                <w:szCs w:val="12"/>
                <w:color w:val="auto"/>
              </w:rPr>
            </w:pPr>
          </w:p>
        </w:tc>
        <w:tc>
          <w:tcPr>
            <w:tcW w:w="1040" w:type="dxa"/>
            <w:vAlign w:val="bottom"/>
            <w:shd w:val="clear" w:color="auto" w:fill="33CCCC"/>
          </w:tcPr>
          <w:p>
            <w:pPr>
              <w:spacing w:after="0"/>
              <w:rPr>
                <w:sz w:val="12"/>
                <w:szCs w:val="12"/>
                <w:color w:val="auto"/>
              </w:rPr>
            </w:pPr>
          </w:p>
        </w:tc>
        <w:tc>
          <w:tcPr>
            <w:tcW w:w="1680" w:type="dxa"/>
            <w:vAlign w:val="bottom"/>
            <w:shd w:val="clear" w:color="auto" w:fill="33CCCC"/>
          </w:tcPr>
          <w:p>
            <w:pPr>
              <w:jc w:val="center"/>
              <w:ind w:left="159"/>
              <w:spacing w:after="0"/>
              <w:rPr>
                <w:sz w:val="20"/>
                <w:szCs w:val="20"/>
                <w:color w:val="auto"/>
              </w:rPr>
            </w:pPr>
            <w:r>
              <w:rPr>
                <w:rFonts w:ascii="Arial" w:cs="Arial" w:eastAsia="Arial" w:hAnsi="Arial"/>
                <w:sz w:val="12"/>
                <w:szCs w:val="12"/>
                <w:b w:val="1"/>
                <w:bCs w:val="1"/>
                <w:color w:val="FFFFFF"/>
                <w:w w:val="99"/>
              </w:rPr>
              <w:t>As of</w:t>
            </w:r>
          </w:p>
        </w:tc>
        <w:tc>
          <w:tcPr>
            <w:tcW w:w="1300" w:type="dxa"/>
            <w:vAlign w:val="bottom"/>
            <w:tcBorders>
              <w:right w:val="single" w:sz="8" w:color="auto"/>
            </w:tcBorders>
            <w:shd w:val="clear" w:color="auto" w:fill="33CCCC"/>
          </w:tcPr>
          <w:p>
            <w:pPr>
              <w:spacing w:after="0"/>
              <w:rPr>
                <w:sz w:val="12"/>
                <w:szCs w:val="12"/>
                <w:color w:val="auto"/>
              </w:rPr>
            </w:pPr>
          </w:p>
        </w:tc>
        <w:tc>
          <w:tcPr>
            <w:tcW w:w="300" w:type="dxa"/>
            <w:vAlign w:val="bottom"/>
            <w:shd w:val="clear" w:color="auto" w:fill="33CCCC"/>
          </w:tcPr>
          <w:p>
            <w:pPr>
              <w:spacing w:after="0"/>
              <w:rPr>
                <w:sz w:val="12"/>
                <w:szCs w:val="12"/>
                <w:color w:val="auto"/>
              </w:rPr>
            </w:pPr>
          </w:p>
        </w:tc>
        <w:tc>
          <w:tcPr>
            <w:tcW w:w="340" w:type="dxa"/>
            <w:vAlign w:val="bottom"/>
            <w:tcBorders>
              <w:right w:val="single" w:sz="8" w:color="33CCCC"/>
            </w:tcBorders>
            <w:shd w:val="clear" w:color="auto" w:fill="33CCCC"/>
          </w:tcPr>
          <w:p>
            <w:pPr>
              <w:spacing w:after="0"/>
              <w:rPr>
                <w:sz w:val="12"/>
                <w:szCs w:val="12"/>
                <w:color w:val="auto"/>
              </w:rPr>
            </w:pPr>
          </w:p>
        </w:tc>
        <w:tc>
          <w:tcPr>
            <w:tcW w:w="1080" w:type="dxa"/>
            <w:vAlign w:val="bottom"/>
            <w:shd w:val="clear" w:color="auto" w:fill="33CCCC"/>
          </w:tcPr>
          <w:p>
            <w:pPr>
              <w:ind w:left="420"/>
              <w:spacing w:after="0"/>
              <w:rPr>
                <w:sz w:val="20"/>
                <w:szCs w:val="20"/>
                <w:color w:val="auto"/>
              </w:rPr>
            </w:pPr>
            <w:r>
              <w:rPr>
                <w:rFonts w:ascii="Arial" w:cs="Arial" w:eastAsia="Arial" w:hAnsi="Arial"/>
                <w:sz w:val="12"/>
                <w:szCs w:val="12"/>
                <w:b w:val="1"/>
                <w:bCs w:val="1"/>
                <w:color w:val="FFFFFF"/>
              </w:rPr>
              <w:t>% Change</w:t>
            </w:r>
          </w:p>
        </w:tc>
        <w:tc>
          <w:tcPr>
            <w:tcW w:w="1000" w:type="dxa"/>
            <w:vAlign w:val="bottom"/>
            <w:tcBorders>
              <w:right w:val="single" w:sz="8" w:color="auto"/>
            </w:tcBorders>
            <w:shd w:val="clear" w:color="auto" w:fill="33CCCC"/>
          </w:tcPr>
          <w:p>
            <w:pPr>
              <w:spacing w:after="0"/>
              <w:rPr>
                <w:sz w:val="12"/>
                <w:szCs w:val="12"/>
                <w:color w:val="auto"/>
              </w:rPr>
            </w:pPr>
          </w:p>
        </w:tc>
      </w:tr>
      <w:tr>
        <w:trPr>
          <w:trHeight w:val="157"/>
        </w:trPr>
        <w:tc>
          <w:tcPr>
            <w:tcW w:w="3580" w:type="dxa"/>
            <w:vAlign w:val="bottom"/>
            <w:tcBorders>
              <w:left w:val="single" w:sz="8" w:color="auto"/>
              <w:bottom w:val="single" w:sz="8" w:color="auto"/>
              <w:right w:val="single" w:sz="8" w:color="33CCCC"/>
            </w:tcBorders>
            <w:shd w:val="clear" w:color="auto" w:fill="33CCCC"/>
          </w:tcPr>
          <w:p>
            <w:pPr>
              <w:ind w:left="20"/>
              <w:spacing w:after="0"/>
              <w:rPr>
                <w:sz w:val="20"/>
                <w:szCs w:val="20"/>
                <w:color w:val="auto"/>
              </w:rPr>
            </w:pPr>
            <w:r>
              <w:rPr>
                <w:rFonts w:ascii="Arial" w:cs="Arial" w:eastAsia="Arial" w:hAnsi="Arial"/>
                <w:sz w:val="12"/>
                <w:szCs w:val="12"/>
                <w:color w:val="FFFFFF"/>
              </w:rPr>
              <w:t>(S/ thousand)</w:t>
            </w:r>
          </w:p>
        </w:tc>
        <w:tc>
          <w:tcPr>
            <w:tcW w:w="140" w:type="dxa"/>
            <w:vAlign w:val="bottom"/>
            <w:tcBorders>
              <w:bottom w:val="single" w:sz="8" w:color="auto"/>
              <w:right w:val="single" w:sz="8" w:color="auto"/>
            </w:tcBorders>
            <w:shd w:val="clear" w:color="auto" w:fill="33CCCC"/>
          </w:tcPr>
          <w:p>
            <w:pPr>
              <w:spacing w:after="0"/>
              <w:rPr>
                <w:sz w:val="13"/>
                <w:szCs w:val="13"/>
                <w:color w:val="auto"/>
              </w:rPr>
            </w:pPr>
          </w:p>
        </w:tc>
        <w:tc>
          <w:tcPr>
            <w:tcW w:w="1040" w:type="dxa"/>
            <w:vAlign w:val="bottom"/>
            <w:tcBorders>
              <w:bottom w:val="single" w:sz="8" w:color="auto"/>
            </w:tcBorders>
            <w:shd w:val="clear" w:color="auto" w:fill="33CCCC"/>
          </w:tcPr>
          <w:p>
            <w:pPr>
              <w:ind w:left="460"/>
              <w:spacing w:after="0"/>
              <w:rPr>
                <w:sz w:val="20"/>
                <w:szCs w:val="20"/>
                <w:color w:val="auto"/>
              </w:rPr>
            </w:pPr>
            <w:r>
              <w:rPr>
                <w:rFonts w:ascii="Arial" w:cs="Arial" w:eastAsia="Arial" w:hAnsi="Arial"/>
                <w:sz w:val="12"/>
                <w:szCs w:val="12"/>
                <w:b w:val="1"/>
                <w:bCs w:val="1"/>
                <w:color w:val="FFFFFF"/>
              </w:rPr>
              <w:t>Sep 24</w:t>
            </w:r>
          </w:p>
        </w:tc>
        <w:tc>
          <w:tcPr>
            <w:tcW w:w="1680" w:type="dxa"/>
            <w:vAlign w:val="bottom"/>
            <w:tcBorders>
              <w:bottom w:val="single" w:sz="8" w:color="auto"/>
            </w:tcBorders>
            <w:shd w:val="clear" w:color="auto" w:fill="33CCCC"/>
          </w:tcPr>
          <w:p>
            <w:pPr>
              <w:jc w:val="center"/>
              <w:ind w:left="159"/>
              <w:spacing w:after="0"/>
              <w:rPr>
                <w:sz w:val="20"/>
                <w:szCs w:val="20"/>
                <w:color w:val="auto"/>
              </w:rPr>
            </w:pPr>
            <w:r>
              <w:rPr>
                <w:rFonts w:ascii="Arial" w:cs="Arial" w:eastAsia="Arial" w:hAnsi="Arial"/>
                <w:sz w:val="12"/>
                <w:szCs w:val="12"/>
                <w:b w:val="1"/>
                <w:bCs w:val="1"/>
                <w:color w:val="FFFFFF"/>
                <w:w w:val="99"/>
              </w:rPr>
              <w:t>Jun 25</w:t>
            </w:r>
          </w:p>
        </w:tc>
        <w:tc>
          <w:tcPr>
            <w:tcW w:w="1300" w:type="dxa"/>
            <w:vAlign w:val="bottom"/>
            <w:tcBorders>
              <w:bottom w:val="single" w:sz="8" w:color="auto"/>
              <w:right w:val="single" w:sz="8" w:color="auto"/>
            </w:tcBorders>
            <w:shd w:val="clear" w:color="auto" w:fill="33CCCC"/>
          </w:tcPr>
          <w:p>
            <w:pPr>
              <w:ind w:left="420"/>
              <w:spacing w:after="0"/>
              <w:rPr>
                <w:sz w:val="20"/>
                <w:szCs w:val="20"/>
                <w:color w:val="auto"/>
              </w:rPr>
            </w:pPr>
            <w:r>
              <w:rPr>
                <w:rFonts w:ascii="Arial" w:cs="Arial" w:eastAsia="Arial" w:hAnsi="Arial"/>
                <w:sz w:val="12"/>
                <w:szCs w:val="12"/>
                <w:b w:val="1"/>
                <w:bCs w:val="1"/>
                <w:color w:val="FFFFFF"/>
              </w:rPr>
              <w:t>Sep 25</w:t>
            </w:r>
          </w:p>
        </w:tc>
        <w:tc>
          <w:tcPr>
            <w:tcW w:w="300" w:type="dxa"/>
            <w:vAlign w:val="bottom"/>
            <w:tcBorders>
              <w:bottom w:val="single" w:sz="8" w:color="auto"/>
            </w:tcBorders>
            <w:shd w:val="clear" w:color="auto" w:fill="33CCCC"/>
          </w:tcPr>
          <w:p>
            <w:pPr>
              <w:spacing w:after="0"/>
              <w:rPr>
                <w:sz w:val="13"/>
                <w:szCs w:val="13"/>
                <w:color w:val="auto"/>
              </w:rPr>
            </w:pPr>
          </w:p>
        </w:tc>
        <w:tc>
          <w:tcPr>
            <w:tcW w:w="1420" w:type="dxa"/>
            <w:vAlign w:val="bottom"/>
            <w:tcBorders>
              <w:bottom w:val="single" w:sz="8" w:color="auto"/>
            </w:tcBorders>
            <w:gridSpan w:val="2"/>
            <w:shd w:val="clear" w:color="auto" w:fill="33CCCC"/>
          </w:tcPr>
          <w:p>
            <w:pPr>
              <w:jc w:val="center"/>
              <w:ind w:right="620"/>
              <w:spacing w:after="0"/>
              <w:rPr>
                <w:sz w:val="20"/>
                <w:szCs w:val="20"/>
                <w:color w:val="auto"/>
              </w:rPr>
            </w:pPr>
            <w:r>
              <w:rPr>
                <w:rFonts w:ascii="Arial" w:cs="Arial" w:eastAsia="Arial" w:hAnsi="Arial"/>
                <w:sz w:val="12"/>
                <w:szCs w:val="12"/>
                <w:b w:val="1"/>
                <w:bCs w:val="1"/>
                <w:color w:val="FFFFFF"/>
                <w:w w:val="99"/>
              </w:rPr>
              <w:t>QoQ</w:t>
            </w:r>
          </w:p>
        </w:tc>
        <w:tc>
          <w:tcPr>
            <w:tcW w:w="1000" w:type="dxa"/>
            <w:vAlign w:val="bottom"/>
            <w:tcBorders>
              <w:bottom w:val="single" w:sz="8" w:color="auto"/>
              <w:right w:val="single" w:sz="8" w:color="auto"/>
            </w:tcBorders>
            <w:shd w:val="clear" w:color="auto" w:fill="33CCCC"/>
          </w:tcPr>
          <w:p>
            <w:pPr>
              <w:jc w:val="center"/>
              <w:ind w:right="320"/>
              <w:spacing w:after="0"/>
              <w:rPr>
                <w:sz w:val="20"/>
                <w:szCs w:val="20"/>
                <w:color w:val="auto"/>
              </w:rPr>
            </w:pPr>
            <w:r>
              <w:rPr>
                <w:rFonts w:ascii="Arial" w:cs="Arial" w:eastAsia="Arial" w:hAnsi="Arial"/>
                <w:sz w:val="12"/>
                <w:szCs w:val="12"/>
                <w:b w:val="1"/>
                <w:bCs w:val="1"/>
                <w:color w:val="FFFFFF"/>
                <w:w w:val="94"/>
              </w:rPr>
              <w:t>YoY</w:t>
            </w:r>
          </w:p>
        </w:tc>
      </w:tr>
      <w:tr>
        <w:trPr>
          <w:trHeight w:val="147"/>
        </w:trPr>
        <w:tc>
          <w:tcPr>
            <w:tcW w:w="3580" w:type="dxa"/>
            <w:vAlign w:val="bottom"/>
            <w:tcBorders>
              <w:left w:val="single" w:sz="8" w:color="auto"/>
            </w:tcBorders>
          </w:tcPr>
          <w:p>
            <w:pPr>
              <w:ind w:left="160"/>
              <w:spacing w:after="0"/>
              <w:rPr>
                <w:sz w:val="20"/>
                <w:szCs w:val="20"/>
                <w:color w:val="auto"/>
              </w:rPr>
            </w:pPr>
            <w:r>
              <w:rPr>
                <w:rFonts w:ascii="Arial" w:cs="Arial" w:eastAsia="Arial" w:hAnsi="Arial"/>
                <w:sz w:val="12"/>
                <w:szCs w:val="12"/>
                <w:color w:val="auto"/>
              </w:rPr>
              <w:t>Capital and reserves</w:t>
            </w:r>
          </w:p>
        </w:tc>
        <w:tc>
          <w:tcPr>
            <w:tcW w:w="140" w:type="dxa"/>
            <w:vAlign w:val="bottom"/>
            <w:tcBorders>
              <w:right w:val="single" w:sz="8" w:color="auto"/>
            </w:tcBorders>
          </w:tcPr>
          <w:p>
            <w:pPr>
              <w:spacing w:after="0"/>
              <w:rPr>
                <w:sz w:val="12"/>
                <w:szCs w:val="12"/>
                <w:color w:val="auto"/>
              </w:rPr>
            </w:pPr>
          </w:p>
        </w:tc>
        <w:tc>
          <w:tcPr>
            <w:tcW w:w="1040" w:type="dxa"/>
            <w:vAlign w:val="bottom"/>
          </w:tcPr>
          <w:p>
            <w:pPr>
              <w:jc w:val="center"/>
              <w:ind w:left="200"/>
              <w:spacing w:after="0"/>
              <w:rPr>
                <w:sz w:val="20"/>
                <w:szCs w:val="20"/>
                <w:color w:val="auto"/>
              </w:rPr>
            </w:pPr>
            <w:r>
              <w:rPr>
                <w:rFonts w:ascii="Arial" w:cs="Arial" w:eastAsia="Arial" w:hAnsi="Arial"/>
                <w:sz w:val="12"/>
                <w:szCs w:val="12"/>
                <w:color w:val="auto"/>
              </w:rPr>
              <w:t>2,703,385</w:t>
            </w:r>
          </w:p>
        </w:tc>
        <w:tc>
          <w:tcPr>
            <w:tcW w:w="1680" w:type="dxa"/>
            <w:vAlign w:val="bottom"/>
          </w:tcPr>
          <w:p>
            <w:pPr>
              <w:jc w:val="center"/>
              <w:ind w:left="159"/>
              <w:spacing w:after="0"/>
              <w:rPr>
                <w:sz w:val="20"/>
                <w:szCs w:val="20"/>
                <w:color w:val="auto"/>
              </w:rPr>
            </w:pPr>
            <w:r>
              <w:rPr>
                <w:rFonts w:ascii="Arial" w:cs="Arial" w:eastAsia="Arial" w:hAnsi="Arial"/>
                <w:sz w:val="12"/>
                <w:szCs w:val="12"/>
                <w:color w:val="auto"/>
              </w:rPr>
              <w:t>2,734,582</w:t>
            </w:r>
          </w:p>
        </w:tc>
        <w:tc>
          <w:tcPr>
            <w:tcW w:w="130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color w:val="auto"/>
              </w:rPr>
              <w:t>2,734,582</w:t>
            </w:r>
          </w:p>
        </w:tc>
        <w:tc>
          <w:tcPr>
            <w:tcW w:w="300" w:type="dxa"/>
            <w:vAlign w:val="bottom"/>
          </w:tcPr>
          <w:p>
            <w:pPr>
              <w:spacing w:after="0"/>
              <w:rPr>
                <w:sz w:val="12"/>
                <w:szCs w:val="12"/>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2"/>
                <w:szCs w:val="12"/>
                <w:color w:val="auto"/>
                <w:w w:val="94"/>
              </w:rPr>
              <w:t>0.0%</w:t>
            </w:r>
          </w:p>
        </w:tc>
        <w:tc>
          <w:tcPr>
            <w:tcW w:w="1000" w:type="dxa"/>
            <w:vAlign w:val="bottom"/>
            <w:tcBorders>
              <w:right w:val="single" w:sz="8" w:color="auto"/>
            </w:tcBorders>
          </w:tcPr>
          <w:p>
            <w:pPr>
              <w:jc w:val="center"/>
              <w:ind w:right="320"/>
              <w:spacing w:after="0"/>
              <w:rPr>
                <w:sz w:val="20"/>
                <w:szCs w:val="20"/>
                <w:color w:val="auto"/>
              </w:rPr>
            </w:pPr>
            <w:r>
              <w:rPr>
                <w:rFonts w:ascii="Arial" w:cs="Arial" w:eastAsia="Arial" w:hAnsi="Arial"/>
                <w:sz w:val="12"/>
                <w:szCs w:val="12"/>
                <w:color w:val="auto"/>
                <w:w w:val="94"/>
              </w:rPr>
              <w:t>1.2%</w:t>
            </w:r>
          </w:p>
        </w:tc>
      </w:tr>
      <w:tr>
        <w:trPr>
          <w:trHeight w:val="156"/>
        </w:trPr>
        <w:tc>
          <w:tcPr>
            <w:tcW w:w="3580" w:type="dxa"/>
            <w:vAlign w:val="bottom"/>
            <w:tcBorders>
              <w:left w:val="single" w:sz="8" w:color="auto"/>
            </w:tcBorders>
          </w:tcPr>
          <w:p>
            <w:pPr>
              <w:ind w:left="160"/>
              <w:spacing w:after="0"/>
              <w:rPr>
                <w:sz w:val="20"/>
                <w:szCs w:val="20"/>
                <w:color w:val="auto"/>
              </w:rPr>
            </w:pPr>
            <w:r>
              <w:rPr>
                <w:rFonts w:ascii="Arial" w:cs="Arial" w:eastAsia="Arial" w:hAnsi="Arial"/>
                <w:sz w:val="12"/>
                <w:szCs w:val="12"/>
                <w:color w:val="auto"/>
              </w:rPr>
              <w:t>Retained earnings</w:t>
            </w:r>
          </w:p>
        </w:tc>
        <w:tc>
          <w:tcPr>
            <w:tcW w:w="140" w:type="dxa"/>
            <w:vAlign w:val="bottom"/>
            <w:tcBorders>
              <w:right w:val="single" w:sz="8" w:color="auto"/>
            </w:tcBorders>
          </w:tcPr>
          <w:p>
            <w:pPr>
              <w:spacing w:after="0"/>
              <w:rPr>
                <w:sz w:val="13"/>
                <w:szCs w:val="13"/>
                <w:color w:val="auto"/>
              </w:rPr>
            </w:pPr>
          </w:p>
        </w:tc>
        <w:tc>
          <w:tcPr>
            <w:tcW w:w="1040" w:type="dxa"/>
            <w:vAlign w:val="bottom"/>
          </w:tcPr>
          <w:p>
            <w:pPr>
              <w:jc w:val="center"/>
              <w:ind w:left="180"/>
              <w:spacing w:after="0"/>
              <w:rPr>
                <w:sz w:val="20"/>
                <w:szCs w:val="20"/>
                <w:color w:val="auto"/>
              </w:rPr>
            </w:pPr>
            <w:r>
              <w:rPr>
                <w:rFonts w:ascii="Arial" w:cs="Arial" w:eastAsia="Arial" w:hAnsi="Arial"/>
                <w:sz w:val="12"/>
                <w:szCs w:val="12"/>
                <w:color w:val="auto"/>
                <w:w w:val="97"/>
              </w:rPr>
              <w:t>36,907</w:t>
            </w:r>
          </w:p>
        </w:tc>
        <w:tc>
          <w:tcPr>
            <w:tcW w:w="1680" w:type="dxa"/>
            <w:vAlign w:val="bottom"/>
          </w:tcPr>
          <w:p>
            <w:pPr>
              <w:jc w:val="center"/>
              <w:ind w:left="139"/>
              <w:spacing w:after="0"/>
              <w:rPr>
                <w:sz w:val="20"/>
                <w:szCs w:val="20"/>
                <w:color w:val="auto"/>
              </w:rPr>
            </w:pPr>
            <w:r>
              <w:rPr>
                <w:rFonts w:ascii="Arial" w:cs="Arial" w:eastAsia="Arial" w:hAnsi="Arial"/>
                <w:sz w:val="12"/>
                <w:szCs w:val="12"/>
                <w:color w:val="auto"/>
              </w:rPr>
              <w:t>(202,552)</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(80,674)</w:t>
            </w:r>
          </w:p>
        </w:tc>
        <w:tc>
          <w:tcPr>
            <w:tcW w:w="300" w:type="dxa"/>
            <w:vAlign w:val="bottom"/>
          </w:tcPr>
          <w:p>
            <w:pPr>
              <w:spacing w:after="0"/>
              <w:rPr>
                <w:sz w:val="13"/>
                <w:szCs w:val="13"/>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2"/>
                <w:szCs w:val="12"/>
                <w:color w:val="auto"/>
                <w:w w:val="99"/>
              </w:rPr>
              <w:t>-60.2%</w:t>
            </w:r>
          </w:p>
        </w:tc>
        <w:tc>
          <w:tcPr>
            <w:tcW w:w="1000" w:type="dxa"/>
            <w:vAlign w:val="bottom"/>
            <w:tcBorders>
              <w:right w:val="single" w:sz="8" w:color="auto"/>
            </w:tcBorders>
          </w:tcPr>
          <w:p>
            <w:pPr>
              <w:jc w:val="center"/>
              <w:ind w:right="320"/>
              <w:spacing w:after="0"/>
              <w:rPr>
                <w:sz w:val="20"/>
                <w:szCs w:val="20"/>
                <w:color w:val="auto"/>
              </w:rPr>
            </w:pPr>
            <w:r>
              <w:rPr>
                <w:rFonts w:ascii="Arial" w:cs="Arial" w:eastAsia="Arial" w:hAnsi="Arial"/>
                <w:sz w:val="12"/>
                <w:szCs w:val="12"/>
                <w:color w:val="auto"/>
              </w:rPr>
              <w:t>-318.6%</w:t>
            </w:r>
          </w:p>
        </w:tc>
      </w:tr>
      <w:tr>
        <w:trPr>
          <w:trHeight w:val="156"/>
        </w:trPr>
        <w:tc>
          <w:tcPr>
            <w:tcW w:w="3580" w:type="dxa"/>
            <w:vAlign w:val="bottom"/>
            <w:tcBorders>
              <w:left w:val="single" w:sz="8" w:color="auto"/>
            </w:tcBorders>
          </w:tcPr>
          <w:p>
            <w:pPr>
              <w:ind w:left="160"/>
              <w:spacing w:after="0"/>
              <w:rPr>
                <w:sz w:val="20"/>
                <w:szCs w:val="20"/>
                <w:color w:val="auto"/>
              </w:rPr>
            </w:pPr>
            <w:r>
              <w:rPr>
                <w:rFonts w:ascii="Arial" w:cs="Arial" w:eastAsia="Arial" w:hAnsi="Arial"/>
                <w:sz w:val="12"/>
                <w:szCs w:val="12"/>
                <w:color w:val="auto"/>
              </w:rPr>
              <w:t>Unrealized gains (losses)</w:t>
            </w:r>
          </w:p>
        </w:tc>
        <w:tc>
          <w:tcPr>
            <w:tcW w:w="140" w:type="dxa"/>
            <w:vAlign w:val="bottom"/>
            <w:tcBorders>
              <w:right w:val="single" w:sz="8" w:color="auto"/>
            </w:tcBorders>
          </w:tcPr>
          <w:p>
            <w:pPr>
              <w:spacing w:after="0"/>
              <w:rPr>
                <w:sz w:val="13"/>
                <w:szCs w:val="13"/>
                <w:color w:val="auto"/>
              </w:rPr>
            </w:pPr>
          </w:p>
        </w:tc>
        <w:tc>
          <w:tcPr>
            <w:tcW w:w="1040" w:type="dxa"/>
            <w:vAlign w:val="bottom"/>
          </w:tcPr>
          <w:p>
            <w:pPr>
              <w:jc w:val="center"/>
              <w:ind w:left="200"/>
              <w:spacing w:after="0"/>
              <w:rPr>
                <w:sz w:val="20"/>
                <w:szCs w:val="20"/>
                <w:color w:val="auto"/>
              </w:rPr>
            </w:pPr>
            <w:r>
              <w:rPr>
                <w:rFonts w:ascii="Arial" w:cs="Arial" w:eastAsia="Arial" w:hAnsi="Arial"/>
                <w:sz w:val="12"/>
                <w:szCs w:val="12"/>
                <w:color w:val="auto"/>
                <w:w w:val="99"/>
              </w:rPr>
              <w:t>3,081</w:t>
            </w:r>
          </w:p>
        </w:tc>
        <w:tc>
          <w:tcPr>
            <w:tcW w:w="1680" w:type="dxa"/>
            <w:vAlign w:val="bottom"/>
          </w:tcPr>
          <w:p>
            <w:pPr>
              <w:jc w:val="center"/>
              <w:ind w:left="159"/>
              <w:spacing w:after="0"/>
              <w:rPr>
                <w:sz w:val="20"/>
                <w:szCs w:val="20"/>
                <w:color w:val="auto"/>
              </w:rPr>
            </w:pPr>
            <w:r>
              <w:rPr>
                <w:rFonts w:ascii="Arial" w:cs="Arial" w:eastAsia="Arial" w:hAnsi="Arial"/>
                <w:sz w:val="12"/>
                <w:szCs w:val="12"/>
                <w:color w:val="auto"/>
                <w:w w:val="99"/>
              </w:rPr>
              <w:t>2,712</w:t>
            </w:r>
          </w:p>
        </w:tc>
        <w:tc>
          <w:tcPr>
            <w:tcW w:w="130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color w:val="auto"/>
                <w:w w:val="99"/>
              </w:rPr>
              <w:t>7,100</w:t>
            </w:r>
          </w:p>
        </w:tc>
        <w:tc>
          <w:tcPr>
            <w:tcW w:w="300" w:type="dxa"/>
            <w:vAlign w:val="bottom"/>
          </w:tcPr>
          <w:p>
            <w:pPr>
              <w:spacing w:after="0"/>
              <w:rPr>
                <w:sz w:val="13"/>
                <w:szCs w:val="13"/>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2"/>
                <w:szCs w:val="12"/>
                <w:color w:val="auto"/>
                <w:w w:val="98"/>
              </w:rPr>
              <w:t>161.8%</w:t>
            </w:r>
          </w:p>
        </w:tc>
        <w:tc>
          <w:tcPr>
            <w:tcW w:w="1000" w:type="dxa"/>
            <w:vAlign w:val="bottom"/>
            <w:tcBorders>
              <w:right w:val="single" w:sz="8" w:color="auto"/>
            </w:tcBorders>
          </w:tcPr>
          <w:p>
            <w:pPr>
              <w:jc w:val="center"/>
              <w:ind w:right="320"/>
              <w:spacing w:after="0"/>
              <w:rPr>
                <w:sz w:val="20"/>
                <w:szCs w:val="20"/>
                <w:color w:val="auto"/>
              </w:rPr>
            </w:pPr>
            <w:r>
              <w:rPr>
                <w:rFonts w:ascii="Arial" w:cs="Arial" w:eastAsia="Arial" w:hAnsi="Arial"/>
                <w:sz w:val="12"/>
                <w:szCs w:val="12"/>
                <w:color w:val="auto"/>
              </w:rPr>
              <w:t>130.4%</w:t>
            </w:r>
          </w:p>
        </w:tc>
      </w:tr>
      <w:tr>
        <w:trPr>
          <w:trHeight w:val="156"/>
        </w:trPr>
        <w:tc>
          <w:tcPr>
            <w:tcW w:w="3580" w:type="dxa"/>
            <w:vAlign w:val="bottom"/>
            <w:tcBorders>
              <w:left w:val="single" w:sz="8" w:color="auto"/>
            </w:tcBorders>
          </w:tcPr>
          <w:p>
            <w:pPr>
              <w:ind w:left="160"/>
              <w:spacing w:after="0"/>
              <w:rPr>
                <w:sz w:val="20"/>
                <w:szCs w:val="20"/>
                <w:color w:val="auto"/>
              </w:rPr>
            </w:pPr>
            <w:r>
              <w:rPr>
                <w:rFonts w:ascii="Arial" w:cs="Arial" w:eastAsia="Arial" w:hAnsi="Arial"/>
                <w:sz w:val="12"/>
                <w:szCs w:val="12"/>
                <w:color w:val="auto"/>
              </w:rPr>
              <w:t>Goodwill and intangibles</w:t>
            </w:r>
          </w:p>
        </w:tc>
        <w:tc>
          <w:tcPr>
            <w:tcW w:w="140" w:type="dxa"/>
            <w:vAlign w:val="bottom"/>
            <w:tcBorders>
              <w:right w:val="single" w:sz="8" w:color="auto"/>
            </w:tcBorders>
          </w:tcPr>
          <w:p>
            <w:pPr>
              <w:spacing w:after="0"/>
              <w:rPr>
                <w:sz w:val="13"/>
                <w:szCs w:val="13"/>
                <w:color w:val="auto"/>
              </w:rPr>
            </w:pPr>
          </w:p>
        </w:tc>
        <w:tc>
          <w:tcPr>
            <w:tcW w:w="1040" w:type="dxa"/>
            <w:vAlign w:val="bottom"/>
          </w:tcPr>
          <w:p>
            <w:pPr>
              <w:jc w:val="center"/>
              <w:ind w:left="200"/>
              <w:spacing w:after="0"/>
              <w:rPr>
                <w:sz w:val="20"/>
                <w:szCs w:val="20"/>
                <w:color w:val="auto"/>
              </w:rPr>
            </w:pPr>
            <w:r>
              <w:rPr>
                <w:rFonts w:ascii="Arial" w:cs="Arial" w:eastAsia="Arial" w:hAnsi="Arial"/>
                <w:sz w:val="12"/>
                <w:szCs w:val="12"/>
                <w:color w:val="auto"/>
                <w:w w:val="97"/>
              </w:rPr>
              <w:t>(303,850)</w:t>
            </w:r>
          </w:p>
        </w:tc>
        <w:tc>
          <w:tcPr>
            <w:tcW w:w="1680" w:type="dxa"/>
            <w:vAlign w:val="bottom"/>
          </w:tcPr>
          <w:p>
            <w:pPr>
              <w:jc w:val="center"/>
              <w:ind w:left="139"/>
              <w:spacing w:after="0"/>
              <w:rPr>
                <w:sz w:val="20"/>
                <w:szCs w:val="20"/>
                <w:color w:val="auto"/>
              </w:rPr>
            </w:pPr>
            <w:r>
              <w:rPr>
                <w:rFonts w:ascii="Arial" w:cs="Arial" w:eastAsia="Arial" w:hAnsi="Arial"/>
                <w:sz w:val="12"/>
                <w:szCs w:val="12"/>
                <w:color w:val="auto"/>
              </w:rPr>
              <w:t>(296,719)</w:t>
            </w:r>
          </w:p>
        </w:tc>
        <w:tc>
          <w:tcPr>
            <w:tcW w:w="1300" w:type="dxa"/>
            <w:vAlign w:val="bottom"/>
            <w:tcBorders>
              <w:right w:val="single" w:sz="8" w:color="auto"/>
            </w:tcBorders>
          </w:tcPr>
          <w:p>
            <w:pPr>
              <w:jc w:val="center"/>
              <w:ind w:right="20"/>
              <w:spacing w:after="0"/>
              <w:rPr>
                <w:sz w:val="20"/>
                <w:szCs w:val="20"/>
                <w:color w:val="auto"/>
              </w:rPr>
            </w:pPr>
            <w:r>
              <w:rPr>
                <w:rFonts w:ascii="Arial" w:cs="Arial" w:eastAsia="Arial" w:hAnsi="Arial"/>
                <w:sz w:val="12"/>
                <w:szCs w:val="12"/>
                <w:color w:val="auto"/>
                <w:w w:val="97"/>
              </w:rPr>
              <w:t>(296,196)</w:t>
            </w:r>
          </w:p>
        </w:tc>
        <w:tc>
          <w:tcPr>
            <w:tcW w:w="300" w:type="dxa"/>
            <w:vAlign w:val="bottom"/>
          </w:tcPr>
          <w:p>
            <w:pPr>
              <w:spacing w:after="0"/>
              <w:rPr>
                <w:sz w:val="13"/>
                <w:szCs w:val="13"/>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2"/>
                <w:szCs w:val="12"/>
                <w:color w:val="auto"/>
              </w:rPr>
              <w:t>-0.2%</w:t>
            </w:r>
          </w:p>
        </w:tc>
        <w:tc>
          <w:tcPr>
            <w:tcW w:w="1000" w:type="dxa"/>
            <w:vAlign w:val="bottom"/>
            <w:tcBorders>
              <w:right w:val="single" w:sz="8" w:color="auto"/>
            </w:tcBorders>
          </w:tcPr>
          <w:p>
            <w:pPr>
              <w:jc w:val="center"/>
              <w:ind w:right="320"/>
              <w:spacing w:after="0"/>
              <w:rPr>
                <w:sz w:val="20"/>
                <w:szCs w:val="20"/>
                <w:color w:val="auto"/>
              </w:rPr>
            </w:pPr>
            <w:r>
              <w:rPr>
                <w:rFonts w:ascii="Arial" w:cs="Arial" w:eastAsia="Arial" w:hAnsi="Arial"/>
                <w:sz w:val="12"/>
                <w:szCs w:val="12"/>
                <w:color w:val="auto"/>
                <w:w w:val="95"/>
              </w:rPr>
              <w:t>-2.5%</w:t>
            </w:r>
          </w:p>
        </w:tc>
      </w:tr>
      <w:tr>
        <w:trPr>
          <w:trHeight w:val="157"/>
        </w:trPr>
        <w:tc>
          <w:tcPr>
            <w:tcW w:w="35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2"/>
                <w:szCs w:val="12"/>
                <w:color w:val="auto"/>
              </w:rPr>
              <w:t>Investments in subsidiaries</w:t>
            </w:r>
          </w:p>
        </w:tc>
        <w:tc>
          <w:tcPr>
            <w:tcW w:w="1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center"/>
              <w:ind w:left="220"/>
              <w:spacing w:after="0"/>
              <w:rPr>
                <w:sz w:val="20"/>
                <w:szCs w:val="20"/>
                <w:color w:val="auto"/>
              </w:rPr>
            </w:pPr>
            <w:r>
              <w:rPr>
                <w:rFonts w:ascii="Arial" w:cs="Arial" w:eastAsia="Arial" w:hAnsi="Arial"/>
                <w:sz w:val="12"/>
                <w:szCs w:val="12"/>
                <w:color w:val="auto"/>
                <w:w w:val="99"/>
              </w:rPr>
              <w:t>(296)</w:t>
            </w:r>
          </w:p>
        </w:tc>
        <w:tc>
          <w:tcPr>
            <w:tcW w:w="1680" w:type="dxa"/>
            <w:vAlign w:val="bottom"/>
            <w:tcBorders>
              <w:bottom w:val="single" w:sz="8" w:color="auto"/>
            </w:tcBorders>
          </w:tcPr>
          <w:p>
            <w:pPr>
              <w:jc w:val="center"/>
              <w:ind w:left="139"/>
              <w:spacing w:after="0"/>
              <w:rPr>
                <w:sz w:val="20"/>
                <w:szCs w:val="20"/>
                <w:color w:val="auto"/>
              </w:rPr>
            </w:pPr>
            <w:r>
              <w:rPr>
                <w:rFonts w:ascii="Arial" w:cs="Arial" w:eastAsia="Arial" w:hAnsi="Arial"/>
                <w:sz w:val="12"/>
                <w:szCs w:val="12"/>
                <w:color w:val="auto"/>
                <w:w w:val="99"/>
              </w:rPr>
              <w:t>(152)</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(171)</w:t>
            </w: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2"/>
                <w:szCs w:val="12"/>
                <w:color w:val="auto"/>
                <w:w w:val="99"/>
              </w:rPr>
              <w:t>12.2%</w:t>
            </w:r>
          </w:p>
        </w:tc>
        <w:tc>
          <w:tcPr>
            <w:tcW w:w="100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2"/>
                <w:szCs w:val="12"/>
                <w:color w:val="auto"/>
                <w:w w:val="99"/>
              </w:rPr>
              <w:t>-42.4%</w:t>
            </w:r>
          </w:p>
        </w:tc>
      </w:tr>
      <w:tr>
        <w:trPr>
          <w:trHeight w:val="148"/>
        </w:trPr>
        <w:tc>
          <w:tcPr>
            <w:tcW w:w="35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tcBorders>
          </w:tcPr>
          <w:p>
            <w:pPr>
              <w:jc w:val="center"/>
              <w:ind w:left="200"/>
              <w:spacing w:after="0"/>
              <w:rPr>
                <w:sz w:val="20"/>
                <w:szCs w:val="20"/>
                <w:color w:val="auto"/>
              </w:rPr>
            </w:pPr>
            <w:r>
              <w:rPr>
                <w:rFonts w:ascii="Arial" w:cs="Arial" w:eastAsia="Arial" w:hAnsi="Arial"/>
                <w:sz w:val="12"/>
                <w:szCs w:val="12"/>
                <w:b w:val="1"/>
                <w:bCs w:val="1"/>
                <w:color w:val="auto"/>
              </w:rPr>
              <w:t>2,439,227</w:t>
            </w:r>
          </w:p>
        </w:tc>
        <w:tc>
          <w:tcPr>
            <w:tcW w:w="1680" w:type="dxa"/>
            <w:vAlign w:val="bottom"/>
            <w:tcBorders>
              <w:bottom w:val="single" w:sz="8" w:color="auto"/>
            </w:tcBorders>
          </w:tcPr>
          <w:p>
            <w:pPr>
              <w:jc w:val="center"/>
              <w:ind w:left="159"/>
              <w:spacing w:after="0"/>
              <w:rPr>
                <w:sz w:val="20"/>
                <w:szCs w:val="20"/>
                <w:color w:val="auto"/>
              </w:rPr>
            </w:pPr>
            <w:r>
              <w:rPr>
                <w:rFonts w:ascii="Arial" w:cs="Arial" w:eastAsia="Arial" w:hAnsi="Arial"/>
                <w:sz w:val="12"/>
                <w:szCs w:val="12"/>
                <w:b w:val="1"/>
                <w:bCs w:val="1"/>
                <w:color w:val="auto"/>
              </w:rPr>
              <w:t>2,237,872</w:t>
            </w:r>
          </w:p>
        </w:tc>
        <w:tc>
          <w:tcPr>
            <w:tcW w:w="1300" w:type="dxa"/>
            <w:vAlign w:val="bottom"/>
            <w:tcBorders>
              <w:bottom w:val="single" w:sz="8" w:color="auto"/>
              <w:right w:val="single" w:sz="8" w:color="auto"/>
            </w:tcBorders>
          </w:tcPr>
          <w:p>
            <w:pPr>
              <w:jc w:val="center"/>
              <w:ind w:right="20"/>
              <w:spacing w:after="0"/>
              <w:rPr>
                <w:sz w:val="20"/>
                <w:szCs w:val="20"/>
                <w:color w:val="auto"/>
              </w:rPr>
            </w:pPr>
            <w:r>
              <w:rPr>
                <w:rFonts w:ascii="Arial" w:cs="Arial" w:eastAsia="Arial" w:hAnsi="Arial"/>
                <w:sz w:val="12"/>
                <w:szCs w:val="12"/>
                <w:b w:val="1"/>
                <w:bCs w:val="1"/>
                <w:color w:val="auto"/>
              </w:rPr>
              <w:t>2,364,642</w:t>
            </w:r>
          </w:p>
        </w:tc>
        <w:tc>
          <w:tcPr>
            <w:tcW w:w="3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2"/>
                <w:szCs w:val="12"/>
                <w:b w:val="1"/>
                <w:bCs w:val="1"/>
                <w:color w:val="auto"/>
                <w:w w:val="94"/>
              </w:rPr>
              <w:t>5.7%</w:t>
            </w:r>
          </w:p>
        </w:tc>
        <w:tc>
          <w:tcPr>
            <w:tcW w:w="100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2"/>
                <w:szCs w:val="12"/>
                <w:b w:val="1"/>
                <w:bCs w:val="1"/>
                <w:color w:val="auto"/>
                <w:w w:val="95"/>
              </w:rPr>
              <w:t>-3.1%</w:t>
            </w:r>
          </w:p>
        </w:tc>
      </w:tr>
      <w:tr>
        <w:trPr>
          <w:trHeight w:val="172"/>
        </w:trPr>
        <w:tc>
          <w:tcPr>
            <w:tcW w:w="3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8"/>
        </w:trPr>
        <w:tc>
          <w:tcPr>
            <w:tcW w:w="35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Adjusted RWAs IFRS</w:t>
            </w:r>
          </w:p>
        </w:tc>
        <w:tc>
          <w:tcPr>
            <w:tcW w:w="1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tcBorders>
          </w:tcPr>
          <w:p>
            <w:pPr>
              <w:jc w:val="center"/>
              <w:ind w:left="180"/>
              <w:spacing w:after="0"/>
              <w:rPr>
                <w:sz w:val="20"/>
                <w:szCs w:val="20"/>
                <w:color w:val="auto"/>
              </w:rPr>
            </w:pPr>
            <w:r>
              <w:rPr>
                <w:rFonts w:ascii="Arial" w:cs="Arial" w:eastAsia="Arial" w:hAnsi="Arial"/>
                <w:sz w:val="12"/>
                <w:szCs w:val="12"/>
                <w:b w:val="1"/>
                <w:bCs w:val="1"/>
                <w:color w:val="auto"/>
                <w:w w:val="99"/>
              </w:rPr>
              <w:t>13,291,063</w:t>
            </w:r>
          </w:p>
        </w:tc>
        <w:tc>
          <w:tcPr>
            <w:tcW w:w="1680" w:type="dxa"/>
            <w:vAlign w:val="bottom"/>
            <w:tcBorders>
              <w:bottom w:val="single" w:sz="8" w:color="auto"/>
            </w:tcBorders>
          </w:tcPr>
          <w:p>
            <w:pPr>
              <w:jc w:val="center"/>
              <w:ind w:left="139"/>
              <w:spacing w:after="0"/>
              <w:rPr>
                <w:sz w:val="20"/>
                <w:szCs w:val="20"/>
                <w:color w:val="auto"/>
              </w:rPr>
            </w:pPr>
            <w:r>
              <w:rPr>
                <w:rFonts w:ascii="Arial" w:cs="Arial" w:eastAsia="Arial" w:hAnsi="Arial"/>
                <w:sz w:val="12"/>
                <w:szCs w:val="12"/>
                <w:b w:val="1"/>
                <w:bCs w:val="1"/>
                <w:color w:val="auto"/>
                <w:w w:val="99"/>
              </w:rPr>
              <w:t>13,378,616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13,792,869</w:t>
            </w:r>
          </w:p>
        </w:tc>
        <w:tc>
          <w:tcPr>
            <w:tcW w:w="3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2"/>
                <w:szCs w:val="12"/>
                <w:b w:val="1"/>
                <w:bCs w:val="1"/>
                <w:color w:val="auto"/>
                <w:w w:val="94"/>
              </w:rPr>
              <w:t>3.1%</w:t>
            </w:r>
          </w:p>
        </w:tc>
        <w:tc>
          <w:tcPr>
            <w:tcW w:w="100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2"/>
                <w:szCs w:val="12"/>
                <w:b w:val="1"/>
                <w:bCs w:val="1"/>
                <w:color w:val="auto"/>
                <w:w w:val="94"/>
              </w:rPr>
              <w:t>3.8%</w:t>
            </w:r>
          </w:p>
        </w:tc>
      </w:tr>
      <w:tr>
        <w:trPr>
          <w:trHeight w:val="147"/>
        </w:trPr>
        <w:tc>
          <w:tcPr>
            <w:tcW w:w="3580" w:type="dxa"/>
            <w:vAlign w:val="bottom"/>
            <w:tcBorders>
              <w:left w:val="single" w:sz="8" w:color="auto"/>
            </w:tcBorders>
          </w:tcPr>
          <w:p>
            <w:pPr>
              <w:ind w:left="160"/>
              <w:spacing w:after="0"/>
              <w:rPr>
                <w:sz w:val="20"/>
                <w:szCs w:val="20"/>
                <w:color w:val="auto"/>
              </w:rPr>
            </w:pPr>
            <w:r>
              <w:rPr>
                <w:rFonts w:ascii="Arial" w:cs="Arial" w:eastAsia="Arial" w:hAnsi="Arial"/>
                <w:sz w:val="12"/>
                <w:szCs w:val="12"/>
                <w:color w:val="auto"/>
              </w:rPr>
              <w:t>Adjusted Credit RWAs IFRS</w:t>
            </w:r>
          </w:p>
        </w:tc>
        <w:tc>
          <w:tcPr>
            <w:tcW w:w="140" w:type="dxa"/>
            <w:vAlign w:val="bottom"/>
            <w:tcBorders>
              <w:right w:val="single" w:sz="8" w:color="auto"/>
            </w:tcBorders>
          </w:tcPr>
          <w:p>
            <w:pPr>
              <w:spacing w:after="0"/>
              <w:rPr>
                <w:sz w:val="12"/>
                <w:szCs w:val="12"/>
                <w:color w:val="auto"/>
              </w:rPr>
            </w:pPr>
          </w:p>
        </w:tc>
        <w:tc>
          <w:tcPr>
            <w:tcW w:w="1040" w:type="dxa"/>
            <w:vAlign w:val="bottom"/>
          </w:tcPr>
          <w:p>
            <w:pPr>
              <w:jc w:val="center"/>
              <w:ind w:left="180"/>
              <w:spacing w:after="0"/>
              <w:rPr>
                <w:sz w:val="20"/>
                <w:szCs w:val="20"/>
                <w:color w:val="auto"/>
              </w:rPr>
            </w:pPr>
            <w:r>
              <w:rPr>
                <w:rFonts w:ascii="Arial" w:cs="Arial" w:eastAsia="Arial" w:hAnsi="Arial"/>
                <w:sz w:val="12"/>
                <w:szCs w:val="12"/>
                <w:color w:val="auto"/>
                <w:w w:val="99"/>
              </w:rPr>
              <w:t>11,455,585</w:t>
            </w:r>
          </w:p>
        </w:tc>
        <w:tc>
          <w:tcPr>
            <w:tcW w:w="1680" w:type="dxa"/>
            <w:vAlign w:val="bottom"/>
          </w:tcPr>
          <w:p>
            <w:pPr>
              <w:jc w:val="center"/>
              <w:ind w:left="139"/>
              <w:spacing w:after="0"/>
              <w:rPr>
                <w:sz w:val="20"/>
                <w:szCs w:val="20"/>
                <w:color w:val="auto"/>
              </w:rPr>
            </w:pPr>
            <w:r>
              <w:rPr>
                <w:rFonts w:ascii="Arial" w:cs="Arial" w:eastAsia="Arial" w:hAnsi="Arial"/>
                <w:sz w:val="12"/>
                <w:szCs w:val="12"/>
                <w:color w:val="auto"/>
                <w:w w:val="99"/>
              </w:rPr>
              <w:t>12,264,985</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12,649,188</w:t>
            </w:r>
          </w:p>
        </w:tc>
        <w:tc>
          <w:tcPr>
            <w:tcW w:w="300" w:type="dxa"/>
            <w:vAlign w:val="bottom"/>
          </w:tcPr>
          <w:p>
            <w:pPr>
              <w:spacing w:after="0"/>
              <w:rPr>
                <w:sz w:val="12"/>
                <w:szCs w:val="12"/>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2"/>
                <w:szCs w:val="12"/>
                <w:color w:val="auto"/>
                <w:w w:val="94"/>
              </w:rPr>
              <w:t>3.1%</w:t>
            </w:r>
          </w:p>
        </w:tc>
        <w:tc>
          <w:tcPr>
            <w:tcW w:w="1000" w:type="dxa"/>
            <w:vAlign w:val="bottom"/>
            <w:tcBorders>
              <w:right w:val="single" w:sz="8" w:color="auto"/>
            </w:tcBorders>
          </w:tcPr>
          <w:p>
            <w:pPr>
              <w:jc w:val="center"/>
              <w:ind w:right="320"/>
              <w:spacing w:after="0"/>
              <w:rPr>
                <w:sz w:val="20"/>
                <w:szCs w:val="20"/>
                <w:color w:val="auto"/>
              </w:rPr>
            </w:pPr>
            <w:r>
              <w:rPr>
                <w:rFonts w:ascii="Arial" w:cs="Arial" w:eastAsia="Arial" w:hAnsi="Arial"/>
                <w:sz w:val="12"/>
                <w:szCs w:val="12"/>
                <w:color w:val="auto"/>
                <w:w w:val="99"/>
              </w:rPr>
              <w:t>10.4%</w:t>
            </w:r>
          </w:p>
        </w:tc>
      </w:tr>
      <w:tr>
        <w:trPr>
          <w:trHeight w:val="157"/>
        </w:trPr>
        <w:tc>
          <w:tcPr>
            <w:tcW w:w="35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2"/>
                <w:szCs w:val="12"/>
                <w:color w:val="auto"/>
              </w:rPr>
              <w:t>Others</w:t>
            </w:r>
          </w:p>
        </w:tc>
        <w:tc>
          <w:tcPr>
            <w:tcW w:w="1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center"/>
              <w:ind w:left="200"/>
              <w:spacing w:after="0"/>
              <w:rPr>
                <w:sz w:val="20"/>
                <w:szCs w:val="20"/>
                <w:color w:val="auto"/>
              </w:rPr>
            </w:pPr>
            <w:r>
              <w:rPr>
                <w:rFonts w:ascii="Arial" w:cs="Arial" w:eastAsia="Arial" w:hAnsi="Arial"/>
                <w:sz w:val="12"/>
                <w:szCs w:val="12"/>
                <w:color w:val="auto"/>
              </w:rPr>
              <w:t>1,835,478</w:t>
            </w:r>
          </w:p>
        </w:tc>
        <w:tc>
          <w:tcPr>
            <w:tcW w:w="1680" w:type="dxa"/>
            <w:vAlign w:val="bottom"/>
            <w:tcBorders>
              <w:bottom w:val="single" w:sz="8" w:color="auto"/>
            </w:tcBorders>
          </w:tcPr>
          <w:p>
            <w:pPr>
              <w:jc w:val="center"/>
              <w:ind w:left="159"/>
              <w:spacing w:after="0"/>
              <w:rPr>
                <w:sz w:val="20"/>
                <w:szCs w:val="20"/>
                <w:color w:val="auto"/>
              </w:rPr>
            </w:pPr>
            <w:r>
              <w:rPr>
                <w:rFonts w:ascii="Arial" w:cs="Arial" w:eastAsia="Arial" w:hAnsi="Arial"/>
                <w:sz w:val="12"/>
                <w:szCs w:val="12"/>
                <w:color w:val="auto"/>
              </w:rPr>
              <w:t>1,113,630</w:t>
            </w:r>
          </w:p>
        </w:tc>
        <w:tc>
          <w:tcPr>
            <w:tcW w:w="1300" w:type="dxa"/>
            <w:vAlign w:val="bottom"/>
            <w:tcBorders>
              <w:bottom w:val="single" w:sz="8" w:color="auto"/>
              <w:right w:val="single" w:sz="8" w:color="auto"/>
            </w:tcBorders>
          </w:tcPr>
          <w:p>
            <w:pPr>
              <w:jc w:val="center"/>
              <w:ind w:right="20"/>
              <w:spacing w:after="0"/>
              <w:rPr>
                <w:sz w:val="20"/>
                <w:szCs w:val="20"/>
                <w:color w:val="auto"/>
              </w:rPr>
            </w:pPr>
            <w:r>
              <w:rPr>
                <w:rFonts w:ascii="Arial" w:cs="Arial" w:eastAsia="Arial" w:hAnsi="Arial"/>
                <w:sz w:val="12"/>
                <w:szCs w:val="12"/>
                <w:color w:val="auto"/>
              </w:rPr>
              <w:t>1,143,680</w:t>
            </w: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2"/>
                <w:szCs w:val="12"/>
                <w:color w:val="auto"/>
                <w:w w:val="94"/>
              </w:rPr>
              <w:t>2.7%</w:t>
            </w:r>
          </w:p>
        </w:tc>
        <w:tc>
          <w:tcPr>
            <w:tcW w:w="100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2"/>
                <w:szCs w:val="12"/>
                <w:color w:val="auto"/>
                <w:w w:val="99"/>
              </w:rPr>
              <w:t>-37.7%</w:t>
            </w:r>
          </w:p>
        </w:tc>
      </w:tr>
      <w:tr>
        <w:trPr>
          <w:trHeight w:val="172"/>
        </w:trPr>
        <w:tc>
          <w:tcPr>
            <w:tcW w:w="3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CET1 ratio IFRS</w:t>
            </w:r>
          </w:p>
        </w:tc>
        <w:tc>
          <w:tcPr>
            <w:tcW w:w="1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tcBorders>
          </w:tcPr>
          <w:p>
            <w:pPr>
              <w:jc w:val="center"/>
              <w:ind w:left="200"/>
              <w:spacing w:after="0"/>
              <w:rPr>
                <w:sz w:val="20"/>
                <w:szCs w:val="20"/>
                <w:color w:val="auto"/>
              </w:rPr>
            </w:pPr>
            <w:r>
              <w:rPr>
                <w:rFonts w:ascii="Arial" w:cs="Arial" w:eastAsia="Arial" w:hAnsi="Arial"/>
                <w:sz w:val="12"/>
                <w:szCs w:val="12"/>
                <w:b w:val="1"/>
                <w:bCs w:val="1"/>
                <w:color w:val="auto"/>
              </w:rPr>
              <w:t>18.35%</w:t>
            </w:r>
          </w:p>
        </w:tc>
        <w:tc>
          <w:tcPr>
            <w:tcW w:w="1680" w:type="dxa"/>
            <w:vAlign w:val="bottom"/>
            <w:tcBorders>
              <w:bottom w:val="single" w:sz="8" w:color="auto"/>
            </w:tcBorders>
          </w:tcPr>
          <w:p>
            <w:pPr>
              <w:jc w:val="center"/>
              <w:ind w:left="139"/>
              <w:spacing w:after="0"/>
              <w:rPr>
                <w:sz w:val="20"/>
                <w:szCs w:val="20"/>
                <w:color w:val="auto"/>
              </w:rPr>
            </w:pPr>
            <w:r>
              <w:rPr>
                <w:rFonts w:ascii="Arial" w:cs="Arial" w:eastAsia="Arial" w:hAnsi="Arial"/>
                <w:sz w:val="12"/>
                <w:szCs w:val="12"/>
                <w:b w:val="1"/>
                <w:bCs w:val="1"/>
                <w:color w:val="auto"/>
                <w:w w:val="98"/>
              </w:rPr>
              <w:t>16.73%</w:t>
            </w:r>
          </w:p>
        </w:tc>
        <w:tc>
          <w:tcPr>
            <w:tcW w:w="1300" w:type="dxa"/>
            <w:vAlign w:val="bottom"/>
            <w:tcBorders>
              <w:bottom w:val="single" w:sz="8" w:color="auto"/>
              <w:right w:val="single" w:sz="8" w:color="auto"/>
            </w:tcBorders>
          </w:tcPr>
          <w:p>
            <w:pPr>
              <w:jc w:val="center"/>
              <w:ind w:right="20"/>
              <w:spacing w:after="0"/>
              <w:rPr>
                <w:sz w:val="20"/>
                <w:szCs w:val="20"/>
                <w:color w:val="auto"/>
              </w:rPr>
            </w:pPr>
            <w:r>
              <w:rPr>
                <w:rFonts w:ascii="Arial" w:cs="Arial" w:eastAsia="Arial" w:hAnsi="Arial"/>
                <w:sz w:val="12"/>
                <w:szCs w:val="12"/>
                <w:b w:val="1"/>
                <w:bCs w:val="1"/>
                <w:color w:val="auto"/>
              </w:rPr>
              <w:t>17.14%</w:t>
            </w:r>
          </w:p>
        </w:tc>
        <w:tc>
          <w:tcPr>
            <w:tcW w:w="3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2"/>
                <w:szCs w:val="12"/>
                <w:b w:val="1"/>
                <w:bCs w:val="1"/>
                <w:color w:val="auto"/>
                <w:w w:val="99"/>
              </w:rPr>
              <w:t>42 bps</w:t>
            </w:r>
          </w:p>
        </w:tc>
        <w:tc>
          <w:tcPr>
            <w:tcW w:w="100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2"/>
                <w:szCs w:val="12"/>
                <w:b w:val="1"/>
                <w:bCs w:val="1"/>
                <w:color w:val="auto"/>
              </w:rPr>
              <w:t>-121 bps</w:t>
            </w:r>
          </w:p>
        </w:tc>
      </w:tr>
      <w:tr>
        <w:trPr>
          <w:trHeight w:val="1232"/>
        </w:trPr>
        <w:tc>
          <w:tcPr>
            <w:tcW w:w="3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-685165</wp:posOffset>
            </wp:positionV>
            <wp:extent cx="6509385" cy="5791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509385" cy="579120"/>
                    </a:xfrm>
                    <a:prstGeom prst="rect">
                      <a:avLst/>
                    </a:prstGeom>
                    <a:noFill/>
                  </pic:spPr>
                </pic:pic>
              </a:graphicData>
            </a:graphic>
          </wp:anchor>
        </w:drawing>
      </w:r>
    </w:p>
    <w:p>
      <w:pPr>
        <w:sectPr>
          <w:pgSz w:w="11900" w:h="16840" w:orient="portrait"/>
          <w:cols w:equalWidth="0" w:num="1">
            <w:col w:w="10460"/>
          </w:cols>
          <w:pgMar w:left="660" w:top="931" w:right="780" w:bottom="1440" w:gutter="0" w:footer="0" w:header="0"/>
        </w:sectPr>
      </w:pPr>
    </w:p>
    <w:bookmarkStart w:id="59" w:name="page60"/>
    <w:bookmarkEnd w:id="59"/>
    <w:p>
      <w:pPr>
        <w:jc w:val="both"/>
        <w:ind w:left="2520"/>
        <w:spacing w:after="0"/>
        <w:tabs>
          <w:tab w:leader="none" w:pos="2760" w:val="left"/>
          <w:tab w:leader="none" w:pos="81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638925" cy="662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3892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638925" cy="2057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3892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12.7. Financial Statements and Ratios by Business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12.7.1. Credicorp Consolidated</w:t>
      </w:r>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(S/ Thousands, IFRS)</w:t>
      </w:r>
    </w:p>
    <w:p>
      <w:pPr>
        <w:spacing w:after="0" w:line="165" w:lineRule="exact"/>
        <w:rPr>
          <w:sz w:val="20"/>
          <w:szCs w:val="20"/>
          <w:color w:val="auto"/>
        </w:rPr>
      </w:pPr>
    </w:p>
    <w:tbl>
      <w:tblPr>
        <w:tblLayout w:type="fixed"/>
        <w:tblInd w:w="1070" w:type="dxa"/>
        <w:tblCellMar>
          <w:top w:w="0" w:type="dxa"/>
          <w:left w:w="0" w:type="dxa"/>
          <w:bottom w:w="0" w:type="dxa"/>
          <w:right w:w="0" w:type="dxa"/>
        </w:tblCellMar>
      </w:tblPr>
      <w:tr>
        <w:trPr>
          <w:trHeight w:val="131"/>
        </w:trPr>
        <w:tc>
          <w:tcPr>
            <w:tcW w:w="3680" w:type="dxa"/>
            <w:vAlign w:val="bottom"/>
            <w:tcBorders>
              <w:top w:val="single" w:sz="8" w:color="auto"/>
              <w:left w:val="single" w:sz="8" w:color="auto"/>
              <w:right w:val="single" w:sz="8" w:color="auto"/>
            </w:tcBorders>
            <w:shd w:val="clear" w:color="auto" w:fill="33CCCC"/>
          </w:tcPr>
          <w:p>
            <w:pPr>
              <w:spacing w:after="0"/>
              <w:rPr>
                <w:sz w:val="11"/>
                <w:szCs w:val="11"/>
                <w:color w:val="auto"/>
              </w:rPr>
            </w:pPr>
          </w:p>
        </w:tc>
        <w:tc>
          <w:tcPr>
            <w:tcW w:w="920" w:type="dxa"/>
            <w:vAlign w:val="bottom"/>
            <w:tcBorders>
              <w:top w:val="single" w:sz="8" w:color="auto"/>
            </w:tcBorders>
            <w:shd w:val="clear" w:color="auto" w:fill="33CCCC"/>
          </w:tcPr>
          <w:p>
            <w:pPr>
              <w:spacing w:after="0"/>
              <w:rPr>
                <w:sz w:val="11"/>
                <w:szCs w:val="11"/>
                <w:color w:val="auto"/>
              </w:rPr>
            </w:pPr>
          </w:p>
        </w:tc>
        <w:tc>
          <w:tcPr>
            <w:tcW w:w="92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5"/>
              </w:rPr>
              <w:t>As of</w:t>
            </w:r>
          </w:p>
        </w:tc>
        <w:tc>
          <w:tcPr>
            <w:tcW w:w="960" w:type="dxa"/>
            <w:vAlign w:val="bottom"/>
            <w:tcBorders>
              <w:top w:val="single" w:sz="8" w:color="auto"/>
              <w:right w:val="single" w:sz="8" w:color="auto"/>
            </w:tcBorders>
            <w:shd w:val="clear" w:color="auto" w:fill="33CCCC"/>
          </w:tcPr>
          <w:p>
            <w:pPr>
              <w:spacing w:after="0"/>
              <w:rPr>
                <w:sz w:val="11"/>
                <w:szCs w:val="11"/>
                <w:color w:val="auto"/>
              </w:rPr>
            </w:pPr>
          </w:p>
        </w:tc>
        <w:tc>
          <w:tcPr>
            <w:tcW w:w="680" w:type="dxa"/>
            <w:vAlign w:val="bottom"/>
            <w:tcBorders>
              <w:top w:val="single" w:sz="8" w:color="auto"/>
            </w:tcBorders>
            <w:shd w:val="clear" w:color="auto" w:fill="33CCCC"/>
          </w:tcPr>
          <w:p>
            <w:pPr>
              <w:spacing w:after="0"/>
              <w:rPr>
                <w:sz w:val="11"/>
                <w:szCs w:val="11"/>
                <w:color w:val="auto"/>
              </w:rPr>
            </w:pPr>
          </w:p>
        </w:tc>
        <w:tc>
          <w:tcPr>
            <w:tcW w:w="1200" w:type="dxa"/>
            <w:vAlign w:val="bottom"/>
            <w:tcBorders>
              <w:top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0"/>
                <w:szCs w:val="10"/>
                <w:b w:val="1"/>
                <w:bCs w:val="1"/>
                <w:color w:val="FFFFFF"/>
              </w:rPr>
              <w:t>% change</w:t>
            </w:r>
          </w:p>
        </w:tc>
      </w:tr>
      <w:tr>
        <w:trPr>
          <w:trHeight w:val="121"/>
        </w:trPr>
        <w:tc>
          <w:tcPr>
            <w:tcW w:w="3680" w:type="dxa"/>
            <w:vAlign w:val="bottom"/>
            <w:tcBorders>
              <w:left w:val="single" w:sz="8" w:color="auto"/>
              <w:bottom w:val="single" w:sz="8" w:color="auto"/>
              <w:right w:val="single" w:sz="8" w:color="auto"/>
            </w:tcBorders>
            <w:shd w:val="clear" w:color="auto" w:fill="33CCCC"/>
          </w:tcPr>
          <w:p>
            <w:pPr>
              <w:spacing w:after="0"/>
              <w:rPr>
                <w:sz w:val="10"/>
                <w:szCs w:val="10"/>
                <w:color w:val="auto"/>
              </w:rPr>
            </w:pPr>
          </w:p>
        </w:tc>
        <w:tc>
          <w:tcPr>
            <w:tcW w:w="92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10"/>
                <w:szCs w:val="10"/>
                <w:b w:val="1"/>
                <w:bCs w:val="1"/>
                <w:color w:val="FFFFFF"/>
              </w:rPr>
              <w:t>Sep 24</w:t>
            </w: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4"/>
              </w:rPr>
              <w:t>Jun 25</w:t>
            </w:r>
          </w:p>
        </w:tc>
        <w:tc>
          <w:tcPr>
            <w:tcW w:w="960" w:type="dxa"/>
            <w:vAlign w:val="bottom"/>
            <w:tcBorders>
              <w:bottom w:val="single" w:sz="8" w:color="auto"/>
              <w:right w:val="single" w:sz="8" w:color="auto"/>
            </w:tcBorders>
            <w:shd w:val="clear" w:color="auto" w:fill="33CCCC"/>
          </w:tcPr>
          <w:p>
            <w:pPr>
              <w:ind w:left="320"/>
              <w:spacing w:after="0"/>
              <w:rPr>
                <w:sz w:val="20"/>
                <w:szCs w:val="20"/>
                <w:color w:val="auto"/>
              </w:rPr>
            </w:pPr>
            <w:r>
              <w:rPr>
                <w:rFonts w:ascii="Arial" w:cs="Arial" w:eastAsia="Arial" w:hAnsi="Arial"/>
                <w:sz w:val="10"/>
                <w:szCs w:val="10"/>
                <w:b w:val="1"/>
                <w:bCs w:val="1"/>
                <w:color w:val="FFFFFF"/>
              </w:rPr>
              <w:t>Sep 25</w:t>
            </w:r>
          </w:p>
        </w:tc>
        <w:tc>
          <w:tcPr>
            <w:tcW w:w="680" w:type="dxa"/>
            <w:vAlign w:val="bottom"/>
            <w:tcBorders>
              <w:bottom w:val="single" w:sz="8" w:color="auto"/>
            </w:tcBorders>
            <w:shd w:val="clear" w:color="auto" w:fill="33CCCC"/>
          </w:tcPr>
          <w:p>
            <w:pPr>
              <w:ind w:left="360"/>
              <w:spacing w:after="0"/>
              <w:rPr>
                <w:sz w:val="20"/>
                <w:szCs w:val="20"/>
                <w:color w:val="auto"/>
              </w:rPr>
            </w:pPr>
            <w:r>
              <w:rPr>
                <w:rFonts w:ascii="Arial" w:cs="Arial" w:eastAsia="Arial" w:hAnsi="Arial"/>
                <w:sz w:val="10"/>
                <w:szCs w:val="10"/>
                <w:b w:val="1"/>
                <w:bCs w:val="1"/>
                <w:color w:val="FFFFFF"/>
              </w:rPr>
              <w:t>QoQ</w:t>
            </w:r>
          </w:p>
        </w:tc>
        <w:tc>
          <w:tcPr>
            <w:tcW w:w="1200" w:type="dxa"/>
            <w:vAlign w:val="bottom"/>
            <w:tcBorders>
              <w:bottom w:val="single" w:sz="8" w:color="auto"/>
              <w:right w:val="single" w:sz="8" w:color="auto"/>
            </w:tcBorders>
            <w:shd w:val="clear" w:color="auto" w:fill="33CCCC"/>
          </w:tcPr>
          <w:p>
            <w:pPr>
              <w:ind w:left="600"/>
              <w:spacing w:after="0"/>
              <w:rPr>
                <w:sz w:val="20"/>
                <w:szCs w:val="20"/>
                <w:color w:val="auto"/>
              </w:rPr>
            </w:pPr>
            <w:r>
              <w:rPr>
                <w:rFonts w:ascii="Arial" w:cs="Arial" w:eastAsia="Arial" w:hAnsi="Arial"/>
                <w:sz w:val="10"/>
                <w:szCs w:val="10"/>
                <w:b w:val="1"/>
                <w:bCs w:val="1"/>
                <w:color w:val="FFFFFF"/>
              </w:rPr>
              <w:t>YoY</w:t>
            </w:r>
          </w:p>
        </w:tc>
      </w:tr>
      <w:tr>
        <w:trPr>
          <w:trHeight w:val="111"/>
        </w:trPr>
        <w:tc>
          <w:tcPr>
            <w:tcW w:w="3680" w:type="dxa"/>
            <w:vAlign w:val="bottom"/>
            <w:tcBorders>
              <w:left w:val="single" w:sz="8" w:color="auto"/>
              <w:right w:val="single" w:sz="8" w:color="auto"/>
            </w:tcBorders>
          </w:tcPr>
          <w:p>
            <w:pPr>
              <w:spacing w:after="0" w:line="111" w:lineRule="exact"/>
              <w:rPr>
                <w:sz w:val="20"/>
                <w:szCs w:val="20"/>
                <w:color w:val="auto"/>
              </w:rPr>
            </w:pPr>
            <w:r>
              <w:rPr>
                <w:rFonts w:ascii="Arial" w:cs="Arial" w:eastAsia="Arial" w:hAnsi="Arial"/>
                <w:sz w:val="10"/>
                <w:szCs w:val="10"/>
                <w:b w:val="1"/>
                <w:bCs w:val="1"/>
                <w:color w:val="auto"/>
              </w:rPr>
              <w:t>ASSETS</w:t>
            </w: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r>
      <w:tr>
        <w:trPr>
          <w:trHeight w:val="122"/>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Cash and due from banks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r>
      <w:tr>
        <w:trPr>
          <w:trHeight w:val="120"/>
        </w:trPr>
        <w:tc>
          <w:tcPr>
            <w:tcW w:w="3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Non-interest bearing</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7,222,945</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7,266,155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7,237,295</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9"/>
              </w:rPr>
              <w:t>-0.4%</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color w:val="auto"/>
                <w:w w:val="96"/>
              </w:rPr>
              <w:t>0.2%</w:t>
            </w:r>
          </w:p>
        </w:tc>
      </w:tr>
      <w:tr>
        <w:trPr>
          <w:trHeight w:val="118"/>
        </w:trPr>
        <w:tc>
          <w:tcPr>
            <w:tcW w:w="3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Interest bearing</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37,007,966</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34,206,000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35,862,184</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4.8%</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1"/>
              </w:rPr>
              <w:t>-3.1%</w:t>
            </w:r>
          </w:p>
        </w:tc>
      </w:tr>
      <w:tr>
        <w:trPr>
          <w:trHeight w:val="133"/>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Total cash and due from banks</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5"/>
              </w:rPr>
              <w:t>44,230,911</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5"/>
              </w:rPr>
              <w:t>41,472,155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43,099,479</w:t>
            </w:r>
          </w:p>
        </w:tc>
        <w:tc>
          <w:tcPr>
            <w:tcW w:w="680" w:type="dxa"/>
            <w:vAlign w:val="bottom"/>
          </w:tcPr>
          <w:p>
            <w:pPr>
              <w:jc w:val="center"/>
              <w:ind w:left="172"/>
              <w:spacing w:after="0"/>
              <w:rPr>
                <w:sz w:val="20"/>
                <w:szCs w:val="20"/>
                <w:color w:val="auto"/>
              </w:rPr>
            </w:pPr>
            <w:r>
              <w:rPr>
                <w:rFonts w:ascii="Arial" w:cs="Arial" w:eastAsia="Arial" w:hAnsi="Arial"/>
                <w:sz w:val="10"/>
                <w:szCs w:val="10"/>
                <w:b w:val="1"/>
                <w:bCs w:val="1"/>
                <w:color w:val="auto"/>
                <w:w w:val="96"/>
              </w:rPr>
              <w:t>3.9%</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b w:val="1"/>
                <w:bCs w:val="1"/>
                <w:color w:val="auto"/>
                <w:w w:val="91"/>
              </w:rPr>
              <w:t>-2.6%</w:t>
            </w:r>
          </w:p>
        </w:tc>
      </w:tr>
      <w:tr>
        <w:trPr>
          <w:trHeight w:val="229"/>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Cash collateral, reverse repurchase agreements and securities borrowing</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1,419,305</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4,593,501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3,404,639</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4"/>
              </w:rPr>
              <w:t>-25.9%</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4"/>
              </w:rPr>
              <w:t>139.9%</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Fair value through profit or loss investments</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4,642,905</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4,819,230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4,356,311</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9"/>
              </w:rPr>
              <w:t>-9.6%</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1"/>
              </w:rPr>
              <w:t>-6.2%</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Fair value through other comprehensive income investments</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39,832,274</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37,852,722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38,005,522</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0.4%</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1"/>
              </w:rPr>
              <w:t>-4.6%</w:t>
            </w:r>
          </w:p>
        </w:tc>
      </w:tr>
      <w:tr>
        <w:trPr>
          <w:trHeight w:val="125"/>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Amortized cost investments</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8,853,694</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8,931,495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8,824,746</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9"/>
              </w:rPr>
              <w:t>-1.2%</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1"/>
              </w:rPr>
              <w:t>-0.3%</w:t>
            </w:r>
          </w:p>
        </w:tc>
      </w:tr>
      <w:tr>
        <w:trPr>
          <w:trHeight w:val="235"/>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Loans</w:t>
            </w:r>
          </w:p>
        </w:tc>
        <w:tc>
          <w:tcPr>
            <w:tcW w:w="920" w:type="dxa"/>
            <w:vAlign w:val="bottom"/>
          </w:tcPr>
          <w:p>
            <w:pPr>
              <w:jc w:val="center"/>
              <w:spacing w:after="0"/>
              <w:rPr>
                <w:sz w:val="20"/>
                <w:szCs w:val="20"/>
                <w:color w:val="auto"/>
              </w:rPr>
            </w:pPr>
            <w:r>
              <w:rPr>
                <w:rFonts w:ascii="Arial" w:cs="Arial" w:eastAsia="Arial" w:hAnsi="Arial"/>
                <w:sz w:val="10"/>
                <w:szCs w:val="10"/>
                <w:color w:val="auto"/>
                <w:w w:val="97"/>
              </w:rPr>
              <w:t>142,568,785</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140,961,978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144,752,254</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2.7%</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color w:val="auto"/>
                <w:w w:val="96"/>
              </w:rPr>
              <w:t>1.5%</w:t>
            </w:r>
          </w:p>
        </w:tc>
      </w:tr>
      <w:tr>
        <w:trPr>
          <w:trHeight w:val="120"/>
        </w:trPr>
        <w:tc>
          <w:tcPr>
            <w:tcW w:w="3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Current</w:t>
            </w:r>
          </w:p>
        </w:tc>
        <w:tc>
          <w:tcPr>
            <w:tcW w:w="920" w:type="dxa"/>
            <w:vAlign w:val="bottom"/>
          </w:tcPr>
          <w:p>
            <w:pPr>
              <w:jc w:val="center"/>
              <w:spacing w:after="0"/>
              <w:rPr>
                <w:sz w:val="20"/>
                <w:szCs w:val="20"/>
                <w:color w:val="auto"/>
              </w:rPr>
            </w:pPr>
            <w:r>
              <w:rPr>
                <w:rFonts w:ascii="Arial" w:cs="Arial" w:eastAsia="Arial" w:hAnsi="Arial"/>
                <w:sz w:val="10"/>
                <w:szCs w:val="10"/>
                <w:color w:val="auto"/>
                <w:w w:val="97"/>
              </w:rPr>
              <w:t>136,542,444</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135,917,766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139,798,951</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2.9%</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color w:val="auto"/>
                <w:w w:val="96"/>
              </w:rPr>
              <w:t>2.4%</w:t>
            </w:r>
          </w:p>
        </w:tc>
      </w:tr>
      <w:tr>
        <w:trPr>
          <w:trHeight w:val="120"/>
        </w:trPr>
        <w:tc>
          <w:tcPr>
            <w:tcW w:w="3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Internal overdue loans</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6,026,341</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5,044,212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4,953,303</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9"/>
              </w:rPr>
              <w:t>-1.8%</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rPr>
              <w:t>-17.8%</w:t>
            </w:r>
          </w:p>
        </w:tc>
      </w:tr>
      <w:tr>
        <w:trPr>
          <w:trHeight w:val="120"/>
        </w:trPr>
        <w:tc>
          <w:tcPr>
            <w:tcW w:w="3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Less - allowance for loan losses</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(8,250,023)</w:t>
            </w:r>
          </w:p>
        </w:tc>
        <w:tc>
          <w:tcPr>
            <w:tcW w:w="920" w:type="dxa"/>
            <w:vAlign w:val="bottom"/>
          </w:tcPr>
          <w:p>
            <w:pPr>
              <w:jc w:val="center"/>
              <w:spacing w:after="0"/>
              <w:rPr>
                <w:sz w:val="20"/>
                <w:szCs w:val="20"/>
                <w:color w:val="auto"/>
              </w:rPr>
            </w:pPr>
            <w:r>
              <w:rPr>
                <w:rFonts w:ascii="Arial" w:cs="Arial" w:eastAsia="Arial" w:hAnsi="Arial"/>
                <w:sz w:val="10"/>
                <w:szCs w:val="10"/>
                <w:color w:val="auto"/>
                <w:w w:val="97"/>
              </w:rPr>
              <w:t>(7,658,595)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(7,674,040)</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0.2%</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1"/>
              </w:rPr>
              <w:t>-7.0%</w:t>
            </w:r>
          </w:p>
        </w:tc>
      </w:tr>
      <w:tr>
        <w:trPr>
          <w:trHeight w:val="125"/>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Loans, net</w:t>
            </w:r>
          </w:p>
        </w:tc>
        <w:tc>
          <w:tcPr>
            <w:tcW w:w="920" w:type="dxa"/>
            <w:vAlign w:val="bottom"/>
          </w:tcPr>
          <w:p>
            <w:pPr>
              <w:jc w:val="center"/>
              <w:spacing w:after="0"/>
              <w:rPr>
                <w:sz w:val="20"/>
                <w:szCs w:val="20"/>
                <w:color w:val="auto"/>
              </w:rPr>
            </w:pPr>
            <w:r>
              <w:rPr>
                <w:rFonts w:ascii="Arial" w:cs="Arial" w:eastAsia="Arial" w:hAnsi="Arial"/>
                <w:sz w:val="10"/>
                <w:szCs w:val="10"/>
                <w:color w:val="auto"/>
                <w:w w:val="97"/>
              </w:rPr>
              <w:t>134,318,762</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133,303,383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137,078,214</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2.8%</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color w:val="auto"/>
                <w:w w:val="96"/>
              </w:rPr>
              <w:t>2.1%</w:t>
            </w:r>
          </w:p>
        </w:tc>
      </w:tr>
      <w:tr>
        <w:trPr>
          <w:trHeight w:val="235"/>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Financial assets designated at fair value through profit or loss</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900,107</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904,621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956,885</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5.8%</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color w:val="auto"/>
                <w:w w:val="96"/>
              </w:rPr>
              <w:t>6.3%</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Property, plant and equipment, net</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1,836,732</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2,646,168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2,725,302</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3.0%</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8"/>
              </w:rPr>
              <w:t>48.4%</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Due from customers on acceptances</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466,957</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559,370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553,561</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9"/>
              </w:rPr>
              <w:t>-1.0%</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8"/>
              </w:rPr>
              <w:t>18.5%</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Investments in associates</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729,770</w:t>
            </w:r>
          </w:p>
        </w:tc>
        <w:tc>
          <w:tcPr>
            <w:tcW w:w="920" w:type="dxa"/>
            <w:vAlign w:val="bottom"/>
          </w:tcPr>
          <w:p>
            <w:pPr>
              <w:jc w:val="center"/>
              <w:spacing w:after="0"/>
              <w:rPr>
                <w:sz w:val="20"/>
                <w:szCs w:val="20"/>
                <w:color w:val="auto"/>
              </w:rPr>
            </w:pPr>
            <w:r>
              <w:rPr>
                <w:rFonts w:ascii="Arial" w:cs="Arial" w:eastAsia="Arial" w:hAnsi="Arial"/>
                <w:sz w:val="10"/>
                <w:szCs w:val="10"/>
                <w:color w:val="auto"/>
                <w:w w:val="91"/>
              </w:rPr>
              <w:t>43,199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52,388</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1"/>
              </w:rPr>
              <w:t>21.3%</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rPr>
              <w:t>-92.8%</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Intangible assets and goodwill, net</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3,167,296</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4,444,424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4,596,373</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3.4%</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8"/>
              </w:rPr>
              <w:t>45.1%</w:t>
            </w:r>
          </w:p>
        </w:tc>
      </w:tr>
      <w:tr>
        <w:trPr>
          <w:trHeight w:val="107"/>
        </w:trPr>
        <w:tc>
          <w:tcPr>
            <w:tcW w:w="3680" w:type="dxa"/>
            <w:vAlign w:val="bottom"/>
            <w:tcBorders>
              <w:left w:val="single" w:sz="8" w:color="auto"/>
              <w:right w:val="single" w:sz="8" w:color="auto"/>
            </w:tcBorders>
          </w:tcPr>
          <w:p>
            <w:pPr>
              <w:spacing w:after="0" w:line="107" w:lineRule="exact"/>
              <w:rPr>
                <w:sz w:val="20"/>
                <w:szCs w:val="20"/>
                <w:color w:val="auto"/>
              </w:rPr>
            </w:pPr>
            <w:r>
              <w:rPr>
                <w:rFonts w:ascii="Arial" w:cs="Arial" w:eastAsia="Arial" w:hAnsi="Arial"/>
                <w:sz w:val="10"/>
                <w:szCs w:val="10"/>
                <w:color w:val="auto"/>
              </w:rPr>
              <w:t>Reinsurance contract assets</w:t>
            </w:r>
          </w:p>
        </w:tc>
        <w:tc>
          <w:tcPr>
            <w:tcW w:w="920" w:type="dxa"/>
            <w:vAlign w:val="bottom"/>
          </w:tcPr>
          <w:p>
            <w:pPr>
              <w:jc w:val="center"/>
              <w:spacing w:after="0" w:line="107" w:lineRule="exact"/>
              <w:rPr>
                <w:sz w:val="20"/>
                <w:szCs w:val="20"/>
                <w:color w:val="auto"/>
              </w:rPr>
            </w:pPr>
            <w:r>
              <w:rPr>
                <w:rFonts w:ascii="Arial" w:cs="Arial" w:eastAsia="Arial" w:hAnsi="Arial"/>
                <w:sz w:val="10"/>
                <w:szCs w:val="10"/>
                <w:color w:val="auto"/>
                <w:w w:val="93"/>
              </w:rPr>
              <w:t>880,563</w:t>
            </w:r>
          </w:p>
        </w:tc>
        <w:tc>
          <w:tcPr>
            <w:tcW w:w="920" w:type="dxa"/>
            <w:vAlign w:val="bottom"/>
          </w:tcPr>
          <w:p>
            <w:pPr>
              <w:jc w:val="center"/>
              <w:spacing w:after="0" w:line="107" w:lineRule="exact"/>
              <w:rPr>
                <w:sz w:val="20"/>
                <w:szCs w:val="20"/>
                <w:color w:val="auto"/>
              </w:rPr>
            </w:pPr>
            <w:r>
              <w:rPr>
                <w:rFonts w:ascii="Arial" w:cs="Arial" w:eastAsia="Arial" w:hAnsi="Arial"/>
                <w:sz w:val="10"/>
                <w:szCs w:val="10"/>
                <w:color w:val="auto"/>
                <w:w w:val="93"/>
              </w:rPr>
              <w:t>949,932</w:t>
            </w:r>
          </w:p>
        </w:tc>
        <w:tc>
          <w:tcPr>
            <w:tcW w:w="9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0"/>
                <w:szCs w:val="10"/>
                <w:color w:val="auto"/>
                <w:w w:val="93"/>
              </w:rPr>
              <w:t>853,974</w:t>
            </w:r>
          </w:p>
        </w:tc>
        <w:tc>
          <w:tcPr>
            <w:tcW w:w="680" w:type="dxa"/>
            <w:vAlign w:val="bottom"/>
          </w:tcPr>
          <w:p>
            <w:pPr>
              <w:jc w:val="center"/>
              <w:ind w:left="172"/>
              <w:spacing w:after="0" w:line="107" w:lineRule="exact"/>
              <w:rPr>
                <w:sz w:val="20"/>
                <w:szCs w:val="20"/>
                <w:color w:val="auto"/>
              </w:rPr>
            </w:pPr>
            <w:r>
              <w:rPr>
                <w:rFonts w:ascii="Arial" w:cs="Arial" w:eastAsia="Arial" w:hAnsi="Arial"/>
                <w:sz w:val="10"/>
                <w:szCs w:val="10"/>
                <w:color w:val="auto"/>
                <w:w w:val="94"/>
              </w:rPr>
              <w:t>-10.1%</w:t>
            </w:r>
          </w:p>
        </w:tc>
        <w:tc>
          <w:tcPr>
            <w:tcW w:w="1200" w:type="dxa"/>
            <w:vAlign w:val="bottom"/>
            <w:tcBorders>
              <w:right w:val="single" w:sz="8" w:color="auto"/>
            </w:tcBorders>
          </w:tcPr>
          <w:p>
            <w:pPr>
              <w:jc w:val="center"/>
              <w:ind w:left="152"/>
              <w:spacing w:after="0" w:line="107" w:lineRule="exact"/>
              <w:rPr>
                <w:sz w:val="20"/>
                <w:szCs w:val="20"/>
                <w:color w:val="auto"/>
              </w:rPr>
            </w:pPr>
            <w:r>
              <w:rPr>
                <w:rFonts w:ascii="Arial" w:cs="Arial" w:eastAsia="Arial" w:hAnsi="Arial"/>
                <w:sz w:val="10"/>
                <w:szCs w:val="10"/>
                <w:color w:val="auto"/>
                <w:w w:val="91"/>
              </w:rPr>
              <w:t>-3.0%</w:t>
            </w:r>
          </w:p>
        </w:tc>
      </w:tr>
      <w:tr>
        <w:trPr>
          <w:trHeight w:val="224"/>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 xml:space="preserve">Other assets </w:t>
            </w:r>
            <w:r>
              <w:rPr>
                <w:rFonts w:ascii="Arial" w:cs="Arial" w:eastAsia="Arial" w:hAnsi="Arial"/>
                <w:sz w:val="16"/>
                <w:szCs w:val="16"/>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8,480,514</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8,425,175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10,793,207</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1"/>
              </w:rPr>
              <w:t>28.1%</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8"/>
              </w:rPr>
              <w:t>27.3%</w:t>
            </w:r>
          </w:p>
        </w:tc>
      </w:tr>
      <w:tr>
        <w:trPr>
          <w:trHeight w:val="160"/>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Total Assets</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7"/>
              </w:rPr>
              <w:t>249,759,790</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3"/>
              </w:rPr>
              <w:t>248,945,375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255,300,601</w:t>
            </w:r>
          </w:p>
        </w:tc>
        <w:tc>
          <w:tcPr>
            <w:tcW w:w="680" w:type="dxa"/>
            <w:vAlign w:val="bottom"/>
          </w:tcPr>
          <w:p>
            <w:pPr>
              <w:jc w:val="center"/>
              <w:ind w:left="172"/>
              <w:spacing w:after="0"/>
              <w:rPr>
                <w:sz w:val="20"/>
                <w:szCs w:val="20"/>
                <w:color w:val="auto"/>
              </w:rPr>
            </w:pPr>
            <w:r>
              <w:rPr>
                <w:rFonts w:ascii="Arial" w:cs="Arial" w:eastAsia="Arial" w:hAnsi="Arial"/>
                <w:sz w:val="10"/>
                <w:szCs w:val="10"/>
                <w:b w:val="1"/>
                <w:bCs w:val="1"/>
                <w:color w:val="auto"/>
                <w:w w:val="96"/>
              </w:rPr>
              <w:t>2.6%</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b w:val="1"/>
                <w:bCs w:val="1"/>
                <w:color w:val="auto"/>
                <w:w w:val="96"/>
              </w:rPr>
              <w:t>2.2%</w:t>
            </w:r>
          </w:p>
        </w:tc>
      </w:tr>
      <w:tr>
        <w:trPr>
          <w:trHeight w:val="227"/>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LIABILITIES AND EQUITY</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122"/>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Deposits and obligations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r>
      <w:tr>
        <w:trPr>
          <w:trHeight w:val="120"/>
        </w:trPr>
        <w:tc>
          <w:tcPr>
            <w:tcW w:w="3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Non-interest bearing</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47,436,563</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45,734,508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46,588,002</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1.9%</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1"/>
              </w:rPr>
              <w:t>-1.8%</w:t>
            </w:r>
          </w:p>
        </w:tc>
      </w:tr>
      <w:tr>
        <w:trPr>
          <w:trHeight w:val="120"/>
        </w:trPr>
        <w:tc>
          <w:tcPr>
            <w:tcW w:w="3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Interest bearing</w:t>
            </w:r>
          </w:p>
        </w:tc>
        <w:tc>
          <w:tcPr>
            <w:tcW w:w="920" w:type="dxa"/>
            <w:vAlign w:val="bottom"/>
          </w:tcPr>
          <w:p>
            <w:pPr>
              <w:jc w:val="center"/>
              <w:spacing w:after="0"/>
              <w:rPr>
                <w:sz w:val="20"/>
                <w:szCs w:val="20"/>
                <w:color w:val="auto"/>
              </w:rPr>
            </w:pPr>
            <w:r>
              <w:rPr>
                <w:rFonts w:ascii="Arial" w:cs="Arial" w:eastAsia="Arial" w:hAnsi="Arial"/>
                <w:sz w:val="10"/>
                <w:szCs w:val="10"/>
                <w:color w:val="auto"/>
                <w:w w:val="97"/>
              </w:rPr>
              <w:t>106,998,888</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108,988,826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111,842,453</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2.6%</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color w:val="auto"/>
                <w:w w:val="96"/>
              </w:rPr>
              <w:t>4.5%</w:t>
            </w:r>
          </w:p>
        </w:tc>
      </w:tr>
      <w:tr>
        <w:trPr>
          <w:trHeight w:val="125"/>
        </w:trPr>
        <w:tc>
          <w:tcPr>
            <w:tcW w:w="3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Total deposits and obligations</w:t>
            </w:r>
          </w:p>
        </w:tc>
        <w:tc>
          <w:tcPr>
            <w:tcW w:w="920" w:type="dxa"/>
            <w:vAlign w:val="bottom"/>
          </w:tcPr>
          <w:p>
            <w:pPr>
              <w:jc w:val="center"/>
              <w:spacing w:after="0"/>
              <w:rPr>
                <w:sz w:val="20"/>
                <w:szCs w:val="20"/>
                <w:color w:val="auto"/>
              </w:rPr>
            </w:pPr>
            <w:r>
              <w:rPr>
                <w:rFonts w:ascii="Arial" w:cs="Arial" w:eastAsia="Arial" w:hAnsi="Arial"/>
                <w:sz w:val="10"/>
                <w:szCs w:val="10"/>
                <w:color w:val="auto"/>
                <w:w w:val="97"/>
              </w:rPr>
              <w:t>154,435,451</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154,723,334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158,430,455</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2.4%</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color w:val="auto"/>
                <w:w w:val="96"/>
              </w:rPr>
              <w:t>2.6%</w:t>
            </w:r>
          </w:p>
        </w:tc>
      </w:tr>
      <w:tr>
        <w:trPr>
          <w:trHeight w:val="235"/>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Payables from repurchase agreements and securities lending</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7,383,104</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11,265,393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10,181,173</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9"/>
              </w:rPr>
              <w:t>-9.6%</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8"/>
              </w:rPr>
              <w:t>37.9%</w:t>
            </w:r>
          </w:p>
        </w:tc>
      </w:tr>
      <w:tr>
        <w:trPr>
          <w:trHeight w:val="120"/>
        </w:trPr>
        <w:tc>
          <w:tcPr>
            <w:tcW w:w="3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BCRP instruments</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4,788,939</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5,096,459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6,643,892</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1"/>
              </w:rPr>
              <w:t>30.4%</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8"/>
              </w:rPr>
              <w:t>38.7%</w:t>
            </w:r>
          </w:p>
        </w:tc>
      </w:tr>
      <w:tr>
        <w:trPr>
          <w:trHeight w:val="120"/>
        </w:trPr>
        <w:tc>
          <w:tcPr>
            <w:tcW w:w="3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Repurchase agreements with third parties</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2,517,833</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5,974,353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3,401,635</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4"/>
              </w:rPr>
              <w:t>-43.1%</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8"/>
              </w:rPr>
              <w:t>35.1%</w:t>
            </w:r>
          </w:p>
        </w:tc>
      </w:tr>
      <w:tr>
        <w:trPr>
          <w:trHeight w:val="125"/>
        </w:trPr>
        <w:tc>
          <w:tcPr>
            <w:tcW w:w="3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Repurchase agreements with customers</w:t>
            </w:r>
          </w:p>
        </w:tc>
        <w:tc>
          <w:tcPr>
            <w:tcW w:w="920" w:type="dxa"/>
            <w:vAlign w:val="bottom"/>
          </w:tcPr>
          <w:p>
            <w:pPr>
              <w:jc w:val="center"/>
              <w:spacing w:after="0"/>
              <w:rPr>
                <w:sz w:val="20"/>
                <w:szCs w:val="20"/>
                <w:color w:val="auto"/>
              </w:rPr>
            </w:pPr>
            <w:r>
              <w:rPr>
                <w:rFonts w:ascii="Arial" w:cs="Arial" w:eastAsia="Arial" w:hAnsi="Arial"/>
                <w:sz w:val="10"/>
                <w:szCs w:val="10"/>
                <w:color w:val="auto"/>
                <w:w w:val="97"/>
              </w:rPr>
              <w:t>76,332</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194,581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135,646</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4"/>
              </w:rPr>
              <w:t>-30.3%</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8"/>
              </w:rPr>
              <w:t>77.7%</w:t>
            </w:r>
          </w:p>
        </w:tc>
      </w:tr>
      <w:tr>
        <w:trPr>
          <w:trHeight w:val="235"/>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Due to banks and correspondents</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12,704,234</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11,152,813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11,241,079</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0.8%</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rPr>
              <w:t>-11.5%</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Bonds and notes issued</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16,952,011</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12,112,403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12,209,724</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0.8%</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rPr>
              <w:t>-28.0%</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Banker’s acceptances outstanding</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466,957</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559,370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553,561</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9"/>
              </w:rPr>
              <w:t>-1.0%</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8"/>
              </w:rPr>
              <w:t>18.5%</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Insurance contract liability</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13,289,394</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13,954,799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14,203,439</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1.8%</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color w:val="auto"/>
                <w:w w:val="96"/>
              </w:rPr>
              <w:t>6.9%</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Financial liabilities at fair value through profit or loss</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698,747</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840,022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928,814</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1"/>
              </w:rPr>
              <w:t>10.6%</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8"/>
              </w:rPr>
              <w:t>32.9%</w:t>
            </w:r>
          </w:p>
        </w:tc>
      </w:tr>
      <w:tr>
        <w:trPr>
          <w:trHeight w:val="125"/>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Other liabilities</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9,752,701</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9,262,741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10,296,583</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1"/>
              </w:rPr>
              <w:t>11.2%</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color w:val="auto"/>
                <w:w w:val="96"/>
              </w:rPr>
              <w:t>5.6%</w:t>
            </w:r>
          </w:p>
        </w:tc>
      </w:tr>
      <w:tr>
        <w:trPr>
          <w:trHeight w:val="354"/>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Total Liabilities</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7"/>
              </w:rPr>
              <w:t>215,682,599</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3"/>
              </w:rPr>
              <w:t>213,870,875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218,044,828</w:t>
            </w:r>
          </w:p>
        </w:tc>
        <w:tc>
          <w:tcPr>
            <w:tcW w:w="680" w:type="dxa"/>
            <w:vAlign w:val="bottom"/>
          </w:tcPr>
          <w:p>
            <w:pPr>
              <w:jc w:val="center"/>
              <w:ind w:left="172"/>
              <w:spacing w:after="0"/>
              <w:rPr>
                <w:sz w:val="20"/>
                <w:szCs w:val="20"/>
                <w:color w:val="auto"/>
              </w:rPr>
            </w:pPr>
            <w:r>
              <w:rPr>
                <w:rFonts w:ascii="Arial" w:cs="Arial" w:eastAsia="Arial" w:hAnsi="Arial"/>
                <w:sz w:val="10"/>
                <w:szCs w:val="10"/>
                <w:b w:val="1"/>
                <w:bCs w:val="1"/>
                <w:color w:val="auto"/>
                <w:w w:val="96"/>
              </w:rPr>
              <w:t>2.0%</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b w:val="1"/>
                <w:bCs w:val="1"/>
                <w:color w:val="auto"/>
                <w:w w:val="96"/>
              </w:rPr>
              <w:t>1.1%</w:t>
            </w:r>
          </w:p>
        </w:tc>
      </w:tr>
      <w:tr>
        <w:trPr>
          <w:trHeight w:val="349"/>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Net equity</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5"/>
              </w:rPr>
              <w:t>33,462,591</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5"/>
              </w:rPr>
              <w:t>34,459,012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36,560,502</w:t>
            </w:r>
          </w:p>
        </w:tc>
        <w:tc>
          <w:tcPr>
            <w:tcW w:w="680" w:type="dxa"/>
            <w:vAlign w:val="bottom"/>
          </w:tcPr>
          <w:p>
            <w:pPr>
              <w:jc w:val="center"/>
              <w:ind w:left="172"/>
              <w:spacing w:after="0"/>
              <w:rPr>
                <w:sz w:val="20"/>
                <w:szCs w:val="20"/>
                <w:color w:val="auto"/>
              </w:rPr>
            </w:pPr>
            <w:r>
              <w:rPr>
                <w:rFonts w:ascii="Arial" w:cs="Arial" w:eastAsia="Arial" w:hAnsi="Arial"/>
                <w:sz w:val="10"/>
                <w:szCs w:val="10"/>
                <w:b w:val="1"/>
                <w:bCs w:val="1"/>
                <w:color w:val="auto"/>
                <w:w w:val="96"/>
              </w:rPr>
              <w:t>6.1%</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b w:val="1"/>
                <w:bCs w:val="1"/>
                <w:color w:val="auto"/>
                <w:w w:val="96"/>
              </w:rPr>
              <w:t>9.3%</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Capital stock</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1,318,993</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1,318,993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1,318,993</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0.0%</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color w:val="auto"/>
                <w:w w:val="96"/>
              </w:rPr>
              <w:t>0.0%</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Treasury stock</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(208,901)</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(209,845)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(209,845)</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0.0%</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color w:val="auto"/>
                <w:w w:val="96"/>
              </w:rPr>
              <w:t>0.5%</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Capital surplus</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179,027</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133,388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139,528</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4.6%</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rPr>
              <w:t>-22.1%</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Reserves</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27,187,346</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29,602,851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29,628,427</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0.1%</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color w:val="auto"/>
                <w:w w:val="96"/>
              </w:rPr>
              <w:t>9.0%</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Other reserves</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470,550</w:t>
            </w:r>
          </w:p>
        </w:tc>
        <w:tc>
          <w:tcPr>
            <w:tcW w:w="920" w:type="dxa"/>
            <w:vAlign w:val="bottom"/>
          </w:tcPr>
          <w:p>
            <w:pPr>
              <w:jc w:val="center"/>
              <w:spacing w:after="0"/>
              <w:rPr>
                <w:sz w:val="20"/>
                <w:szCs w:val="20"/>
                <w:color w:val="auto"/>
              </w:rPr>
            </w:pPr>
            <w:r>
              <w:rPr>
                <w:rFonts w:ascii="Arial" w:cs="Arial" w:eastAsia="Arial" w:hAnsi="Arial"/>
                <w:sz w:val="10"/>
                <w:szCs w:val="10"/>
                <w:color w:val="auto"/>
                <w:w w:val="91"/>
              </w:rPr>
              <w:t>19,199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353,144</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1739.4%</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rPr>
              <w:t>-25.0%</w:t>
            </w:r>
          </w:p>
        </w:tc>
      </w:tr>
      <w:tr>
        <w:trPr>
          <w:trHeight w:val="125"/>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Retained earnings</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4,515,576</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3,594,426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5,330,255</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1"/>
              </w:rPr>
              <w:t>48.3%</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8"/>
              </w:rPr>
              <w:t>18.0%</w:t>
            </w:r>
          </w:p>
        </w:tc>
      </w:tr>
      <w:tr>
        <w:trPr>
          <w:trHeight w:val="24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Non-controlling interest</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614,600</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615,488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695,271</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1"/>
              </w:rPr>
              <w:t>13.0%</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8"/>
              </w:rPr>
              <w:t>13.1%</w:t>
            </w:r>
          </w:p>
        </w:tc>
      </w:tr>
      <w:tr>
        <w:trPr>
          <w:trHeight w:val="246"/>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Total Net Equity</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5"/>
              </w:rPr>
              <w:t>34,077,191</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5"/>
              </w:rPr>
              <w:t>35,074,500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37,255,773</w:t>
            </w:r>
          </w:p>
        </w:tc>
        <w:tc>
          <w:tcPr>
            <w:tcW w:w="680" w:type="dxa"/>
            <w:vAlign w:val="bottom"/>
          </w:tcPr>
          <w:p>
            <w:pPr>
              <w:jc w:val="center"/>
              <w:ind w:left="172"/>
              <w:spacing w:after="0"/>
              <w:rPr>
                <w:sz w:val="20"/>
                <w:szCs w:val="20"/>
                <w:color w:val="auto"/>
              </w:rPr>
            </w:pPr>
            <w:r>
              <w:rPr>
                <w:rFonts w:ascii="Arial" w:cs="Arial" w:eastAsia="Arial" w:hAnsi="Arial"/>
                <w:sz w:val="10"/>
                <w:szCs w:val="10"/>
                <w:b w:val="1"/>
                <w:bCs w:val="1"/>
                <w:color w:val="auto"/>
                <w:w w:val="96"/>
              </w:rPr>
              <w:t>6.2%</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b w:val="1"/>
                <w:bCs w:val="1"/>
                <w:color w:val="auto"/>
                <w:w w:val="96"/>
              </w:rPr>
              <w:t>9.3%</w:t>
            </w:r>
          </w:p>
        </w:tc>
      </w:tr>
      <w:tr>
        <w:trPr>
          <w:trHeight w:val="24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Total liabilities and equity</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7"/>
              </w:rPr>
              <w:t>249,759,790</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3"/>
              </w:rPr>
              <w:t>248,945,375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255,300,601</w:t>
            </w:r>
          </w:p>
        </w:tc>
        <w:tc>
          <w:tcPr>
            <w:tcW w:w="680" w:type="dxa"/>
            <w:vAlign w:val="bottom"/>
          </w:tcPr>
          <w:p>
            <w:pPr>
              <w:jc w:val="center"/>
              <w:ind w:left="172"/>
              <w:spacing w:after="0"/>
              <w:rPr>
                <w:sz w:val="20"/>
                <w:szCs w:val="20"/>
                <w:color w:val="auto"/>
              </w:rPr>
            </w:pPr>
            <w:r>
              <w:rPr>
                <w:rFonts w:ascii="Arial" w:cs="Arial" w:eastAsia="Arial" w:hAnsi="Arial"/>
                <w:sz w:val="10"/>
                <w:szCs w:val="10"/>
                <w:b w:val="1"/>
                <w:bCs w:val="1"/>
                <w:color w:val="auto"/>
                <w:w w:val="96"/>
              </w:rPr>
              <w:t>2.6%</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b w:val="1"/>
                <w:bCs w:val="1"/>
                <w:color w:val="auto"/>
                <w:w w:val="96"/>
              </w:rPr>
              <w:t>2.2%</w:t>
            </w:r>
          </w:p>
        </w:tc>
      </w:tr>
      <w:tr>
        <w:trPr>
          <w:trHeight w:val="229"/>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Off-balance sheet</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7"/>
              </w:rPr>
              <w:t>155,876,986</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3"/>
              </w:rPr>
              <w:t>144,197,254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153,289,772</w:t>
            </w:r>
          </w:p>
        </w:tc>
        <w:tc>
          <w:tcPr>
            <w:tcW w:w="680" w:type="dxa"/>
            <w:vAlign w:val="bottom"/>
          </w:tcPr>
          <w:p>
            <w:pPr>
              <w:jc w:val="center"/>
              <w:ind w:left="172"/>
              <w:spacing w:after="0"/>
              <w:rPr>
                <w:sz w:val="20"/>
                <w:szCs w:val="20"/>
                <w:color w:val="auto"/>
              </w:rPr>
            </w:pPr>
            <w:r>
              <w:rPr>
                <w:rFonts w:ascii="Arial" w:cs="Arial" w:eastAsia="Arial" w:hAnsi="Arial"/>
                <w:sz w:val="10"/>
                <w:szCs w:val="10"/>
                <w:b w:val="1"/>
                <w:bCs w:val="1"/>
                <w:color w:val="auto"/>
                <w:w w:val="96"/>
              </w:rPr>
              <w:t>6.3%</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b w:val="1"/>
                <w:bCs w:val="1"/>
                <w:color w:val="auto"/>
                <w:w w:val="91"/>
              </w:rPr>
              <w:t>-1.7%</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Total performance bonds, stand-by and L/Cs.</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20,206,333</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21,026,042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21,007,568</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9"/>
              </w:rPr>
              <w:t>-0.1%</w:t>
            </w:r>
          </w:p>
        </w:tc>
        <w:tc>
          <w:tcPr>
            <w:tcW w:w="1200" w:type="dxa"/>
            <w:vAlign w:val="bottom"/>
            <w:tcBorders>
              <w:right w:val="single" w:sz="8" w:color="auto"/>
            </w:tcBorders>
          </w:tcPr>
          <w:p>
            <w:pPr>
              <w:jc w:val="center"/>
              <w:ind w:left="172"/>
              <w:spacing w:after="0"/>
              <w:rPr>
                <w:sz w:val="20"/>
                <w:szCs w:val="20"/>
                <w:color w:val="auto"/>
              </w:rPr>
            </w:pPr>
            <w:r>
              <w:rPr>
                <w:rFonts w:ascii="Arial" w:cs="Arial" w:eastAsia="Arial" w:hAnsi="Arial"/>
                <w:sz w:val="10"/>
                <w:szCs w:val="10"/>
                <w:color w:val="auto"/>
                <w:w w:val="96"/>
              </w:rPr>
              <w:t>4.0%</w:t>
            </w:r>
          </w:p>
        </w:tc>
      </w:tr>
      <w:tr>
        <w:trPr>
          <w:trHeight w:val="120"/>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Undrawn credit lines, advised but not committed</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88,226,431</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75,858,566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78,586,547</w:t>
            </w:r>
          </w:p>
        </w:tc>
        <w:tc>
          <w:tcPr>
            <w:tcW w:w="680" w:type="dxa"/>
            <w:vAlign w:val="bottom"/>
          </w:tcPr>
          <w:p>
            <w:pPr>
              <w:jc w:val="center"/>
              <w:ind w:left="172"/>
              <w:spacing w:after="0"/>
              <w:rPr>
                <w:sz w:val="20"/>
                <w:szCs w:val="20"/>
                <w:color w:val="auto"/>
              </w:rPr>
            </w:pPr>
            <w:r>
              <w:rPr>
                <w:rFonts w:ascii="Arial" w:cs="Arial" w:eastAsia="Arial" w:hAnsi="Arial"/>
                <w:sz w:val="10"/>
                <w:szCs w:val="10"/>
                <w:color w:val="auto"/>
                <w:w w:val="96"/>
              </w:rPr>
              <w:t>3.6%</w:t>
            </w:r>
          </w:p>
        </w:tc>
        <w:tc>
          <w:tcPr>
            <w:tcW w:w="120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rPr>
              <w:t>-10.9%</w:t>
            </w:r>
          </w:p>
        </w:tc>
      </w:tr>
      <w:tr>
        <w:trPr>
          <w:trHeight w:val="119"/>
        </w:trPr>
        <w:tc>
          <w:tcPr>
            <w:tcW w:w="3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color w:val="auto"/>
              </w:rPr>
              <w:t>Total derivatives (notional) and others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47,444,222</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47,312,646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53,695,657</w:t>
            </w:r>
          </w:p>
        </w:tc>
        <w:tc>
          <w:tcPr>
            <w:tcW w:w="680" w:type="dxa"/>
            <w:vAlign w:val="bottom"/>
            <w:tcBorders>
              <w:bottom w:val="single" w:sz="8" w:color="auto"/>
            </w:tcBorders>
          </w:tcPr>
          <w:p>
            <w:pPr>
              <w:jc w:val="center"/>
              <w:ind w:left="172"/>
              <w:spacing w:after="0"/>
              <w:rPr>
                <w:sz w:val="20"/>
                <w:szCs w:val="20"/>
                <w:color w:val="auto"/>
              </w:rPr>
            </w:pPr>
            <w:r>
              <w:rPr>
                <w:rFonts w:ascii="Arial" w:cs="Arial" w:eastAsia="Arial" w:hAnsi="Arial"/>
                <w:sz w:val="10"/>
                <w:szCs w:val="10"/>
                <w:color w:val="auto"/>
                <w:w w:val="91"/>
              </w:rPr>
              <w:t>13.5%</w:t>
            </w:r>
          </w:p>
        </w:tc>
        <w:tc>
          <w:tcPr>
            <w:tcW w:w="1200" w:type="dxa"/>
            <w:vAlign w:val="bottom"/>
            <w:tcBorders>
              <w:bottom w:val="single" w:sz="8" w:color="auto"/>
              <w:right w:val="single" w:sz="8" w:color="auto"/>
            </w:tcBorders>
          </w:tcPr>
          <w:p>
            <w:pPr>
              <w:jc w:val="center"/>
              <w:ind w:left="152"/>
              <w:spacing w:after="0"/>
              <w:rPr>
                <w:sz w:val="20"/>
                <w:szCs w:val="20"/>
                <w:color w:val="auto"/>
              </w:rPr>
            </w:pPr>
            <w:r>
              <w:rPr>
                <w:rFonts w:ascii="Arial" w:cs="Arial" w:eastAsia="Arial" w:hAnsi="Arial"/>
                <w:sz w:val="10"/>
                <w:szCs w:val="10"/>
                <w:color w:val="auto"/>
                <w:w w:val="98"/>
              </w:rPr>
              <w:t>13.2%</w:t>
            </w:r>
          </w:p>
        </w:tc>
      </w:tr>
    </w:tbl>
    <w:p>
      <w:pPr>
        <w:spacing w:after="0" w:line="121" w:lineRule="exact"/>
        <w:rPr>
          <w:sz w:val="20"/>
          <w:szCs w:val="20"/>
          <w:color w:val="auto"/>
        </w:rPr>
      </w:pPr>
    </w:p>
    <w:p>
      <w:pPr>
        <w:ind w:left="1160"/>
        <w:spacing w:after="0"/>
        <w:rPr>
          <w:sz w:val="20"/>
          <w:szCs w:val="20"/>
          <w:color w:val="auto"/>
        </w:rPr>
      </w:pPr>
      <w:r>
        <w:rPr>
          <w:rFonts w:ascii="Arial" w:cs="Arial" w:eastAsia="Arial" w:hAnsi="Arial"/>
          <w:sz w:val="10"/>
          <w:szCs w:val="10"/>
          <w:color w:val="auto"/>
        </w:rPr>
        <w:t>(1) Includes mainly accounts receivables from brokerage and others.</w:t>
      </w:r>
    </w:p>
    <w:p>
      <w:pPr>
        <w:spacing w:after="0" w:line="10" w:lineRule="exact"/>
        <w:rPr>
          <w:sz w:val="20"/>
          <w:szCs w:val="20"/>
          <w:color w:val="auto"/>
        </w:rPr>
      </w:pPr>
    </w:p>
    <w:p>
      <w:pPr>
        <w:ind w:left="1160"/>
        <w:spacing w:after="0"/>
        <w:rPr>
          <w:sz w:val="20"/>
          <w:szCs w:val="20"/>
          <w:color w:val="auto"/>
        </w:rPr>
      </w:pPr>
      <w:r>
        <w:rPr>
          <w:rFonts w:ascii="Arial" w:cs="Arial" w:eastAsia="Arial" w:hAnsi="Arial"/>
          <w:sz w:val="10"/>
          <w:szCs w:val="10"/>
          <w:color w:val="auto"/>
        </w:rPr>
        <w:t>* Due to reclassifications, the Balance Sheet may differ from those reported in previous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822325</wp:posOffset>
            </wp:positionV>
            <wp:extent cx="663892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638925" cy="15240"/>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113665</wp:posOffset>
            </wp:positionV>
            <wp:extent cx="6539865" cy="6172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39865" cy="617220"/>
                    </a:xfrm>
                    <a:prstGeom prst="rect">
                      <a:avLst/>
                    </a:prstGeom>
                    <a:noFill/>
                  </pic:spPr>
                </pic:pic>
              </a:graphicData>
            </a:graphic>
          </wp:anchor>
        </w:drawing>
      </w:r>
    </w:p>
    <w:p>
      <w:pPr>
        <w:sectPr>
          <w:pgSz w:w="11900" w:h="16840" w:orient="portrait"/>
          <w:cols w:equalWidth="0" w:num="1">
            <w:col w:w="10420"/>
          </w:cols>
          <w:pgMar w:left="660" w:top="931" w:right="820" w:bottom="1440" w:gutter="0" w:footer="0" w:header="0"/>
        </w:sectPr>
      </w:pPr>
    </w:p>
    <w:bookmarkStart w:id="60" w:name="page61"/>
    <w:bookmarkEnd w:id="60"/>
    <w:p>
      <w:pPr>
        <w:ind w:left="2520"/>
        <w:spacing w:after="0"/>
        <w:tabs>
          <w:tab w:leader="none" w:pos="2760" w:val="left"/>
          <w:tab w:leader="none" w:pos="81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638925" cy="662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3892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638925" cy="2057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63892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Consolidated Statement of Income</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 Thousands, IFRS)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20"/>
        </w:trPr>
        <w:tc>
          <w:tcPr>
            <w:tcW w:w="2960" w:type="dxa"/>
            <w:vAlign w:val="bottom"/>
            <w:tcBorders>
              <w:top w:val="single" w:sz="8" w:color="auto"/>
              <w:left w:val="single" w:sz="8" w:color="auto"/>
              <w:right w:val="single" w:sz="8" w:color="auto"/>
            </w:tcBorders>
            <w:shd w:val="clear" w:color="auto" w:fill="33CCCC"/>
          </w:tcPr>
          <w:p>
            <w:pPr>
              <w:spacing w:after="0"/>
              <w:rPr>
                <w:sz w:val="10"/>
                <w:szCs w:val="10"/>
                <w:color w:val="auto"/>
              </w:rPr>
            </w:pPr>
          </w:p>
        </w:tc>
        <w:tc>
          <w:tcPr>
            <w:tcW w:w="920" w:type="dxa"/>
            <w:vAlign w:val="bottom"/>
            <w:tcBorders>
              <w:top w:val="single" w:sz="8" w:color="auto"/>
            </w:tcBorders>
            <w:shd w:val="clear" w:color="auto" w:fill="33CCCC"/>
          </w:tcPr>
          <w:p>
            <w:pPr>
              <w:spacing w:after="0"/>
              <w:rPr>
                <w:sz w:val="10"/>
                <w:szCs w:val="10"/>
                <w:color w:val="auto"/>
              </w:rPr>
            </w:pPr>
          </w:p>
        </w:tc>
        <w:tc>
          <w:tcPr>
            <w:tcW w:w="940" w:type="dxa"/>
            <w:vAlign w:val="bottom"/>
            <w:tcBorders>
              <w:top w:val="single" w:sz="8" w:color="auto"/>
            </w:tcBorders>
            <w:shd w:val="clear" w:color="auto" w:fill="33CCCC"/>
          </w:tcPr>
          <w:p>
            <w:pPr>
              <w:ind w:left="320"/>
              <w:spacing w:after="0"/>
              <w:rPr>
                <w:sz w:val="20"/>
                <w:szCs w:val="20"/>
                <w:color w:val="auto"/>
              </w:rPr>
            </w:pPr>
            <w:r>
              <w:rPr>
                <w:rFonts w:ascii="Arial" w:cs="Arial" w:eastAsia="Arial" w:hAnsi="Arial"/>
                <w:sz w:val="8"/>
                <w:szCs w:val="8"/>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10"/>
                <w:szCs w:val="10"/>
                <w:color w:val="auto"/>
              </w:rPr>
            </w:pPr>
          </w:p>
        </w:tc>
        <w:tc>
          <w:tcPr>
            <w:tcW w:w="1180" w:type="dxa"/>
            <w:vAlign w:val="bottom"/>
            <w:tcBorders>
              <w:top w:val="single" w:sz="8" w:color="auto"/>
            </w:tcBorders>
            <w:shd w:val="clear" w:color="auto" w:fill="33CCCC"/>
          </w:tcPr>
          <w:p>
            <w:pPr>
              <w:ind w:left="740"/>
              <w:spacing w:after="0"/>
              <w:rPr>
                <w:sz w:val="20"/>
                <w:szCs w:val="20"/>
                <w:color w:val="auto"/>
              </w:rPr>
            </w:pPr>
            <w:r>
              <w:rPr>
                <w:rFonts w:ascii="Arial" w:cs="Arial" w:eastAsia="Arial" w:hAnsi="Arial"/>
                <w:sz w:val="8"/>
                <w:szCs w:val="8"/>
                <w:b w:val="1"/>
                <w:bCs w:val="1"/>
                <w:color w:val="FFFFFF"/>
              </w:rPr>
              <w:t>% change</w:t>
            </w:r>
          </w:p>
        </w:tc>
        <w:tc>
          <w:tcPr>
            <w:tcW w:w="700" w:type="dxa"/>
            <w:vAlign w:val="bottom"/>
            <w:tcBorders>
              <w:top w:val="single" w:sz="8" w:color="auto"/>
              <w:right w:val="single" w:sz="8" w:color="auto"/>
            </w:tcBorders>
            <w:shd w:val="clear" w:color="auto" w:fill="33CCCC"/>
          </w:tcPr>
          <w:p>
            <w:pPr>
              <w:spacing w:after="0"/>
              <w:rPr>
                <w:sz w:val="10"/>
                <w:szCs w:val="10"/>
                <w:color w:val="auto"/>
              </w:rPr>
            </w:pPr>
          </w:p>
        </w:tc>
        <w:tc>
          <w:tcPr>
            <w:tcW w:w="740" w:type="dxa"/>
            <w:vAlign w:val="bottom"/>
            <w:tcBorders>
              <w:top w:val="single" w:sz="8" w:color="auto"/>
            </w:tcBorders>
            <w:shd w:val="clear" w:color="auto" w:fill="33CCCC"/>
          </w:tcPr>
          <w:p>
            <w:pPr>
              <w:spacing w:after="0"/>
              <w:rPr>
                <w:sz w:val="10"/>
                <w:szCs w:val="10"/>
                <w:color w:val="auto"/>
              </w:rPr>
            </w:pPr>
          </w:p>
        </w:tc>
        <w:tc>
          <w:tcPr>
            <w:tcW w:w="1140" w:type="dxa"/>
            <w:vAlign w:val="bottom"/>
            <w:tcBorders>
              <w:top w:val="single" w:sz="8" w:color="auto"/>
              <w:right w:val="single" w:sz="8" w:color="auto"/>
            </w:tcBorders>
            <w:shd w:val="clear" w:color="auto" w:fill="33CCCC"/>
          </w:tcPr>
          <w:p>
            <w:pPr>
              <w:ind w:left="80"/>
              <w:spacing w:after="0"/>
              <w:rPr>
                <w:sz w:val="20"/>
                <w:szCs w:val="20"/>
                <w:color w:val="auto"/>
              </w:rPr>
            </w:pPr>
            <w:r>
              <w:rPr>
                <w:rFonts w:ascii="Arial" w:cs="Arial" w:eastAsia="Arial" w:hAnsi="Arial"/>
                <w:sz w:val="8"/>
                <w:szCs w:val="8"/>
                <w:b w:val="1"/>
                <w:bCs w:val="1"/>
                <w:color w:val="FFFFFF"/>
              </w:rPr>
              <w:t>Up to</w:t>
            </w:r>
          </w:p>
        </w:tc>
        <w:tc>
          <w:tcPr>
            <w:tcW w:w="9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 change</w:t>
            </w:r>
          </w:p>
        </w:tc>
      </w:tr>
      <w:tr>
        <w:trPr>
          <w:trHeight w:val="108"/>
        </w:trPr>
        <w:tc>
          <w:tcPr>
            <w:tcW w:w="2960" w:type="dxa"/>
            <w:vAlign w:val="bottom"/>
            <w:tcBorders>
              <w:left w:val="single" w:sz="8" w:color="auto"/>
              <w:bottom w:val="single" w:sz="8" w:color="auto"/>
              <w:right w:val="single" w:sz="8" w:color="auto"/>
            </w:tcBorders>
            <w:shd w:val="clear" w:color="auto" w:fill="33CCCC"/>
          </w:tcPr>
          <w:p>
            <w:pPr>
              <w:spacing w:after="0"/>
              <w:rPr>
                <w:sz w:val="9"/>
                <w:szCs w:val="9"/>
                <w:color w:val="auto"/>
              </w:rPr>
            </w:pP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3Q24</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2Q25</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3Q25</w:t>
            </w:r>
          </w:p>
        </w:tc>
        <w:tc>
          <w:tcPr>
            <w:tcW w:w="1180" w:type="dxa"/>
            <w:vAlign w:val="bottom"/>
            <w:tcBorders>
              <w:bottom w:val="single" w:sz="8" w:color="auto"/>
            </w:tcBorders>
            <w:shd w:val="clear" w:color="auto" w:fill="33CCCC"/>
          </w:tcPr>
          <w:p>
            <w:pPr>
              <w:jc w:val="center"/>
              <w:ind w:right="198"/>
              <w:spacing w:after="0"/>
              <w:rPr>
                <w:sz w:val="20"/>
                <w:szCs w:val="20"/>
                <w:color w:val="auto"/>
              </w:rPr>
            </w:pPr>
            <w:r>
              <w:rPr>
                <w:rFonts w:ascii="Arial" w:cs="Arial" w:eastAsia="Arial" w:hAnsi="Arial"/>
                <w:sz w:val="8"/>
                <w:szCs w:val="8"/>
                <w:b w:val="1"/>
                <w:bCs w:val="1"/>
                <w:color w:val="FFFFFF"/>
              </w:rPr>
              <w:t>QoQ</w:t>
            </w:r>
          </w:p>
        </w:tc>
        <w:tc>
          <w:tcPr>
            <w:tcW w:w="700" w:type="dxa"/>
            <w:vAlign w:val="bottom"/>
            <w:tcBorders>
              <w:bottom w:val="single" w:sz="8" w:color="auto"/>
              <w:right w:val="single" w:sz="8" w:color="auto"/>
            </w:tcBorders>
            <w:shd w:val="clear" w:color="auto" w:fill="33CCCC"/>
          </w:tcPr>
          <w:p>
            <w:pPr>
              <w:jc w:val="center"/>
              <w:ind w:right="238"/>
              <w:spacing w:after="0"/>
              <w:rPr>
                <w:sz w:val="20"/>
                <w:szCs w:val="20"/>
                <w:color w:val="auto"/>
              </w:rPr>
            </w:pPr>
            <w:r>
              <w:rPr>
                <w:rFonts w:ascii="Arial" w:cs="Arial" w:eastAsia="Arial" w:hAnsi="Arial"/>
                <w:sz w:val="8"/>
                <w:szCs w:val="8"/>
                <w:b w:val="1"/>
                <w:bCs w:val="1"/>
                <w:color w:val="FFFFFF"/>
              </w:rPr>
              <w:t>YoY</w:t>
            </w:r>
          </w:p>
        </w:tc>
        <w:tc>
          <w:tcPr>
            <w:tcW w:w="740" w:type="dxa"/>
            <w:vAlign w:val="bottom"/>
            <w:tcBorders>
              <w:bottom w:val="single" w:sz="8" w:color="auto"/>
            </w:tcBorders>
            <w:shd w:val="clear" w:color="auto" w:fill="33CCCC"/>
          </w:tcPr>
          <w:p>
            <w:pPr>
              <w:ind w:left="320"/>
              <w:spacing w:after="0"/>
              <w:rPr>
                <w:sz w:val="20"/>
                <w:szCs w:val="20"/>
                <w:color w:val="auto"/>
              </w:rPr>
            </w:pPr>
            <w:r>
              <w:rPr>
                <w:rFonts w:ascii="Arial" w:cs="Arial" w:eastAsia="Arial" w:hAnsi="Arial"/>
                <w:sz w:val="8"/>
                <w:szCs w:val="8"/>
                <w:b w:val="1"/>
                <w:bCs w:val="1"/>
                <w:color w:val="FFFFFF"/>
              </w:rPr>
              <w:t>Sep 24</w:t>
            </w:r>
          </w:p>
        </w:tc>
        <w:tc>
          <w:tcPr>
            <w:tcW w:w="1140" w:type="dxa"/>
            <w:vAlign w:val="bottom"/>
            <w:tcBorders>
              <w:bottom w:val="single" w:sz="8" w:color="auto"/>
              <w:right w:val="single" w:sz="8" w:color="auto"/>
            </w:tcBorders>
            <w:shd w:val="clear" w:color="auto" w:fill="33CCCC"/>
          </w:tcPr>
          <w:p>
            <w:pPr>
              <w:ind w:left="500"/>
              <w:spacing w:after="0"/>
              <w:rPr>
                <w:sz w:val="20"/>
                <w:szCs w:val="20"/>
                <w:color w:val="auto"/>
              </w:rPr>
            </w:pPr>
            <w:r>
              <w:rPr>
                <w:rFonts w:ascii="Arial" w:cs="Arial" w:eastAsia="Arial" w:hAnsi="Arial"/>
                <w:sz w:val="8"/>
                <w:szCs w:val="8"/>
                <w:b w:val="1"/>
                <w:bCs w:val="1"/>
                <w:color w:val="FFFFFF"/>
              </w:rPr>
              <w:t>Sep 25</w:t>
            </w:r>
          </w:p>
        </w:tc>
        <w:tc>
          <w:tcPr>
            <w:tcW w:w="9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Sep 25 / Sep 24</w:t>
            </w:r>
          </w:p>
        </w:tc>
      </w:tr>
      <w:tr>
        <w:trPr>
          <w:trHeight w:val="10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Interest income and expense</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Interest and similar income</w:t>
            </w:r>
          </w:p>
        </w:tc>
        <w:tc>
          <w:tcPr>
            <w:tcW w:w="920" w:type="dxa"/>
            <w:vAlign w:val="bottom"/>
          </w:tcPr>
          <w:p>
            <w:pPr>
              <w:jc w:val="center"/>
              <w:spacing w:after="0"/>
              <w:rPr>
                <w:sz w:val="20"/>
                <w:szCs w:val="20"/>
                <w:color w:val="auto"/>
              </w:rPr>
            </w:pPr>
            <w:r>
              <w:rPr>
                <w:rFonts w:ascii="Arial" w:cs="Arial" w:eastAsia="Arial" w:hAnsi="Arial"/>
                <w:sz w:val="8"/>
                <w:szCs w:val="8"/>
                <w:color w:val="auto"/>
              </w:rPr>
              <w:t>4,995,971</w:t>
            </w:r>
          </w:p>
        </w:tc>
        <w:tc>
          <w:tcPr>
            <w:tcW w:w="940" w:type="dxa"/>
            <w:vAlign w:val="bottom"/>
          </w:tcPr>
          <w:p>
            <w:pPr>
              <w:jc w:val="center"/>
              <w:spacing w:after="0"/>
              <w:rPr>
                <w:sz w:val="20"/>
                <w:szCs w:val="20"/>
                <w:color w:val="auto"/>
              </w:rPr>
            </w:pPr>
            <w:r>
              <w:rPr>
                <w:rFonts w:ascii="Arial" w:cs="Arial" w:eastAsia="Arial" w:hAnsi="Arial"/>
                <w:sz w:val="8"/>
                <w:szCs w:val="8"/>
                <w:color w:val="auto"/>
              </w:rPr>
              <w:t>4,922,292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4,987,693</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1.3%</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-0.2%</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14,857,135</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14,804,775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-0.4%</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Interest and similar expenses</w:t>
            </w:r>
          </w:p>
        </w:tc>
        <w:tc>
          <w:tcPr>
            <w:tcW w:w="920" w:type="dxa"/>
            <w:vAlign w:val="bottom"/>
          </w:tcPr>
          <w:p>
            <w:pPr>
              <w:jc w:val="center"/>
              <w:spacing w:after="0"/>
              <w:rPr>
                <w:sz w:val="20"/>
                <w:szCs w:val="20"/>
                <w:color w:val="auto"/>
              </w:rPr>
            </w:pPr>
            <w:r>
              <w:rPr>
                <w:rFonts w:ascii="Arial" w:cs="Arial" w:eastAsia="Arial" w:hAnsi="Arial"/>
                <w:sz w:val="8"/>
                <w:szCs w:val="8"/>
                <w:color w:val="auto"/>
              </w:rPr>
              <w:t>(1,405,221)</w:t>
            </w:r>
          </w:p>
        </w:tc>
        <w:tc>
          <w:tcPr>
            <w:tcW w:w="940" w:type="dxa"/>
            <w:vAlign w:val="bottom"/>
          </w:tcPr>
          <w:p>
            <w:pPr>
              <w:jc w:val="center"/>
              <w:spacing w:after="0"/>
              <w:rPr>
                <w:sz w:val="20"/>
                <w:szCs w:val="20"/>
                <w:color w:val="auto"/>
              </w:rPr>
            </w:pPr>
            <w:r>
              <w:rPr>
                <w:rFonts w:ascii="Arial" w:cs="Arial" w:eastAsia="Arial" w:hAnsi="Arial"/>
                <w:sz w:val="8"/>
                <w:szCs w:val="8"/>
                <w:color w:val="auto"/>
              </w:rPr>
              <w:t>(1,306,921)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(1,299,864)</w:t>
            </w:r>
          </w:p>
        </w:tc>
        <w:tc>
          <w:tcPr>
            <w:tcW w:w="1180" w:type="dxa"/>
            <w:vAlign w:val="bottom"/>
          </w:tcPr>
          <w:p>
            <w:pPr>
              <w:jc w:val="center"/>
              <w:ind w:right="198"/>
              <w:spacing w:after="0"/>
              <w:rPr>
                <w:sz w:val="20"/>
                <w:szCs w:val="20"/>
                <w:color w:val="auto"/>
              </w:rPr>
            </w:pPr>
            <w:r>
              <w:rPr>
                <w:rFonts w:ascii="Arial" w:cs="Arial" w:eastAsia="Arial" w:hAnsi="Arial"/>
                <w:sz w:val="8"/>
                <w:szCs w:val="8"/>
                <w:color w:val="auto"/>
              </w:rPr>
              <w:t>-0.5%</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-7.5%</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(4,371,798)</w:t>
            </w:r>
          </w:p>
        </w:tc>
        <w:tc>
          <w:tcPr>
            <w:tcW w:w="1140" w:type="dxa"/>
            <w:vAlign w:val="bottom"/>
            <w:tcBorders>
              <w:right w:val="single" w:sz="8" w:color="auto"/>
            </w:tcBorders>
          </w:tcPr>
          <w:p>
            <w:pPr>
              <w:jc w:val="center"/>
              <w:ind w:left="98"/>
              <w:spacing w:after="0"/>
              <w:rPr>
                <w:sz w:val="20"/>
                <w:szCs w:val="20"/>
                <w:color w:val="auto"/>
              </w:rPr>
            </w:pPr>
            <w:r>
              <w:rPr>
                <w:rFonts w:ascii="Arial" w:cs="Arial" w:eastAsia="Arial" w:hAnsi="Arial"/>
                <w:sz w:val="8"/>
                <w:szCs w:val="8"/>
                <w:color w:val="auto"/>
              </w:rPr>
              <w:t>(3,929,563)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-10.1%</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b w:val="1"/>
                <w:bCs w:val="1"/>
                <w:color w:val="auto"/>
              </w:rPr>
              <w:t>Net interest, similar income and expenses</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3,590,750</w:t>
            </w:r>
          </w:p>
        </w:tc>
        <w:tc>
          <w:tcPr>
            <w:tcW w:w="940" w:type="dxa"/>
            <w:vAlign w:val="bottom"/>
          </w:tcPr>
          <w:p>
            <w:pPr>
              <w:jc w:val="center"/>
              <w:spacing w:after="0"/>
              <w:rPr>
                <w:sz w:val="20"/>
                <w:szCs w:val="20"/>
                <w:color w:val="auto"/>
              </w:rPr>
            </w:pPr>
            <w:r>
              <w:rPr>
                <w:rFonts w:ascii="Arial" w:cs="Arial" w:eastAsia="Arial" w:hAnsi="Arial"/>
                <w:sz w:val="8"/>
                <w:szCs w:val="8"/>
                <w:b w:val="1"/>
                <w:bCs w:val="1"/>
                <w:color w:val="auto"/>
              </w:rPr>
              <w:t>3,615,371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3,687,829</w:t>
            </w:r>
          </w:p>
        </w:tc>
        <w:tc>
          <w:tcPr>
            <w:tcW w:w="1180" w:type="dxa"/>
            <w:vAlign w:val="bottom"/>
          </w:tcPr>
          <w:p>
            <w:pPr>
              <w:jc w:val="center"/>
              <w:ind w:right="218"/>
              <w:spacing w:after="0"/>
              <w:rPr>
                <w:sz w:val="20"/>
                <w:szCs w:val="20"/>
                <w:color w:val="auto"/>
              </w:rPr>
            </w:pPr>
            <w:r>
              <w:rPr>
                <w:rFonts w:ascii="Arial" w:cs="Arial" w:eastAsia="Arial" w:hAnsi="Arial"/>
                <w:sz w:val="8"/>
                <w:szCs w:val="8"/>
                <w:b w:val="1"/>
                <w:bCs w:val="1"/>
                <w:color w:val="auto"/>
              </w:rPr>
              <w:t>2.0%</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b w:val="1"/>
                <w:bCs w:val="1"/>
                <w:color w:val="auto"/>
                <w:w w:val="98"/>
              </w:rPr>
              <w:t>2.7%</w:t>
            </w:r>
          </w:p>
        </w:tc>
        <w:tc>
          <w:tcPr>
            <w:tcW w:w="740" w:type="dxa"/>
            <w:vAlign w:val="bottom"/>
          </w:tcPr>
          <w:p>
            <w:pPr>
              <w:jc w:val="center"/>
              <w:ind w:left="118"/>
              <w:spacing w:after="0"/>
              <w:rPr>
                <w:sz w:val="20"/>
                <w:szCs w:val="20"/>
                <w:color w:val="auto"/>
              </w:rPr>
            </w:pPr>
            <w:r>
              <w:rPr>
                <w:rFonts w:ascii="Arial" w:cs="Arial" w:eastAsia="Arial" w:hAnsi="Arial"/>
                <w:sz w:val="8"/>
                <w:szCs w:val="8"/>
                <w:b w:val="1"/>
                <w:bCs w:val="1"/>
                <w:color w:val="auto"/>
              </w:rPr>
              <w:t>10,485,337</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10,875,212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3.7%</w:t>
            </w:r>
          </w:p>
        </w:tc>
      </w:tr>
      <w:tr>
        <w:trPr>
          <w:trHeight w:val="10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Provision for credit losses on loan portfolio</w:t>
            </w:r>
          </w:p>
        </w:tc>
        <w:tc>
          <w:tcPr>
            <w:tcW w:w="920" w:type="dxa"/>
            <w:vAlign w:val="bottom"/>
          </w:tcPr>
          <w:p>
            <w:pPr>
              <w:jc w:val="center"/>
              <w:spacing w:after="0"/>
              <w:rPr>
                <w:sz w:val="20"/>
                <w:szCs w:val="20"/>
                <w:color w:val="auto"/>
              </w:rPr>
            </w:pPr>
            <w:r>
              <w:rPr>
                <w:rFonts w:ascii="Arial" w:cs="Arial" w:eastAsia="Arial" w:hAnsi="Arial"/>
                <w:sz w:val="8"/>
                <w:szCs w:val="8"/>
                <w:color w:val="auto"/>
              </w:rPr>
              <w:t>(981,870)</w:t>
            </w:r>
          </w:p>
        </w:tc>
        <w:tc>
          <w:tcPr>
            <w:tcW w:w="940" w:type="dxa"/>
            <w:vAlign w:val="bottom"/>
          </w:tcPr>
          <w:p>
            <w:pPr>
              <w:jc w:val="center"/>
              <w:spacing w:after="0"/>
              <w:rPr>
                <w:sz w:val="20"/>
                <w:szCs w:val="20"/>
                <w:color w:val="auto"/>
              </w:rPr>
            </w:pPr>
            <w:r>
              <w:rPr>
                <w:rFonts w:ascii="Arial" w:cs="Arial" w:eastAsia="Arial" w:hAnsi="Arial"/>
                <w:sz w:val="8"/>
                <w:szCs w:val="8"/>
                <w:color w:val="auto"/>
              </w:rPr>
              <w:t>(683,965)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(720,445)</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5.3%</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-26.6%</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(3,085,607)</w:t>
            </w:r>
          </w:p>
        </w:tc>
        <w:tc>
          <w:tcPr>
            <w:tcW w:w="1140" w:type="dxa"/>
            <w:vAlign w:val="bottom"/>
            <w:tcBorders>
              <w:right w:val="single" w:sz="8" w:color="auto"/>
            </w:tcBorders>
          </w:tcPr>
          <w:p>
            <w:pPr>
              <w:jc w:val="center"/>
              <w:ind w:left="98"/>
              <w:spacing w:after="0"/>
              <w:rPr>
                <w:sz w:val="20"/>
                <w:szCs w:val="20"/>
                <w:color w:val="auto"/>
              </w:rPr>
            </w:pPr>
            <w:r>
              <w:rPr>
                <w:rFonts w:ascii="Arial" w:cs="Arial" w:eastAsia="Arial" w:hAnsi="Arial"/>
                <w:sz w:val="8"/>
                <w:szCs w:val="8"/>
                <w:color w:val="auto"/>
              </w:rPr>
              <w:t>(2,100,143)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-31.9%</w:t>
            </w:r>
          </w:p>
        </w:tc>
      </w:tr>
      <w:tr>
        <w:trPr>
          <w:trHeight w:val="10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Recoveries of written-off loans</w:t>
            </w:r>
          </w:p>
        </w:tc>
        <w:tc>
          <w:tcPr>
            <w:tcW w:w="920" w:type="dxa"/>
            <w:vAlign w:val="bottom"/>
          </w:tcPr>
          <w:p>
            <w:pPr>
              <w:jc w:val="center"/>
              <w:spacing w:after="0"/>
              <w:rPr>
                <w:sz w:val="20"/>
                <w:szCs w:val="20"/>
                <w:color w:val="auto"/>
              </w:rPr>
            </w:pPr>
            <w:r>
              <w:rPr>
                <w:rFonts w:ascii="Arial" w:cs="Arial" w:eastAsia="Arial" w:hAnsi="Arial"/>
                <w:sz w:val="8"/>
                <w:szCs w:val="8"/>
                <w:color w:val="auto"/>
              </w:rPr>
              <w:t>113,789</w:t>
            </w:r>
          </w:p>
        </w:tc>
        <w:tc>
          <w:tcPr>
            <w:tcW w:w="940" w:type="dxa"/>
            <w:vAlign w:val="bottom"/>
          </w:tcPr>
          <w:p>
            <w:pPr>
              <w:jc w:val="center"/>
              <w:spacing w:after="0"/>
              <w:rPr>
                <w:sz w:val="20"/>
                <w:szCs w:val="20"/>
                <w:color w:val="auto"/>
              </w:rPr>
            </w:pPr>
            <w:r>
              <w:rPr>
                <w:rFonts w:ascii="Arial" w:cs="Arial" w:eastAsia="Arial" w:hAnsi="Arial"/>
                <w:sz w:val="8"/>
                <w:szCs w:val="8"/>
                <w:color w:val="auto"/>
              </w:rPr>
              <w:t>108,806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117,527</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8.0%</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w w:val="98"/>
              </w:rPr>
              <w:t>3.3%</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309,456</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340,173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9.9%</w:t>
            </w:r>
          </w:p>
        </w:tc>
      </w:tr>
      <w:tr>
        <w:trPr>
          <w:trHeight w:val="10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Provision for credit losses on loan portfolio, net of recoveries</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(868,081)</w:t>
            </w:r>
          </w:p>
        </w:tc>
        <w:tc>
          <w:tcPr>
            <w:tcW w:w="940" w:type="dxa"/>
            <w:vAlign w:val="bottom"/>
          </w:tcPr>
          <w:p>
            <w:pPr>
              <w:jc w:val="center"/>
              <w:spacing w:after="0"/>
              <w:rPr>
                <w:sz w:val="20"/>
                <w:szCs w:val="20"/>
                <w:color w:val="auto"/>
              </w:rPr>
            </w:pPr>
            <w:r>
              <w:rPr>
                <w:rFonts w:ascii="Arial" w:cs="Arial" w:eastAsia="Arial" w:hAnsi="Arial"/>
                <w:sz w:val="8"/>
                <w:szCs w:val="8"/>
                <w:b w:val="1"/>
                <w:bCs w:val="1"/>
                <w:color w:val="auto"/>
              </w:rPr>
              <w:t>(575,159)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(602,918)</w:t>
            </w:r>
          </w:p>
        </w:tc>
        <w:tc>
          <w:tcPr>
            <w:tcW w:w="1180" w:type="dxa"/>
            <w:vAlign w:val="bottom"/>
          </w:tcPr>
          <w:p>
            <w:pPr>
              <w:jc w:val="center"/>
              <w:ind w:right="218"/>
              <w:spacing w:after="0"/>
              <w:rPr>
                <w:sz w:val="20"/>
                <w:szCs w:val="20"/>
                <w:color w:val="auto"/>
              </w:rPr>
            </w:pPr>
            <w:r>
              <w:rPr>
                <w:rFonts w:ascii="Arial" w:cs="Arial" w:eastAsia="Arial" w:hAnsi="Arial"/>
                <w:sz w:val="8"/>
                <w:szCs w:val="8"/>
                <w:b w:val="1"/>
                <w:bCs w:val="1"/>
                <w:color w:val="auto"/>
              </w:rPr>
              <w:t>4.8%</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b w:val="1"/>
                <w:bCs w:val="1"/>
                <w:color w:val="auto"/>
              </w:rPr>
              <w:t>-30.5%</w:t>
            </w:r>
          </w:p>
        </w:tc>
        <w:tc>
          <w:tcPr>
            <w:tcW w:w="740" w:type="dxa"/>
            <w:vAlign w:val="bottom"/>
          </w:tcPr>
          <w:p>
            <w:pPr>
              <w:jc w:val="center"/>
              <w:ind w:left="118"/>
              <w:spacing w:after="0"/>
              <w:rPr>
                <w:sz w:val="20"/>
                <w:szCs w:val="20"/>
                <w:color w:val="auto"/>
              </w:rPr>
            </w:pPr>
            <w:r>
              <w:rPr>
                <w:rFonts w:ascii="Arial" w:cs="Arial" w:eastAsia="Arial" w:hAnsi="Arial"/>
                <w:sz w:val="8"/>
                <w:szCs w:val="8"/>
                <w:b w:val="1"/>
                <w:bCs w:val="1"/>
                <w:color w:val="auto"/>
              </w:rPr>
              <w:t>(2,776,151)</w:t>
            </w:r>
          </w:p>
        </w:tc>
        <w:tc>
          <w:tcPr>
            <w:tcW w:w="1140" w:type="dxa"/>
            <w:vAlign w:val="bottom"/>
            <w:tcBorders>
              <w:right w:val="single" w:sz="8" w:color="auto"/>
            </w:tcBorders>
          </w:tcPr>
          <w:p>
            <w:pPr>
              <w:jc w:val="center"/>
              <w:ind w:left="98"/>
              <w:spacing w:after="0"/>
              <w:rPr>
                <w:sz w:val="20"/>
                <w:szCs w:val="20"/>
                <w:color w:val="auto"/>
              </w:rPr>
            </w:pPr>
            <w:r>
              <w:rPr>
                <w:rFonts w:ascii="Arial" w:cs="Arial" w:eastAsia="Arial" w:hAnsi="Arial"/>
                <w:sz w:val="8"/>
                <w:szCs w:val="8"/>
                <w:b w:val="1"/>
                <w:bCs w:val="1"/>
                <w:color w:val="auto"/>
              </w:rPr>
              <w:t>(1,759,970)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-36.6%</w:t>
            </w:r>
          </w:p>
        </w:tc>
      </w:tr>
      <w:tr>
        <w:trPr>
          <w:trHeight w:val="10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Net interest, similar income and expenses, after provision for credit</w:t>
            </w: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r>
      <w:tr>
        <w:trPr>
          <w:trHeight w:val="114"/>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losses on loan portfolio</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2,722,669</w:t>
            </w:r>
          </w:p>
        </w:tc>
        <w:tc>
          <w:tcPr>
            <w:tcW w:w="940" w:type="dxa"/>
            <w:vAlign w:val="bottom"/>
          </w:tcPr>
          <w:p>
            <w:pPr>
              <w:jc w:val="center"/>
              <w:spacing w:after="0"/>
              <w:rPr>
                <w:sz w:val="20"/>
                <w:szCs w:val="20"/>
                <w:color w:val="auto"/>
              </w:rPr>
            </w:pPr>
            <w:r>
              <w:rPr>
                <w:rFonts w:ascii="Arial" w:cs="Arial" w:eastAsia="Arial" w:hAnsi="Arial"/>
                <w:sz w:val="8"/>
                <w:szCs w:val="8"/>
                <w:b w:val="1"/>
                <w:bCs w:val="1"/>
                <w:color w:val="auto"/>
              </w:rPr>
              <w:t>3,040,212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3,084,911</w:t>
            </w:r>
          </w:p>
        </w:tc>
        <w:tc>
          <w:tcPr>
            <w:tcW w:w="1180" w:type="dxa"/>
            <w:vAlign w:val="bottom"/>
          </w:tcPr>
          <w:p>
            <w:pPr>
              <w:jc w:val="center"/>
              <w:ind w:right="218"/>
              <w:spacing w:after="0"/>
              <w:rPr>
                <w:sz w:val="20"/>
                <w:szCs w:val="20"/>
                <w:color w:val="auto"/>
              </w:rPr>
            </w:pPr>
            <w:r>
              <w:rPr>
                <w:rFonts w:ascii="Arial" w:cs="Arial" w:eastAsia="Arial" w:hAnsi="Arial"/>
                <w:sz w:val="8"/>
                <w:szCs w:val="8"/>
                <w:b w:val="1"/>
                <w:bCs w:val="1"/>
                <w:color w:val="auto"/>
              </w:rPr>
              <w:t>1.5%</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b w:val="1"/>
                <w:bCs w:val="1"/>
                <w:color w:val="auto"/>
                <w:w w:val="96"/>
              </w:rPr>
              <w:t>13.3%</w:t>
            </w:r>
          </w:p>
        </w:tc>
        <w:tc>
          <w:tcPr>
            <w:tcW w:w="740" w:type="dxa"/>
            <w:vAlign w:val="bottom"/>
          </w:tcPr>
          <w:p>
            <w:pPr>
              <w:jc w:val="center"/>
              <w:ind w:left="118"/>
              <w:spacing w:after="0"/>
              <w:rPr>
                <w:sz w:val="20"/>
                <w:szCs w:val="20"/>
                <w:color w:val="auto"/>
              </w:rPr>
            </w:pPr>
            <w:r>
              <w:rPr>
                <w:rFonts w:ascii="Arial" w:cs="Arial" w:eastAsia="Arial" w:hAnsi="Arial"/>
                <w:sz w:val="8"/>
                <w:szCs w:val="8"/>
                <w:b w:val="1"/>
                <w:bCs w:val="1"/>
                <w:color w:val="auto"/>
              </w:rPr>
              <w:t>7,709,186</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9,115,242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18.2%</w:t>
            </w:r>
          </w:p>
        </w:tc>
      </w:tr>
      <w:tr>
        <w:trPr>
          <w:trHeight w:val="21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Other income</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Fee income</w:t>
            </w:r>
          </w:p>
        </w:tc>
        <w:tc>
          <w:tcPr>
            <w:tcW w:w="920" w:type="dxa"/>
            <w:vAlign w:val="bottom"/>
          </w:tcPr>
          <w:p>
            <w:pPr>
              <w:jc w:val="center"/>
              <w:spacing w:after="0"/>
              <w:rPr>
                <w:sz w:val="20"/>
                <w:szCs w:val="20"/>
                <w:color w:val="auto"/>
              </w:rPr>
            </w:pPr>
            <w:r>
              <w:rPr>
                <w:rFonts w:ascii="Arial" w:cs="Arial" w:eastAsia="Arial" w:hAnsi="Arial"/>
                <w:sz w:val="8"/>
                <w:szCs w:val="8"/>
                <w:color w:val="auto"/>
              </w:rPr>
              <w:t>982,818</w:t>
            </w:r>
          </w:p>
        </w:tc>
        <w:tc>
          <w:tcPr>
            <w:tcW w:w="940" w:type="dxa"/>
            <w:vAlign w:val="bottom"/>
          </w:tcPr>
          <w:p>
            <w:pPr>
              <w:jc w:val="center"/>
              <w:spacing w:after="0"/>
              <w:rPr>
                <w:sz w:val="20"/>
                <w:szCs w:val="20"/>
                <w:color w:val="auto"/>
              </w:rPr>
            </w:pPr>
            <w:r>
              <w:rPr>
                <w:rFonts w:ascii="Arial" w:cs="Arial" w:eastAsia="Arial" w:hAnsi="Arial"/>
                <w:sz w:val="8"/>
                <w:szCs w:val="8"/>
                <w:color w:val="auto"/>
              </w:rPr>
              <w:t>1,024,553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1,063,032</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3.8%</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w w:val="98"/>
              </w:rPr>
              <w:t>8.2%</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2,786,611</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3,081,609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10.6%</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on foreign exchange transactions</w:t>
            </w:r>
          </w:p>
        </w:tc>
        <w:tc>
          <w:tcPr>
            <w:tcW w:w="920" w:type="dxa"/>
            <w:vAlign w:val="bottom"/>
          </w:tcPr>
          <w:p>
            <w:pPr>
              <w:jc w:val="center"/>
              <w:spacing w:after="0"/>
              <w:rPr>
                <w:sz w:val="20"/>
                <w:szCs w:val="20"/>
                <w:color w:val="auto"/>
              </w:rPr>
            </w:pPr>
            <w:r>
              <w:rPr>
                <w:rFonts w:ascii="Arial" w:cs="Arial" w:eastAsia="Arial" w:hAnsi="Arial"/>
                <w:sz w:val="8"/>
                <w:szCs w:val="8"/>
                <w:color w:val="auto"/>
              </w:rPr>
              <w:t>319,856</w:t>
            </w:r>
          </w:p>
        </w:tc>
        <w:tc>
          <w:tcPr>
            <w:tcW w:w="940" w:type="dxa"/>
            <w:vAlign w:val="bottom"/>
          </w:tcPr>
          <w:p>
            <w:pPr>
              <w:jc w:val="center"/>
              <w:spacing w:after="0"/>
              <w:rPr>
                <w:sz w:val="20"/>
                <w:szCs w:val="20"/>
                <w:color w:val="auto"/>
              </w:rPr>
            </w:pPr>
            <w:r>
              <w:rPr>
                <w:rFonts w:ascii="Arial" w:cs="Arial" w:eastAsia="Arial" w:hAnsi="Arial"/>
                <w:sz w:val="8"/>
                <w:szCs w:val="8"/>
                <w:color w:val="auto"/>
              </w:rPr>
              <w:t>377,016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394,572</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4.7%</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w w:val="96"/>
              </w:rPr>
              <w:t>23.4%</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974,575</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1,115,402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14.5%</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loss on securities</w:t>
            </w:r>
          </w:p>
        </w:tc>
        <w:tc>
          <w:tcPr>
            <w:tcW w:w="920" w:type="dxa"/>
            <w:vAlign w:val="bottom"/>
          </w:tcPr>
          <w:p>
            <w:pPr>
              <w:jc w:val="center"/>
              <w:spacing w:after="0"/>
              <w:rPr>
                <w:sz w:val="20"/>
                <w:szCs w:val="20"/>
                <w:color w:val="auto"/>
              </w:rPr>
            </w:pPr>
            <w:r>
              <w:rPr>
                <w:rFonts w:ascii="Arial" w:cs="Arial" w:eastAsia="Arial" w:hAnsi="Arial"/>
                <w:sz w:val="8"/>
                <w:szCs w:val="8"/>
                <w:color w:val="auto"/>
              </w:rPr>
              <w:t>120,033</w:t>
            </w:r>
          </w:p>
        </w:tc>
        <w:tc>
          <w:tcPr>
            <w:tcW w:w="940" w:type="dxa"/>
            <w:vAlign w:val="bottom"/>
          </w:tcPr>
          <w:p>
            <w:pPr>
              <w:jc w:val="center"/>
              <w:spacing w:after="0"/>
              <w:rPr>
                <w:sz w:val="20"/>
                <w:szCs w:val="20"/>
                <w:color w:val="auto"/>
              </w:rPr>
            </w:pPr>
            <w:r>
              <w:rPr>
                <w:rFonts w:ascii="Arial" w:cs="Arial" w:eastAsia="Arial" w:hAnsi="Arial"/>
                <w:sz w:val="8"/>
                <w:szCs w:val="8"/>
                <w:color w:val="auto"/>
              </w:rPr>
              <w:t>179,174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111,977</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-37.5%</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-6.7%</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274,489</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263,002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-4.2%</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from associates</w:t>
            </w:r>
          </w:p>
        </w:tc>
        <w:tc>
          <w:tcPr>
            <w:tcW w:w="920" w:type="dxa"/>
            <w:vAlign w:val="bottom"/>
          </w:tcPr>
          <w:p>
            <w:pPr>
              <w:jc w:val="center"/>
              <w:spacing w:after="0"/>
              <w:rPr>
                <w:sz w:val="20"/>
                <w:szCs w:val="20"/>
                <w:color w:val="auto"/>
              </w:rPr>
            </w:pPr>
            <w:r>
              <w:rPr>
                <w:rFonts w:ascii="Arial" w:cs="Arial" w:eastAsia="Arial" w:hAnsi="Arial"/>
                <w:sz w:val="8"/>
                <w:szCs w:val="8"/>
                <w:color w:val="auto"/>
              </w:rPr>
              <w:t>35,600</w:t>
            </w:r>
          </w:p>
        </w:tc>
        <w:tc>
          <w:tcPr>
            <w:tcW w:w="940" w:type="dxa"/>
            <w:vAlign w:val="bottom"/>
          </w:tcPr>
          <w:p>
            <w:pPr>
              <w:jc w:val="center"/>
              <w:spacing w:after="0"/>
              <w:rPr>
                <w:sz w:val="20"/>
                <w:szCs w:val="20"/>
                <w:color w:val="auto"/>
              </w:rPr>
            </w:pPr>
            <w:r>
              <w:rPr>
                <w:rFonts w:ascii="Arial" w:cs="Arial" w:eastAsia="Arial" w:hAnsi="Arial"/>
                <w:sz w:val="8"/>
                <w:szCs w:val="8"/>
                <w:color w:val="auto"/>
              </w:rPr>
              <w:t>6,556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5,192</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-20.8%</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-85.4%</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96,623</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35,816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-62.9%</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(loss) on derivatives held for trading</w:t>
            </w:r>
          </w:p>
        </w:tc>
        <w:tc>
          <w:tcPr>
            <w:tcW w:w="920" w:type="dxa"/>
            <w:vAlign w:val="bottom"/>
          </w:tcPr>
          <w:p>
            <w:pPr>
              <w:jc w:val="center"/>
              <w:spacing w:after="0"/>
              <w:rPr>
                <w:sz w:val="20"/>
                <w:szCs w:val="20"/>
                <w:color w:val="auto"/>
              </w:rPr>
            </w:pPr>
            <w:r>
              <w:rPr>
                <w:rFonts w:ascii="Arial" w:cs="Arial" w:eastAsia="Arial" w:hAnsi="Arial"/>
                <w:sz w:val="8"/>
                <w:szCs w:val="8"/>
                <w:color w:val="auto"/>
              </w:rPr>
              <w:t>(3,499)</w:t>
            </w:r>
          </w:p>
        </w:tc>
        <w:tc>
          <w:tcPr>
            <w:tcW w:w="940" w:type="dxa"/>
            <w:vAlign w:val="bottom"/>
          </w:tcPr>
          <w:p>
            <w:pPr>
              <w:jc w:val="center"/>
              <w:spacing w:after="0"/>
              <w:rPr>
                <w:sz w:val="20"/>
                <w:szCs w:val="20"/>
                <w:color w:val="auto"/>
              </w:rPr>
            </w:pPr>
            <w:r>
              <w:rPr>
                <w:rFonts w:ascii="Arial" w:cs="Arial" w:eastAsia="Arial" w:hAnsi="Arial"/>
                <w:sz w:val="8"/>
                <w:szCs w:val="8"/>
                <w:color w:val="auto"/>
                <w:w w:val="97"/>
              </w:rPr>
              <w:t>21,418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244</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-98.9%</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-107.0%</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78,233</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40,161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-48.7%</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(loss) from exchange differences</w:t>
            </w:r>
          </w:p>
        </w:tc>
        <w:tc>
          <w:tcPr>
            <w:tcW w:w="920" w:type="dxa"/>
            <w:vAlign w:val="bottom"/>
          </w:tcPr>
          <w:p>
            <w:pPr>
              <w:jc w:val="center"/>
              <w:spacing w:after="0"/>
              <w:rPr>
                <w:sz w:val="20"/>
                <w:szCs w:val="20"/>
                <w:color w:val="auto"/>
              </w:rPr>
            </w:pPr>
            <w:r>
              <w:rPr>
                <w:rFonts w:ascii="Arial" w:cs="Arial" w:eastAsia="Arial" w:hAnsi="Arial"/>
                <w:sz w:val="8"/>
                <w:szCs w:val="8"/>
                <w:color w:val="auto"/>
              </w:rPr>
              <w:t>(6,139)</w:t>
            </w:r>
          </w:p>
        </w:tc>
        <w:tc>
          <w:tcPr>
            <w:tcW w:w="940" w:type="dxa"/>
            <w:vAlign w:val="bottom"/>
          </w:tcPr>
          <w:p>
            <w:pPr>
              <w:jc w:val="center"/>
              <w:spacing w:after="0"/>
              <w:rPr>
                <w:sz w:val="20"/>
                <w:szCs w:val="20"/>
                <w:color w:val="auto"/>
              </w:rPr>
            </w:pPr>
            <w:r>
              <w:rPr>
                <w:rFonts w:ascii="Arial" w:cs="Arial" w:eastAsia="Arial" w:hAnsi="Arial"/>
                <w:sz w:val="8"/>
                <w:szCs w:val="8"/>
                <w:color w:val="auto"/>
                <w:w w:val="97"/>
              </w:rPr>
              <w:t>10,195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7,518</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-26.3%</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-222.5%</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(19,693)</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33,672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-271.0%</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Others</w:t>
            </w:r>
          </w:p>
        </w:tc>
        <w:tc>
          <w:tcPr>
            <w:tcW w:w="920" w:type="dxa"/>
            <w:vAlign w:val="bottom"/>
          </w:tcPr>
          <w:p>
            <w:pPr>
              <w:jc w:val="center"/>
              <w:spacing w:after="0"/>
              <w:rPr>
                <w:sz w:val="20"/>
                <w:szCs w:val="20"/>
                <w:color w:val="auto"/>
              </w:rPr>
            </w:pPr>
            <w:r>
              <w:rPr>
                <w:rFonts w:ascii="Arial" w:cs="Arial" w:eastAsia="Arial" w:hAnsi="Arial"/>
                <w:sz w:val="8"/>
                <w:szCs w:val="8"/>
                <w:color w:val="auto"/>
              </w:rPr>
              <w:t>96,675</w:t>
            </w:r>
          </w:p>
        </w:tc>
        <w:tc>
          <w:tcPr>
            <w:tcW w:w="940" w:type="dxa"/>
            <w:vAlign w:val="bottom"/>
          </w:tcPr>
          <w:p>
            <w:pPr>
              <w:jc w:val="center"/>
              <w:spacing w:after="0"/>
              <w:rPr>
                <w:sz w:val="20"/>
                <w:szCs w:val="20"/>
                <w:color w:val="auto"/>
              </w:rPr>
            </w:pPr>
            <w:r>
              <w:rPr>
                <w:rFonts w:ascii="Arial" w:cs="Arial" w:eastAsia="Arial" w:hAnsi="Arial"/>
                <w:sz w:val="8"/>
                <w:szCs w:val="8"/>
                <w:color w:val="auto"/>
                <w:w w:val="97"/>
              </w:rPr>
              <w:t>58,461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71,656</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22.6%</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-25.9%</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338,395</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452,118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33.6%</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b w:val="1"/>
                <w:bCs w:val="1"/>
                <w:color w:val="auto"/>
              </w:rPr>
              <w:t>Total other income</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1,545,344</w:t>
            </w:r>
          </w:p>
        </w:tc>
        <w:tc>
          <w:tcPr>
            <w:tcW w:w="940" w:type="dxa"/>
            <w:vAlign w:val="bottom"/>
          </w:tcPr>
          <w:p>
            <w:pPr>
              <w:jc w:val="center"/>
              <w:spacing w:after="0"/>
              <w:rPr>
                <w:sz w:val="20"/>
                <w:szCs w:val="20"/>
                <w:color w:val="auto"/>
              </w:rPr>
            </w:pPr>
            <w:r>
              <w:rPr>
                <w:rFonts w:ascii="Arial" w:cs="Arial" w:eastAsia="Arial" w:hAnsi="Arial"/>
                <w:sz w:val="8"/>
                <w:szCs w:val="8"/>
                <w:b w:val="1"/>
                <w:bCs w:val="1"/>
                <w:color w:val="auto"/>
              </w:rPr>
              <w:t>1,677,373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1,654,191</w:t>
            </w:r>
          </w:p>
        </w:tc>
        <w:tc>
          <w:tcPr>
            <w:tcW w:w="1180" w:type="dxa"/>
            <w:vAlign w:val="bottom"/>
          </w:tcPr>
          <w:p>
            <w:pPr>
              <w:jc w:val="center"/>
              <w:ind w:right="198"/>
              <w:spacing w:after="0"/>
              <w:rPr>
                <w:sz w:val="20"/>
                <w:szCs w:val="20"/>
                <w:color w:val="auto"/>
              </w:rPr>
            </w:pPr>
            <w:r>
              <w:rPr>
                <w:rFonts w:ascii="Arial" w:cs="Arial" w:eastAsia="Arial" w:hAnsi="Arial"/>
                <w:sz w:val="8"/>
                <w:szCs w:val="8"/>
                <w:b w:val="1"/>
                <w:bCs w:val="1"/>
                <w:color w:val="auto"/>
              </w:rPr>
              <w:t>-1.4%</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b w:val="1"/>
                <w:bCs w:val="1"/>
                <w:color w:val="auto"/>
                <w:w w:val="98"/>
              </w:rPr>
              <w:t>7.0%</w:t>
            </w:r>
          </w:p>
        </w:tc>
        <w:tc>
          <w:tcPr>
            <w:tcW w:w="740" w:type="dxa"/>
            <w:vAlign w:val="bottom"/>
          </w:tcPr>
          <w:p>
            <w:pPr>
              <w:jc w:val="center"/>
              <w:ind w:left="118"/>
              <w:spacing w:after="0"/>
              <w:rPr>
                <w:sz w:val="20"/>
                <w:szCs w:val="20"/>
                <w:color w:val="auto"/>
              </w:rPr>
            </w:pPr>
            <w:r>
              <w:rPr>
                <w:rFonts w:ascii="Arial" w:cs="Arial" w:eastAsia="Arial" w:hAnsi="Arial"/>
                <w:sz w:val="8"/>
                <w:szCs w:val="8"/>
                <w:b w:val="1"/>
                <w:bCs w:val="1"/>
                <w:color w:val="auto"/>
              </w:rPr>
              <w:t>4,529,233</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5,021,780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10.9%</w:t>
            </w:r>
          </w:p>
        </w:tc>
      </w:tr>
      <w:tr>
        <w:trPr>
          <w:trHeight w:val="10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Insurance underwriting result</w:t>
            </w: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Insurance Service Result</w:t>
            </w:r>
          </w:p>
        </w:tc>
        <w:tc>
          <w:tcPr>
            <w:tcW w:w="920" w:type="dxa"/>
            <w:vAlign w:val="bottom"/>
          </w:tcPr>
          <w:p>
            <w:pPr>
              <w:jc w:val="center"/>
              <w:spacing w:after="0"/>
              <w:rPr>
                <w:sz w:val="20"/>
                <w:szCs w:val="20"/>
                <w:color w:val="auto"/>
              </w:rPr>
            </w:pPr>
            <w:r>
              <w:rPr>
                <w:rFonts w:ascii="Arial" w:cs="Arial" w:eastAsia="Arial" w:hAnsi="Arial"/>
                <w:sz w:val="8"/>
                <w:szCs w:val="8"/>
                <w:color w:val="auto"/>
              </w:rPr>
              <w:t>419,805</w:t>
            </w:r>
          </w:p>
        </w:tc>
        <w:tc>
          <w:tcPr>
            <w:tcW w:w="940" w:type="dxa"/>
            <w:vAlign w:val="bottom"/>
          </w:tcPr>
          <w:p>
            <w:pPr>
              <w:jc w:val="center"/>
              <w:spacing w:after="0"/>
              <w:rPr>
                <w:sz w:val="20"/>
                <w:szCs w:val="20"/>
                <w:color w:val="auto"/>
              </w:rPr>
            </w:pPr>
            <w:r>
              <w:rPr>
                <w:rFonts w:ascii="Arial" w:cs="Arial" w:eastAsia="Arial" w:hAnsi="Arial"/>
                <w:sz w:val="8"/>
                <w:szCs w:val="8"/>
                <w:color w:val="auto"/>
              </w:rPr>
              <w:t>445,152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467,467</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5.0%</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w w:val="96"/>
              </w:rPr>
              <w:t>11.4%</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1,286,468</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1,328,725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3.3%</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Reinsurance Result</w:t>
            </w:r>
          </w:p>
        </w:tc>
        <w:tc>
          <w:tcPr>
            <w:tcW w:w="920" w:type="dxa"/>
            <w:vAlign w:val="bottom"/>
          </w:tcPr>
          <w:p>
            <w:pPr>
              <w:jc w:val="center"/>
              <w:spacing w:after="0"/>
              <w:rPr>
                <w:sz w:val="20"/>
                <w:szCs w:val="20"/>
                <w:color w:val="auto"/>
              </w:rPr>
            </w:pPr>
            <w:r>
              <w:rPr>
                <w:rFonts w:ascii="Arial" w:cs="Arial" w:eastAsia="Arial" w:hAnsi="Arial"/>
                <w:sz w:val="8"/>
                <w:szCs w:val="8"/>
                <w:color w:val="auto"/>
              </w:rPr>
              <w:t>(128,029)</w:t>
            </w:r>
          </w:p>
        </w:tc>
        <w:tc>
          <w:tcPr>
            <w:tcW w:w="940" w:type="dxa"/>
            <w:vAlign w:val="bottom"/>
          </w:tcPr>
          <w:p>
            <w:pPr>
              <w:jc w:val="center"/>
              <w:spacing w:after="0"/>
              <w:rPr>
                <w:sz w:val="20"/>
                <w:szCs w:val="20"/>
                <w:color w:val="auto"/>
              </w:rPr>
            </w:pPr>
            <w:r>
              <w:rPr>
                <w:rFonts w:ascii="Arial" w:cs="Arial" w:eastAsia="Arial" w:hAnsi="Arial"/>
                <w:sz w:val="8"/>
                <w:szCs w:val="8"/>
                <w:color w:val="auto"/>
              </w:rPr>
              <w:t>(94,279)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(79,117)</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-16.1%</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-38.2%</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(400,130)</w:t>
            </w:r>
          </w:p>
        </w:tc>
        <w:tc>
          <w:tcPr>
            <w:tcW w:w="1140" w:type="dxa"/>
            <w:vAlign w:val="bottom"/>
            <w:tcBorders>
              <w:right w:val="single" w:sz="8" w:color="auto"/>
            </w:tcBorders>
          </w:tcPr>
          <w:p>
            <w:pPr>
              <w:jc w:val="center"/>
              <w:ind w:left="98"/>
              <w:spacing w:after="0"/>
              <w:rPr>
                <w:sz w:val="20"/>
                <w:szCs w:val="20"/>
                <w:color w:val="auto"/>
              </w:rPr>
            </w:pPr>
            <w:r>
              <w:rPr>
                <w:rFonts w:ascii="Arial" w:cs="Arial" w:eastAsia="Arial" w:hAnsi="Arial"/>
                <w:sz w:val="8"/>
                <w:szCs w:val="8"/>
                <w:color w:val="auto"/>
              </w:rPr>
              <w:t>(260,368)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-34.9%</w:t>
            </w:r>
          </w:p>
        </w:tc>
      </w:tr>
      <w:tr>
        <w:trPr>
          <w:trHeight w:val="114"/>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b w:val="1"/>
                <w:bCs w:val="1"/>
                <w:color w:val="auto"/>
              </w:rPr>
              <w:t>Total insurance underwriting result</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291,776</w:t>
            </w:r>
          </w:p>
        </w:tc>
        <w:tc>
          <w:tcPr>
            <w:tcW w:w="940" w:type="dxa"/>
            <w:vAlign w:val="bottom"/>
          </w:tcPr>
          <w:p>
            <w:pPr>
              <w:jc w:val="center"/>
              <w:spacing w:after="0"/>
              <w:rPr>
                <w:sz w:val="20"/>
                <w:szCs w:val="20"/>
                <w:color w:val="auto"/>
              </w:rPr>
            </w:pPr>
            <w:r>
              <w:rPr>
                <w:rFonts w:ascii="Arial" w:cs="Arial" w:eastAsia="Arial" w:hAnsi="Arial"/>
                <w:sz w:val="8"/>
                <w:szCs w:val="8"/>
                <w:b w:val="1"/>
                <w:bCs w:val="1"/>
                <w:color w:val="auto"/>
              </w:rPr>
              <w:t>350,873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388,350</w:t>
            </w:r>
          </w:p>
        </w:tc>
        <w:tc>
          <w:tcPr>
            <w:tcW w:w="1180" w:type="dxa"/>
            <w:vAlign w:val="bottom"/>
          </w:tcPr>
          <w:p>
            <w:pPr>
              <w:jc w:val="center"/>
              <w:ind w:right="218"/>
              <w:spacing w:after="0"/>
              <w:rPr>
                <w:sz w:val="20"/>
                <w:szCs w:val="20"/>
                <w:color w:val="auto"/>
              </w:rPr>
            </w:pPr>
            <w:r>
              <w:rPr>
                <w:rFonts w:ascii="Arial" w:cs="Arial" w:eastAsia="Arial" w:hAnsi="Arial"/>
                <w:sz w:val="8"/>
                <w:szCs w:val="8"/>
                <w:b w:val="1"/>
                <w:bCs w:val="1"/>
                <w:color w:val="auto"/>
              </w:rPr>
              <w:t>10.7%</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b w:val="1"/>
                <w:bCs w:val="1"/>
                <w:color w:val="auto"/>
                <w:w w:val="96"/>
              </w:rPr>
              <w:t>33.1%</w:t>
            </w:r>
          </w:p>
        </w:tc>
        <w:tc>
          <w:tcPr>
            <w:tcW w:w="740" w:type="dxa"/>
            <w:vAlign w:val="bottom"/>
          </w:tcPr>
          <w:p>
            <w:pPr>
              <w:jc w:val="center"/>
              <w:ind w:left="118"/>
              <w:spacing w:after="0"/>
              <w:rPr>
                <w:sz w:val="20"/>
                <w:szCs w:val="20"/>
                <w:color w:val="auto"/>
              </w:rPr>
            </w:pPr>
            <w:r>
              <w:rPr>
                <w:rFonts w:ascii="Arial" w:cs="Arial" w:eastAsia="Arial" w:hAnsi="Arial"/>
                <w:sz w:val="8"/>
                <w:szCs w:val="8"/>
                <w:b w:val="1"/>
                <w:bCs w:val="1"/>
                <w:color w:val="auto"/>
              </w:rPr>
              <w:t>886,338</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1,068,357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20.5%</w:t>
            </w:r>
          </w:p>
        </w:tc>
      </w:tr>
      <w:tr>
        <w:trPr>
          <w:trHeight w:val="21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Medical services result</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Sales of medical services</w:t>
            </w:r>
          </w:p>
        </w:tc>
        <w:tc>
          <w:tcPr>
            <w:tcW w:w="920" w:type="dxa"/>
            <w:vAlign w:val="bottom"/>
          </w:tcPr>
          <w:p>
            <w:pPr>
              <w:jc w:val="center"/>
              <w:spacing w:after="0"/>
              <w:rPr>
                <w:sz w:val="20"/>
                <w:szCs w:val="20"/>
                <w:color w:val="auto"/>
              </w:rPr>
            </w:pPr>
            <w:r>
              <w:rPr>
                <w:rFonts w:ascii="Arial" w:cs="Arial" w:eastAsia="Arial" w:hAnsi="Arial"/>
                <w:sz w:val="8"/>
                <w:szCs w:val="8"/>
                <w:color w:val="auto"/>
              </w:rPr>
              <w:t>-</w:t>
            </w:r>
          </w:p>
        </w:tc>
        <w:tc>
          <w:tcPr>
            <w:tcW w:w="940" w:type="dxa"/>
            <w:vAlign w:val="bottom"/>
          </w:tcPr>
          <w:p>
            <w:pPr>
              <w:jc w:val="center"/>
              <w:spacing w:after="0"/>
              <w:rPr>
                <w:sz w:val="20"/>
                <w:szCs w:val="20"/>
                <w:color w:val="auto"/>
              </w:rPr>
            </w:pPr>
            <w:r>
              <w:rPr>
                <w:rFonts w:ascii="Arial" w:cs="Arial" w:eastAsia="Arial" w:hAnsi="Arial"/>
                <w:sz w:val="8"/>
                <w:szCs w:val="8"/>
                <w:color w:val="auto"/>
              </w:rPr>
              <w:t>473,746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421,360</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-11.1%</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n.a.</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973,227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n.a.</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Cost of sales of medical services</w:t>
            </w:r>
          </w:p>
        </w:tc>
        <w:tc>
          <w:tcPr>
            <w:tcW w:w="920" w:type="dxa"/>
            <w:vAlign w:val="bottom"/>
          </w:tcPr>
          <w:p>
            <w:pPr>
              <w:jc w:val="center"/>
              <w:spacing w:after="0"/>
              <w:rPr>
                <w:sz w:val="20"/>
                <w:szCs w:val="20"/>
                <w:color w:val="auto"/>
              </w:rPr>
            </w:pPr>
            <w:r>
              <w:rPr>
                <w:rFonts w:ascii="Arial" w:cs="Arial" w:eastAsia="Arial" w:hAnsi="Arial"/>
                <w:sz w:val="8"/>
                <w:szCs w:val="8"/>
                <w:color w:val="auto"/>
              </w:rPr>
              <w:t>-</w:t>
            </w:r>
          </w:p>
        </w:tc>
        <w:tc>
          <w:tcPr>
            <w:tcW w:w="940" w:type="dxa"/>
            <w:vAlign w:val="bottom"/>
          </w:tcPr>
          <w:p>
            <w:pPr>
              <w:jc w:val="center"/>
              <w:spacing w:after="0"/>
              <w:rPr>
                <w:sz w:val="20"/>
                <w:szCs w:val="20"/>
                <w:color w:val="auto"/>
              </w:rPr>
            </w:pPr>
            <w:r>
              <w:rPr>
                <w:rFonts w:ascii="Arial" w:cs="Arial" w:eastAsia="Arial" w:hAnsi="Arial"/>
                <w:sz w:val="8"/>
                <w:szCs w:val="8"/>
                <w:color w:val="auto"/>
              </w:rPr>
              <w:t>(350,427)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(297,407)</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-15.1%</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n.a.</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w:t>
            </w:r>
          </w:p>
        </w:tc>
        <w:tc>
          <w:tcPr>
            <w:tcW w:w="1140" w:type="dxa"/>
            <w:vAlign w:val="bottom"/>
            <w:tcBorders>
              <w:right w:val="single" w:sz="8" w:color="auto"/>
            </w:tcBorders>
          </w:tcPr>
          <w:p>
            <w:pPr>
              <w:jc w:val="center"/>
              <w:ind w:left="98"/>
              <w:spacing w:after="0"/>
              <w:rPr>
                <w:sz w:val="20"/>
                <w:szCs w:val="20"/>
                <w:color w:val="auto"/>
              </w:rPr>
            </w:pPr>
            <w:r>
              <w:rPr>
                <w:rFonts w:ascii="Arial" w:cs="Arial" w:eastAsia="Arial" w:hAnsi="Arial"/>
                <w:sz w:val="8"/>
                <w:szCs w:val="8"/>
                <w:color w:val="auto"/>
              </w:rPr>
              <w:t>(683,266)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n.a.</w:t>
            </w:r>
          </w:p>
        </w:tc>
      </w:tr>
      <w:tr>
        <w:trPr>
          <w:trHeight w:val="114"/>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Total medical services result</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w:t>
            </w:r>
          </w:p>
        </w:tc>
        <w:tc>
          <w:tcPr>
            <w:tcW w:w="940" w:type="dxa"/>
            <w:vAlign w:val="bottom"/>
          </w:tcPr>
          <w:p>
            <w:pPr>
              <w:jc w:val="center"/>
              <w:spacing w:after="0"/>
              <w:rPr>
                <w:sz w:val="20"/>
                <w:szCs w:val="20"/>
                <w:color w:val="auto"/>
              </w:rPr>
            </w:pPr>
            <w:r>
              <w:rPr>
                <w:rFonts w:ascii="Arial" w:cs="Arial" w:eastAsia="Arial" w:hAnsi="Arial"/>
                <w:sz w:val="8"/>
                <w:szCs w:val="8"/>
                <w:b w:val="1"/>
                <w:bCs w:val="1"/>
                <w:color w:val="auto"/>
              </w:rPr>
              <w:t>123,319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123,953</w:t>
            </w:r>
          </w:p>
        </w:tc>
        <w:tc>
          <w:tcPr>
            <w:tcW w:w="1180" w:type="dxa"/>
            <w:vAlign w:val="bottom"/>
          </w:tcPr>
          <w:p>
            <w:pPr>
              <w:jc w:val="center"/>
              <w:ind w:right="218"/>
              <w:spacing w:after="0"/>
              <w:rPr>
                <w:sz w:val="20"/>
                <w:szCs w:val="20"/>
                <w:color w:val="auto"/>
              </w:rPr>
            </w:pPr>
            <w:r>
              <w:rPr>
                <w:rFonts w:ascii="Arial" w:cs="Arial" w:eastAsia="Arial" w:hAnsi="Arial"/>
                <w:sz w:val="8"/>
                <w:szCs w:val="8"/>
                <w:b w:val="1"/>
                <w:bCs w:val="1"/>
                <w:color w:val="auto"/>
              </w:rPr>
              <w:t>0.5%</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b w:val="1"/>
                <w:bCs w:val="1"/>
                <w:color w:val="auto"/>
              </w:rPr>
              <w:t>n.a.</w:t>
            </w:r>
          </w:p>
        </w:tc>
        <w:tc>
          <w:tcPr>
            <w:tcW w:w="740" w:type="dxa"/>
            <w:vAlign w:val="bottom"/>
          </w:tcPr>
          <w:p>
            <w:pPr>
              <w:jc w:val="center"/>
              <w:ind w:left="138"/>
              <w:spacing w:after="0"/>
              <w:rPr>
                <w:sz w:val="20"/>
                <w:szCs w:val="20"/>
                <w:color w:val="auto"/>
              </w:rPr>
            </w:pPr>
            <w:r>
              <w:rPr>
                <w:rFonts w:ascii="Arial" w:cs="Arial" w:eastAsia="Arial" w:hAnsi="Arial"/>
                <w:sz w:val="8"/>
                <w:szCs w:val="8"/>
                <w:b w:val="1"/>
                <w:bCs w:val="1"/>
                <w:color w:val="auto"/>
              </w:rPr>
              <w:t>-</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289,961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n.a.</w:t>
            </w:r>
          </w:p>
        </w:tc>
      </w:tr>
      <w:tr>
        <w:trPr>
          <w:trHeight w:val="21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Total Expenses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Salaries and employee benefits</w:t>
            </w:r>
          </w:p>
        </w:tc>
        <w:tc>
          <w:tcPr>
            <w:tcW w:w="920" w:type="dxa"/>
            <w:vAlign w:val="bottom"/>
          </w:tcPr>
          <w:p>
            <w:pPr>
              <w:jc w:val="center"/>
              <w:spacing w:after="0"/>
              <w:rPr>
                <w:sz w:val="20"/>
                <w:szCs w:val="20"/>
                <w:color w:val="auto"/>
              </w:rPr>
            </w:pPr>
            <w:r>
              <w:rPr>
                <w:rFonts w:ascii="Arial" w:cs="Arial" w:eastAsia="Arial" w:hAnsi="Arial"/>
                <w:sz w:val="8"/>
                <w:szCs w:val="8"/>
                <w:color w:val="auto"/>
              </w:rPr>
              <w:t>(1,155,966)</w:t>
            </w:r>
          </w:p>
        </w:tc>
        <w:tc>
          <w:tcPr>
            <w:tcW w:w="940" w:type="dxa"/>
            <w:vAlign w:val="bottom"/>
          </w:tcPr>
          <w:p>
            <w:pPr>
              <w:jc w:val="center"/>
              <w:spacing w:after="0"/>
              <w:rPr>
                <w:sz w:val="20"/>
                <w:szCs w:val="20"/>
                <w:color w:val="auto"/>
              </w:rPr>
            </w:pPr>
            <w:r>
              <w:rPr>
                <w:rFonts w:ascii="Arial" w:cs="Arial" w:eastAsia="Arial" w:hAnsi="Arial"/>
                <w:sz w:val="8"/>
                <w:szCs w:val="8"/>
                <w:color w:val="auto"/>
              </w:rPr>
              <w:t>(1,304,466)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(1,341,137)</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2.8%</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w w:val="96"/>
              </w:rPr>
              <w:t>16.0%</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(3,404,858)</w:t>
            </w:r>
          </w:p>
        </w:tc>
        <w:tc>
          <w:tcPr>
            <w:tcW w:w="1140" w:type="dxa"/>
            <w:vAlign w:val="bottom"/>
            <w:tcBorders>
              <w:right w:val="single" w:sz="8" w:color="auto"/>
            </w:tcBorders>
          </w:tcPr>
          <w:p>
            <w:pPr>
              <w:jc w:val="center"/>
              <w:ind w:left="98"/>
              <w:spacing w:after="0"/>
              <w:rPr>
                <w:sz w:val="20"/>
                <w:szCs w:val="20"/>
                <w:color w:val="auto"/>
              </w:rPr>
            </w:pPr>
            <w:r>
              <w:rPr>
                <w:rFonts w:ascii="Arial" w:cs="Arial" w:eastAsia="Arial" w:hAnsi="Arial"/>
                <w:sz w:val="8"/>
                <w:szCs w:val="8"/>
                <w:color w:val="auto"/>
              </w:rPr>
              <w:t>(4,007,293)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17.7%</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Administrative, general and tax expenses</w:t>
            </w:r>
          </w:p>
        </w:tc>
        <w:tc>
          <w:tcPr>
            <w:tcW w:w="920" w:type="dxa"/>
            <w:vAlign w:val="bottom"/>
          </w:tcPr>
          <w:p>
            <w:pPr>
              <w:jc w:val="center"/>
              <w:spacing w:after="0"/>
              <w:rPr>
                <w:sz w:val="20"/>
                <w:szCs w:val="20"/>
                <w:color w:val="auto"/>
              </w:rPr>
            </w:pPr>
            <w:r>
              <w:rPr>
                <w:rFonts w:ascii="Arial" w:cs="Arial" w:eastAsia="Arial" w:hAnsi="Arial"/>
                <w:sz w:val="8"/>
                <w:szCs w:val="8"/>
                <w:color w:val="auto"/>
              </w:rPr>
              <w:t>(971,449)</w:t>
            </w:r>
          </w:p>
        </w:tc>
        <w:tc>
          <w:tcPr>
            <w:tcW w:w="940" w:type="dxa"/>
            <w:vAlign w:val="bottom"/>
          </w:tcPr>
          <w:p>
            <w:pPr>
              <w:jc w:val="center"/>
              <w:spacing w:after="0"/>
              <w:rPr>
                <w:sz w:val="20"/>
                <w:szCs w:val="20"/>
                <w:color w:val="auto"/>
              </w:rPr>
            </w:pPr>
            <w:r>
              <w:rPr>
                <w:rFonts w:ascii="Arial" w:cs="Arial" w:eastAsia="Arial" w:hAnsi="Arial"/>
                <w:sz w:val="8"/>
                <w:szCs w:val="8"/>
                <w:color w:val="auto"/>
              </w:rPr>
              <w:t>(965,994)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(1,068,459)</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10.6%</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w w:val="96"/>
              </w:rPr>
              <w:t>10.0%</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(2,740,755)</w:t>
            </w:r>
          </w:p>
        </w:tc>
        <w:tc>
          <w:tcPr>
            <w:tcW w:w="1140" w:type="dxa"/>
            <w:vAlign w:val="bottom"/>
            <w:tcBorders>
              <w:right w:val="single" w:sz="8" w:color="auto"/>
            </w:tcBorders>
          </w:tcPr>
          <w:p>
            <w:pPr>
              <w:jc w:val="center"/>
              <w:ind w:left="98"/>
              <w:spacing w:after="0"/>
              <w:rPr>
                <w:sz w:val="20"/>
                <w:szCs w:val="20"/>
                <w:color w:val="auto"/>
              </w:rPr>
            </w:pPr>
            <w:r>
              <w:rPr>
                <w:rFonts w:ascii="Arial" w:cs="Arial" w:eastAsia="Arial" w:hAnsi="Arial"/>
                <w:sz w:val="8"/>
                <w:szCs w:val="8"/>
                <w:color w:val="auto"/>
              </w:rPr>
              <w:t>(2,904,287)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6.0%</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Depreciation and amortization</w:t>
            </w:r>
          </w:p>
        </w:tc>
        <w:tc>
          <w:tcPr>
            <w:tcW w:w="920" w:type="dxa"/>
            <w:vAlign w:val="bottom"/>
          </w:tcPr>
          <w:p>
            <w:pPr>
              <w:jc w:val="center"/>
              <w:spacing w:after="0"/>
              <w:rPr>
                <w:sz w:val="20"/>
                <w:szCs w:val="20"/>
                <w:color w:val="auto"/>
              </w:rPr>
            </w:pPr>
            <w:r>
              <w:rPr>
                <w:rFonts w:ascii="Arial" w:cs="Arial" w:eastAsia="Arial" w:hAnsi="Arial"/>
                <w:sz w:val="8"/>
                <w:szCs w:val="8"/>
                <w:color w:val="auto"/>
              </w:rPr>
              <w:t>(179,495)</w:t>
            </w:r>
          </w:p>
        </w:tc>
        <w:tc>
          <w:tcPr>
            <w:tcW w:w="940" w:type="dxa"/>
            <w:vAlign w:val="bottom"/>
          </w:tcPr>
          <w:p>
            <w:pPr>
              <w:jc w:val="center"/>
              <w:spacing w:after="0"/>
              <w:rPr>
                <w:sz w:val="20"/>
                <w:szCs w:val="20"/>
                <w:color w:val="auto"/>
              </w:rPr>
            </w:pPr>
            <w:r>
              <w:rPr>
                <w:rFonts w:ascii="Arial" w:cs="Arial" w:eastAsia="Arial" w:hAnsi="Arial"/>
                <w:sz w:val="8"/>
                <w:szCs w:val="8"/>
                <w:color w:val="auto"/>
              </w:rPr>
              <w:t>(212,662)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(219,800)</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3.4%</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w w:val="96"/>
              </w:rPr>
              <w:t>22.5%</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(526,845)</w:t>
            </w:r>
          </w:p>
        </w:tc>
        <w:tc>
          <w:tcPr>
            <w:tcW w:w="1140" w:type="dxa"/>
            <w:vAlign w:val="bottom"/>
            <w:tcBorders>
              <w:right w:val="single" w:sz="8" w:color="auto"/>
            </w:tcBorders>
          </w:tcPr>
          <w:p>
            <w:pPr>
              <w:jc w:val="center"/>
              <w:ind w:left="98"/>
              <w:spacing w:after="0"/>
              <w:rPr>
                <w:sz w:val="20"/>
                <w:szCs w:val="20"/>
                <w:color w:val="auto"/>
              </w:rPr>
            </w:pPr>
            <w:r>
              <w:rPr>
                <w:rFonts w:ascii="Arial" w:cs="Arial" w:eastAsia="Arial" w:hAnsi="Arial"/>
                <w:sz w:val="8"/>
                <w:szCs w:val="8"/>
                <w:color w:val="auto"/>
              </w:rPr>
              <w:t>(636,228)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20.8%</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Impairment loss on goodwill</w:t>
            </w:r>
          </w:p>
        </w:tc>
        <w:tc>
          <w:tcPr>
            <w:tcW w:w="920" w:type="dxa"/>
            <w:vAlign w:val="bottom"/>
          </w:tcPr>
          <w:p>
            <w:pPr>
              <w:jc w:val="center"/>
              <w:spacing w:after="0"/>
              <w:rPr>
                <w:sz w:val="20"/>
                <w:szCs w:val="20"/>
                <w:color w:val="auto"/>
              </w:rPr>
            </w:pPr>
            <w:r>
              <w:rPr>
                <w:rFonts w:ascii="Arial" w:cs="Arial" w:eastAsia="Arial" w:hAnsi="Arial"/>
                <w:sz w:val="8"/>
                <w:szCs w:val="8"/>
                <w:color w:val="auto"/>
              </w:rPr>
              <w:t>(23,046)</w:t>
            </w:r>
          </w:p>
        </w:tc>
        <w:tc>
          <w:tcPr>
            <w:tcW w:w="940" w:type="dxa"/>
            <w:vAlign w:val="bottom"/>
          </w:tcPr>
          <w:p>
            <w:pPr>
              <w:jc w:val="center"/>
              <w:spacing w:after="0"/>
              <w:rPr>
                <w:sz w:val="20"/>
                <w:szCs w:val="20"/>
                <w:color w:val="auto"/>
              </w:rPr>
            </w:pPr>
            <w:r>
              <w:rPr>
                <w:rFonts w:ascii="Arial" w:cs="Arial" w:eastAsia="Arial" w:hAnsi="Arial"/>
                <w:sz w:val="8"/>
                <w:szCs w:val="8"/>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w:t>
            </w:r>
          </w:p>
        </w:tc>
        <w:tc>
          <w:tcPr>
            <w:tcW w:w="1180" w:type="dxa"/>
            <w:vAlign w:val="bottom"/>
          </w:tcPr>
          <w:p>
            <w:pPr>
              <w:jc w:val="center"/>
              <w:ind w:right="238"/>
              <w:spacing w:after="0"/>
              <w:rPr>
                <w:sz w:val="20"/>
                <w:szCs w:val="20"/>
                <w:color w:val="auto"/>
              </w:rPr>
            </w:pPr>
            <w:r>
              <w:rPr>
                <w:rFonts w:ascii="Arial" w:cs="Arial" w:eastAsia="Arial" w:hAnsi="Arial"/>
                <w:sz w:val="8"/>
                <w:szCs w:val="8"/>
                <w:color w:val="auto"/>
              </w:rPr>
              <w:t>n.a.</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-100.0%</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(23,046)</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w w:val="73"/>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-100.0%</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Association in participation</w:t>
            </w:r>
          </w:p>
        </w:tc>
        <w:tc>
          <w:tcPr>
            <w:tcW w:w="920" w:type="dxa"/>
            <w:vAlign w:val="bottom"/>
          </w:tcPr>
          <w:p>
            <w:pPr>
              <w:jc w:val="center"/>
              <w:spacing w:after="0"/>
              <w:rPr>
                <w:sz w:val="20"/>
                <w:szCs w:val="20"/>
                <w:color w:val="auto"/>
              </w:rPr>
            </w:pPr>
            <w:r>
              <w:rPr>
                <w:rFonts w:ascii="Arial" w:cs="Arial" w:eastAsia="Arial" w:hAnsi="Arial"/>
                <w:sz w:val="8"/>
                <w:szCs w:val="8"/>
                <w:color w:val="auto"/>
              </w:rPr>
              <w:t>(6,414)</w:t>
            </w:r>
          </w:p>
        </w:tc>
        <w:tc>
          <w:tcPr>
            <w:tcW w:w="940" w:type="dxa"/>
            <w:vAlign w:val="bottom"/>
          </w:tcPr>
          <w:p>
            <w:pPr>
              <w:jc w:val="center"/>
              <w:spacing w:after="0"/>
              <w:rPr>
                <w:sz w:val="20"/>
                <w:szCs w:val="20"/>
                <w:color w:val="auto"/>
              </w:rPr>
            </w:pPr>
            <w:r>
              <w:rPr>
                <w:rFonts w:ascii="Arial" w:cs="Arial" w:eastAsia="Arial" w:hAnsi="Arial"/>
                <w:sz w:val="8"/>
                <w:szCs w:val="8"/>
                <w:color w:val="auto"/>
              </w:rPr>
              <w:t>(371)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(65)</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-82.5%</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-99.0%</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(24,461)</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(7,235)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-70.4%</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Other expenses</w:t>
            </w:r>
          </w:p>
        </w:tc>
        <w:tc>
          <w:tcPr>
            <w:tcW w:w="920" w:type="dxa"/>
            <w:vAlign w:val="bottom"/>
          </w:tcPr>
          <w:p>
            <w:pPr>
              <w:jc w:val="center"/>
              <w:spacing w:after="0"/>
              <w:rPr>
                <w:sz w:val="20"/>
                <w:szCs w:val="20"/>
                <w:color w:val="auto"/>
              </w:rPr>
            </w:pPr>
            <w:r>
              <w:rPr>
                <w:rFonts w:ascii="Arial" w:cs="Arial" w:eastAsia="Arial" w:hAnsi="Arial"/>
                <w:sz w:val="8"/>
                <w:szCs w:val="8"/>
                <w:color w:val="auto"/>
              </w:rPr>
              <w:t>(111,859)</w:t>
            </w:r>
          </w:p>
        </w:tc>
        <w:tc>
          <w:tcPr>
            <w:tcW w:w="940" w:type="dxa"/>
            <w:vAlign w:val="bottom"/>
          </w:tcPr>
          <w:p>
            <w:pPr>
              <w:jc w:val="center"/>
              <w:spacing w:after="0"/>
              <w:rPr>
                <w:sz w:val="20"/>
                <w:szCs w:val="20"/>
                <w:color w:val="auto"/>
              </w:rPr>
            </w:pPr>
            <w:r>
              <w:rPr>
                <w:rFonts w:ascii="Arial" w:cs="Arial" w:eastAsia="Arial" w:hAnsi="Arial"/>
                <w:sz w:val="8"/>
                <w:szCs w:val="8"/>
                <w:color w:val="auto"/>
              </w:rPr>
              <w:t>(146,817)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(115,181)</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-21.5%</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w w:val="98"/>
              </w:rPr>
              <w:t>3.0%</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(335,951)</w:t>
            </w:r>
          </w:p>
        </w:tc>
        <w:tc>
          <w:tcPr>
            <w:tcW w:w="1140" w:type="dxa"/>
            <w:vAlign w:val="bottom"/>
            <w:tcBorders>
              <w:right w:val="single" w:sz="8" w:color="auto"/>
            </w:tcBorders>
          </w:tcPr>
          <w:p>
            <w:pPr>
              <w:jc w:val="center"/>
              <w:ind w:left="98"/>
              <w:spacing w:after="0"/>
              <w:rPr>
                <w:sz w:val="20"/>
                <w:szCs w:val="20"/>
                <w:color w:val="auto"/>
              </w:rPr>
            </w:pPr>
            <w:r>
              <w:rPr>
                <w:rFonts w:ascii="Arial" w:cs="Arial" w:eastAsia="Arial" w:hAnsi="Arial"/>
                <w:sz w:val="8"/>
                <w:szCs w:val="8"/>
                <w:color w:val="auto"/>
              </w:rPr>
              <w:t>(352,783)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5.0%</w:t>
            </w:r>
          </w:p>
        </w:tc>
      </w:tr>
      <w:tr>
        <w:trPr>
          <w:trHeight w:val="114"/>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b w:val="1"/>
                <w:bCs w:val="1"/>
                <w:color w:val="auto"/>
              </w:rPr>
              <w:t>Total expenses</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(2,448,229)</w:t>
            </w:r>
          </w:p>
        </w:tc>
        <w:tc>
          <w:tcPr>
            <w:tcW w:w="940" w:type="dxa"/>
            <w:vAlign w:val="bottom"/>
          </w:tcPr>
          <w:p>
            <w:pPr>
              <w:jc w:val="center"/>
              <w:spacing w:after="0"/>
              <w:rPr>
                <w:sz w:val="20"/>
                <w:szCs w:val="20"/>
                <w:color w:val="auto"/>
              </w:rPr>
            </w:pPr>
            <w:r>
              <w:rPr>
                <w:rFonts w:ascii="Arial" w:cs="Arial" w:eastAsia="Arial" w:hAnsi="Arial"/>
                <w:sz w:val="8"/>
                <w:szCs w:val="8"/>
                <w:b w:val="1"/>
                <w:bCs w:val="1"/>
                <w:color w:val="auto"/>
              </w:rPr>
              <w:t>(2,630,310)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(2,744,642)</w:t>
            </w:r>
          </w:p>
        </w:tc>
        <w:tc>
          <w:tcPr>
            <w:tcW w:w="1180" w:type="dxa"/>
            <w:vAlign w:val="bottom"/>
          </w:tcPr>
          <w:p>
            <w:pPr>
              <w:jc w:val="center"/>
              <w:ind w:right="218"/>
              <w:spacing w:after="0"/>
              <w:rPr>
                <w:sz w:val="20"/>
                <w:szCs w:val="20"/>
                <w:color w:val="auto"/>
              </w:rPr>
            </w:pPr>
            <w:r>
              <w:rPr>
                <w:rFonts w:ascii="Arial" w:cs="Arial" w:eastAsia="Arial" w:hAnsi="Arial"/>
                <w:sz w:val="8"/>
                <w:szCs w:val="8"/>
                <w:b w:val="1"/>
                <w:bCs w:val="1"/>
                <w:color w:val="auto"/>
              </w:rPr>
              <w:t>4.3%</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b w:val="1"/>
                <w:bCs w:val="1"/>
                <w:color w:val="auto"/>
                <w:w w:val="96"/>
              </w:rPr>
              <w:t>12.1%</w:t>
            </w:r>
          </w:p>
        </w:tc>
        <w:tc>
          <w:tcPr>
            <w:tcW w:w="740" w:type="dxa"/>
            <w:vAlign w:val="bottom"/>
          </w:tcPr>
          <w:p>
            <w:pPr>
              <w:jc w:val="center"/>
              <w:ind w:left="118"/>
              <w:spacing w:after="0"/>
              <w:rPr>
                <w:sz w:val="20"/>
                <w:szCs w:val="20"/>
                <w:color w:val="auto"/>
              </w:rPr>
            </w:pPr>
            <w:r>
              <w:rPr>
                <w:rFonts w:ascii="Arial" w:cs="Arial" w:eastAsia="Arial" w:hAnsi="Arial"/>
                <w:sz w:val="8"/>
                <w:szCs w:val="8"/>
                <w:b w:val="1"/>
                <w:bCs w:val="1"/>
                <w:color w:val="auto"/>
              </w:rPr>
              <w:t>(7,055,916)</w:t>
            </w:r>
          </w:p>
        </w:tc>
        <w:tc>
          <w:tcPr>
            <w:tcW w:w="1140" w:type="dxa"/>
            <w:vAlign w:val="bottom"/>
            <w:tcBorders>
              <w:right w:val="single" w:sz="8" w:color="auto"/>
            </w:tcBorders>
          </w:tcPr>
          <w:p>
            <w:pPr>
              <w:jc w:val="center"/>
              <w:ind w:left="98"/>
              <w:spacing w:after="0"/>
              <w:rPr>
                <w:sz w:val="20"/>
                <w:szCs w:val="20"/>
                <w:color w:val="auto"/>
              </w:rPr>
            </w:pPr>
            <w:r>
              <w:rPr>
                <w:rFonts w:ascii="Arial" w:cs="Arial" w:eastAsia="Arial" w:hAnsi="Arial"/>
                <w:sz w:val="8"/>
                <w:szCs w:val="8"/>
                <w:b w:val="1"/>
                <w:bCs w:val="1"/>
                <w:color w:val="auto"/>
              </w:rPr>
              <w:t>(7,907,826)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12.1%</w:t>
            </w:r>
          </w:p>
        </w:tc>
      </w:tr>
      <w:tr>
        <w:trPr>
          <w:trHeight w:val="216"/>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Profit before income tax</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2,111,560</w:t>
            </w:r>
          </w:p>
        </w:tc>
        <w:tc>
          <w:tcPr>
            <w:tcW w:w="940" w:type="dxa"/>
            <w:vAlign w:val="bottom"/>
          </w:tcPr>
          <w:p>
            <w:pPr>
              <w:jc w:val="center"/>
              <w:spacing w:after="0"/>
              <w:rPr>
                <w:sz w:val="20"/>
                <w:szCs w:val="20"/>
                <w:color w:val="auto"/>
              </w:rPr>
            </w:pPr>
            <w:r>
              <w:rPr>
                <w:rFonts w:ascii="Arial" w:cs="Arial" w:eastAsia="Arial" w:hAnsi="Arial"/>
                <w:sz w:val="8"/>
                <w:szCs w:val="8"/>
                <w:b w:val="1"/>
                <w:bCs w:val="1"/>
                <w:color w:val="auto"/>
              </w:rPr>
              <w:t>2,561,467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2,506,763</w:t>
            </w:r>
          </w:p>
        </w:tc>
        <w:tc>
          <w:tcPr>
            <w:tcW w:w="1180" w:type="dxa"/>
            <w:vAlign w:val="bottom"/>
          </w:tcPr>
          <w:p>
            <w:pPr>
              <w:jc w:val="center"/>
              <w:ind w:right="198"/>
              <w:spacing w:after="0"/>
              <w:rPr>
                <w:sz w:val="20"/>
                <w:szCs w:val="20"/>
                <w:color w:val="auto"/>
              </w:rPr>
            </w:pPr>
            <w:r>
              <w:rPr>
                <w:rFonts w:ascii="Arial" w:cs="Arial" w:eastAsia="Arial" w:hAnsi="Arial"/>
                <w:sz w:val="8"/>
                <w:szCs w:val="8"/>
                <w:b w:val="1"/>
                <w:bCs w:val="1"/>
                <w:color w:val="auto"/>
              </w:rPr>
              <w:t>-2.1%</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b w:val="1"/>
                <w:bCs w:val="1"/>
                <w:color w:val="auto"/>
                <w:w w:val="96"/>
              </w:rPr>
              <w:t>18.7%</w:t>
            </w:r>
          </w:p>
        </w:tc>
        <w:tc>
          <w:tcPr>
            <w:tcW w:w="740" w:type="dxa"/>
            <w:vAlign w:val="bottom"/>
          </w:tcPr>
          <w:p>
            <w:pPr>
              <w:jc w:val="center"/>
              <w:ind w:left="118"/>
              <w:spacing w:after="0"/>
              <w:rPr>
                <w:sz w:val="20"/>
                <w:szCs w:val="20"/>
                <w:color w:val="auto"/>
              </w:rPr>
            </w:pPr>
            <w:r>
              <w:rPr>
                <w:rFonts w:ascii="Arial" w:cs="Arial" w:eastAsia="Arial" w:hAnsi="Arial"/>
                <w:sz w:val="8"/>
                <w:szCs w:val="8"/>
                <w:b w:val="1"/>
                <w:bCs w:val="1"/>
                <w:color w:val="auto"/>
              </w:rPr>
              <w:t>6,068,841</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7,587,514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25.0%</w:t>
            </w:r>
          </w:p>
        </w:tc>
      </w:tr>
      <w:tr>
        <w:trPr>
          <w:trHeight w:val="212"/>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Income tax</w:t>
            </w:r>
          </w:p>
        </w:tc>
        <w:tc>
          <w:tcPr>
            <w:tcW w:w="920" w:type="dxa"/>
            <w:vAlign w:val="bottom"/>
          </w:tcPr>
          <w:p>
            <w:pPr>
              <w:jc w:val="center"/>
              <w:spacing w:after="0"/>
              <w:rPr>
                <w:sz w:val="20"/>
                <w:szCs w:val="20"/>
                <w:color w:val="auto"/>
              </w:rPr>
            </w:pPr>
            <w:r>
              <w:rPr>
                <w:rFonts w:ascii="Arial" w:cs="Arial" w:eastAsia="Arial" w:hAnsi="Arial"/>
                <w:sz w:val="8"/>
                <w:szCs w:val="8"/>
                <w:color w:val="auto"/>
              </w:rPr>
              <w:t>(555,117)</w:t>
            </w:r>
          </w:p>
        </w:tc>
        <w:tc>
          <w:tcPr>
            <w:tcW w:w="940" w:type="dxa"/>
            <w:vAlign w:val="bottom"/>
          </w:tcPr>
          <w:p>
            <w:pPr>
              <w:jc w:val="center"/>
              <w:spacing w:after="0"/>
              <w:rPr>
                <w:sz w:val="20"/>
                <w:szCs w:val="20"/>
                <w:color w:val="auto"/>
              </w:rPr>
            </w:pPr>
            <w:r>
              <w:rPr>
                <w:rFonts w:ascii="Arial" w:cs="Arial" w:eastAsia="Arial" w:hAnsi="Arial"/>
                <w:sz w:val="8"/>
                <w:szCs w:val="8"/>
                <w:color w:val="auto"/>
              </w:rPr>
              <w:t>(696,969)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(728,308)</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4.5%</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w w:val="96"/>
              </w:rPr>
              <w:t>31.2%</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(1,602,927)</w:t>
            </w:r>
          </w:p>
        </w:tc>
        <w:tc>
          <w:tcPr>
            <w:tcW w:w="1140" w:type="dxa"/>
            <w:vAlign w:val="bottom"/>
            <w:tcBorders>
              <w:right w:val="single" w:sz="8" w:color="auto"/>
            </w:tcBorders>
          </w:tcPr>
          <w:p>
            <w:pPr>
              <w:jc w:val="center"/>
              <w:ind w:left="98"/>
              <w:spacing w:after="0"/>
              <w:rPr>
                <w:sz w:val="20"/>
                <w:szCs w:val="20"/>
                <w:color w:val="auto"/>
              </w:rPr>
            </w:pPr>
            <w:r>
              <w:rPr>
                <w:rFonts w:ascii="Arial" w:cs="Arial" w:eastAsia="Arial" w:hAnsi="Arial"/>
                <w:sz w:val="8"/>
                <w:szCs w:val="8"/>
                <w:color w:val="auto"/>
              </w:rPr>
              <w:t>(2,129,746)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32.9%</w:t>
            </w:r>
          </w:p>
        </w:tc>
      </w:tr>
      <w:tr>
        <w:trPr>
          <w:trHeight w:val="214"/>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Net profit</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1,556,443</w:t>
            </w:r>
          </w:p>
        </w:tc>
        <w:tc>
          <w:tcPr>
            <w:tcW w:w="940" w:type="dxa"/>
            <w:vAlign w:val="bottom"/>
          </w:tcPr>
          <w:p>
            <w:pPr>
              <w:jc w:val="center"/>
              <w:spacing w:after="0"/>
              <w:rPr>
                <w:sz w:val="20"/>
                <w:szCs w:val="20"/>
                <w:color w:val="auto"/>
              </w:rPr>
            </w:pPr>
            <w:r>
              <w:rPr>
                <w:rFonts w:ascii="Arial" w:cs="Arial" w:eastAsia="Arial" w:hAnsi="Arial"/>
                <w:sz w:val="8"/>
                <w:szCs w:val="8"/>
                <w:b w:val="1"/>
                <w:bCs w:val="1"/>
                <w:color w:val="auto"/>
              </w:rPr>
              <w:t>1,864,498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1,778,455</w:t>
            </w:r>
          </w:p>
        </w:tc>
        <w:tc>
          <w:tcPr>
            <w:tcW w:w="1180" w:type="dxa"/>
            <w:vAlign w:val="bottom"/>
          </w:tcPr>
          <w:p>
            <w:pPr>
              <w:jc w:val="center"/>
              <w:ind w:right="198"/>
              <w:spacing w:after="0"/>
              <w:rPr>
                <w:sz w:val="20"/>
                <w:szCs w:val="20"/>
                <w:color w:val="auto"/>
              </w:rPr>
            </w:pPr>
            <w:r>
              <w:rPr>
                <w:rFonts w:ascii="Arial" w:cs="Arial" w:eastAsia="Arial" w:hAnsi="Arial"/>
                <w:sz w:val="8"/>
                <w:szCs w:val="8"/>
                <w:b w:val="1"/>
                <w:bCs w:val="1"/>
                <w:color w:val="auto"/>
              </w:rPr>
              <w:t>-4.6%</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b w:val="1"/>
                <w:bCs w:val="1"/>
                <w:color w:val="auto"/>
                <w:w w:val="96"/>
              </w:rPr>
              <w:t>14.3%</w:t>
            </w:r>
          </w:p>
        </w:tc>
        <w:tc>
          <w:tcPr>
            <w:tcW w:w="740" w:type="dxa"/>
            <w:vAlign w:val="bottom"/>
          </w:tcPr>
          <w:p>
            <w:pPr>
              <w:jc w:val="center"/>
              <w:ind w:left="118"/>
              <w:spacing w:after="0"/>
              <w:rPr>
                <w:sz w:val="20"/>
                <w:szCs w:val="20"/>
                <w:color w:val="auto"/>
              </w:rPr>
            </w:pPr>
            <w:r>
              <w:rPr>
                <w:rFonts w:ascii="Arial" w:cs="Arial" w:eastAsia="Arial" w:hAnsi="Arial"/>
                <w:sz w:val="8"/>
                <w:szCs w:val="8"/>
                <w:b w:val="1"/>
                <w:bCs w:val="1"/>
                <w:color w:val="auto"/>
              </w:rPr>
              <w:t>4,465,914</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5,457,768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22.2%</w:t>
            </w:r>
          </w:p>
        </w:tc>
      </w:tr>
      <w:tr>
        <w:trPr>
          <w:trHeight w:val="10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Non-controlling interest</w:t>
            </w:r>
          </w:p>
        </w:tc>
        <w:tc>
          <w:tcPr>
            <w:tcW w:w="920" w:type="dxa"/>
            <w:vAlign w:val="bottom"/>
          </w:tcPr>
          <w:p>
            <w:pPr>
              <w:jc w:val="center"/>
              <w:spacing w:after="0"/>
              <w:rPr>
                <w:sz w:val="20"/>
                <w:szCs w:val="20"/>
                <w:color w:val="auto"/>
              </w:rPr>
            </w:pPr>
            <w:r>
              <w:rPr>
                <w:rFonts w:ascii="Arial" w:cs="Arial" w:eastAsia="Arial" w:hAnsi="Arial"/>
                <w:sz w:val="8"/>
                <w:szCs w:val="8"/>
                <w:color w:val="auto"/>
              </w:rPr>
              <w:t>32,655</w:t>
            </w:r>
          </w:p>
        </w:tc>
        <w:tc>
          <w:tcPr>
            <w:tcW w:w="940" w:type="dxa"/>
            <w:vAlign w:val="bottom"/>
          </w:tcPr>
          <w:p>
            <w:pPr>
              <w:jc w:val="center"/>
              <w:spacing w:after="0"/>
              <w:rPr>
                <w:sz w:val="20"/>
                <w:szCs w:val="20"/>
                <w:color w:val="auto"/>
              </w:rPr>
            </w:pPr>
            <w:r>
              <w:rPr>
                <w:rFonts w:ascii="Arial" w:cs="Arial" w:eastAsia="Arial" w:hAnsi="Arial"/>
                <w:sz w:val="8"/>
                <w:szCs w:val="8"/>
                <w:color w:val="auto"/>
                <w:w w:val="97"/>
              </w:rPr>
              <w:t>42,483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39,800</w:t>
            </w:r>
          </w:p>
        </w:tc>
        <w:tc>
          <w:tcPr>
            <w:tcW w:w="1180" w:type="dxa"/>
            <w:vAlign w:val="bottom"/>
          </w:tcPr>
          <w:p>
            <w:pPr>
              <w:jc w:val="center"/>
              <w:ind w:right="198"/>
              <w:spacing w:after="0"/>
              <w:rPr>
                <w:sz w:val="20"/>
                <w:szCs w:val="20"/>
                <w:color w:val="auto"/>
              </w:rPr>
            </w:pPr>
            <w:r>
              <w:rPr>
                <w:rFonts w:ascii="Arial" w:cs="Arial" w:eastAsia="Arial" w:hAnsi="Arial"/>
                <w:sz w:val="8"/>
                <w:szCs w:val="8"/>
                <w:color w:val="auto"/>
              </w:rPr>
              <w:t>-6.3%</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w w:val="96"/>
              </w:rPr>
              <w:t>21.9%</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91,373</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119,401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30.7%</w:t>
            </w:r>
          </w:p>
        </w:tc>
      </w:tr>
      <w:tr>
        <w:trPr>
          <w:trHeight w:val="108"/>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Net profit attributable to Credicorp</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1,523,788</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1,822,015</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1,738,655</w:t>
            </w:r>
          </w:p>
        </w:tc>
        <w:tc>
          <w:tcPr>
            <w:tcW w:w="1180" w:type="dxa"/>
            <w:vAlign w:val="bottom"/>
            <w:tcBorders>
              <w:bottom w:val="single" w:sz="8" w:color="auto"/>
            </w:tcBorders>
          </w:tcPr>
          <w:p>
            <w:pPr>
              <w:jc w:val="center"/>
              <w:ind w:right="198"/>
              <w:spacing w:after="0"/>
              <w:rPr>
                <w:sz w:val="20"/>
                <w:szCs w:val="20"/>
                <w:color w:val="auto"/>
              </w:rPr>
            </w:pPr>
            <w:r>
              <w:rPr>
                <w:rFonts w:ascii="Arial" w:cs="Arial" w:eastAsia="Arial" w:hAnsi="Arial"/>
                <w:sz w:val="8"/>
                <w:szCs w:val="8"/>
                <w:b w:val="1"/>
                <w:bCs w:val="1"/>
                <w:color w:val="auto"/>
              </w:rPr>
              <w:t>-4.6%</w:t>
            </w:r>
          </w:p>
        </w:tc>
        <w:tc>
          <w:tcPr>
            <w:tcW w:w="700" w:type="dxa"/>
            <w:vAlign w:val="bottom"/>
            <w:tcBorders>
              <w:bottom w:val="single" w:sz="8" w:color="auto"/>
              <w:right w:val="single" w:sz="8" w:color="auto"/>
            </w:tcBorders>
          </w:tcPr>
          <w:p>
            <w:pPr>
              <w:jc w:val="center"/>
              <w:ind w:right="238"/>
              <w:spacing w:after="0"/>
              <w:rPr>
                <w:sz w:val="20"/>
                <w:szCs w:val="20"/>
                <w:color w:val="auto"/>
              </w:rPr>
            </w:pPr>
            <w:r>
              <w:rPr>
                <w:rFonts w:ascii="Arial" w:cs="Arial" w:eastAsia="Arial" w:hAnsi="Arial"/>
                <w:sz w:val="8"/>
                <w:szCs w:val="8"/>
                <w:b w:val="1"/>
                <w:bCs w:val="1"/>
                <w:color w:val="auto"/>
                <w:w w:val="96"/>
              </w:rPr>
              <w:t>14.1%</w:t>
            </w:r>
          </w:p>
        </w:tc>
        <w:tc>
          <w:tcPr>
            <w:tcW w:w="740" w:type="dxa"/>
            <w:vAlign w:val="bottom"/>
            <w:tcBorders>
              <w:bottom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4,374,541</w:t>
            </w:r>
          </w:p>
        </w:tc>
        <w:tc>
          <w:tcPr>
            <w:tcW w:w="114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5,338,367</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22.0%</w:t>
            </w:r>
          </w:p>
        </w:tc>
      </w:tr>
      <w:tr>
        <w:trPr>
          <w:trHeight w:val="1268"/>
        </w:trPr>
        <w:tc>
          <w:tcPr>
            <w:tcW w:w="2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-708025</wp:posOffset>
            </wp:positionV>
            <wp:extent cx="6517005" cy="6019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517005" cy="601980"/>
                    </a:xfrm>
                    <a:prstGeom prst="rect">
                      <a:avLst/>
                    </a:prstGeom>
                    <a:noFill/>
                  </pic:spPr>
                </pic:pic>
              </a:graphicData>
            </a:graphic>
          </wp:anchor>
        </w:drawing>
      </w:r>
    </w:p>
    <w:p>
      <w:pPr>
        <w:sectPr>
          <w:pgSz w:w="11900" w:h="16840" w:orient="portrait"/>
          <w:cols w:equalWidth="0" w:num="1">
            <w:col w:w="10460"/>
          </w:cols>
          <w:pgMar w:left="660" w:top="931" w:right="780" w:bottom="1440" w:gutter="0" w:footer="0" w:header="0"/>
        </w:sectPr>
      </w:pPr>
    </w:p>
    <w:bookmarkStart w:id="61" w:name="page62"/>
    <w:bookmarkEnd w:id="61"/>
    <w:p>
      <w:pPr>
        <w:ind w:left="2520"/>
        <w:spacing w:after="0"/>
        <w:tabs>
          <w:tab w:leader="none" w:pos="2760" w:val="left"/>
          <w:tab w:leader="none" w:pos="81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638925" cy="662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63892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638925" cy="2057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63892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12.7.2. Credicorp Stand-alone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Financial Position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5780" w:type="dxa"/>
            <w:vAlign w:val="bottom"/>
            <w:tcBorders>
              <w:top w:val="single" w:sz="8" w:color="auto"/>
              <w:left w:val="single" w:sz="8" w:color="auto"/>
              <w:right w:val="single" w:sz="8" w:color="auto"/>
            </w:tcBorders>
            <w:shd w:val="clear" w:color="auto" w:fill="33CCCC"/>
          </w:tcPr>
          <w:p>
            <w:pPr>
              <w:spacing w:after="0"/>
              <w:rPr>
                <w:sz w:val="14"/>
                <w:szCs w:val="14"/>
                <w:color w:val="auto"/>
              </w:rPr>
            </w:pPr>
          </w:p>
        </w:tc>
        <w:tc>
          <w:tcPr>
            <w:tcW w:w="920" w:type="dxa"/>
            <w:vAlign w:val="bottom"/>
            <w:tcBorders>
              <w:top w:val="single" w:sz="8" w:color="auto"/>
            </w:tcBorders>
            <w:shd w:val="clear" w:color="auto" w:fill="33CCCC"/>
          </w:tcPr>
          <w:p>
            <w:pPr>
              <w:spacing w:after="0"/>
              <w:rPr>
                <w:sz w:val="14"/>
                <w:szCs w:val="14"/>
                <w:color w:val="auto"/>
              </w:rPr>
            </w:pPr>
          </w:p>
        </w:tc>
        <w:tc>
          <w:tcPr>
            <w:tcW w:w="94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As of</w:t>
            </w:r>
          </w:p>
        </w:tc>
        <w:tc>
          <w:tcPr>
            <w:tcW w:w="960" w:type="dxa"/>
            <w:vAlign w:val="bottom"/>
            <w:tcBorders>
              <w:top w:val="single" w:sz="8" w:color="auto"/>
              <w:right w:val="single" w:sz="8" w:color="auto"/>
            </w:tcBorders>
            <w:shd w:val="clear" w:color="auto" w:fill="33CCCC"/>
          </w:tcPr>
          <w:p>
            <w:pPr>
              <w:spacing w:after="0"/>
              <w:rPr>
                <w:sz w:val="14"/>
                <w:szCs w:val="14"/>
                <w:color w:val="auto"/>
              </w:rPr>
            </w:pPr>
          </w:p>
        </w:tc>
        <w:tc>
          <w:tcPr>
            <w:tcW w:w="1200" w:type="dxa"/>
            <w:vAlign w:val="bottom"/>
            <w:tcBorders>
              <w:top w:val="single" w:sz="8" w:color="auto"/>
            </w:tcBorders>
            <w:shd w:val="clear" w:color="auto" w:fill="33CCCC"/>
          </w:tcPr>
          <w:p>
            <w:pPr>
              <w:ind w:left="640"/>
              <w:spacing w:after="0"/>
              <w:rPr>
                <w:sz w:val="20"/>
                <w:szCs w:val="20"/>
                <w:color w:val="auto"/>
              </w:rPr>
            </w:pPr>
            <w:r>
              <w:rPr>
                <w:rFonts w:ascii="Arial" w:cs="Arial" w:eastAsia="Arial" w:hAnsi="Arial"/>
                <w:sz w:val="12"/>
                <w:szCs w:val="12"/>
                <w:b w:val="1"/>
                <w:bCs w:val="1"/>
                <w:color w:val="FFFFFF"/>
                <w:w w:val="96"/>
              </w:rPr>
              <w:t>% change</w:t>
            </w:r>
          </w:p>
        </w:tc>
        <w:tc>
          <w:tcPr>
            <w:tcW w:w="660" w:type="dxa"/>
            <w:vAlign w:val="bottom"/>
            <w:tcBorders>
              <w:top w:val="single" w:sz="8" w:color="auto"/>
              <w:right w:val="single" w:sz="8" w:color="auto"/>
            </w:tcBorders>
            <w:shd w:val="clear" w:color="auto" w:fill="33CCCC"/>
          </w:tcPr>
          <w:p>
            <w:pPr>
              <w:spacing w:after="0"/>
              <w:rPr>
                <w:sz w:val="14"/>
                <w:szCs w:val="14"/>
                <w:color w:val="auto"/>
              </w:rPr>
            </w:pPr>
          </w:p>
        </w:tc>
      </w:tr>
      <w:tr>
        <w:trPr>
          <w:trHeight w:val="157"/>
        </w:trPr>
        <w:tc>
          <w:tcPr>
            <w:tcW w:w="5780" w:type="dxa"/>
            <w:vAlign w:val="bottom"/>
            <w:tcBorders>
              <w:left w:val="single" w:sz="8" w:color="auto"/>
              <w:bottom w:val="single" w:sz="8" w:color="auto"/>
              <w:right w:val="single" w:sz="8" w:color="auto"/>
            </w:tcBorders>
            <w:shd w:val="clear" w:color="auto" w:fill="33CCCC"/>
          </w:tcPr>
          <w:p>
            <w:pPr>
              <w:spacing w:after="0"/>
              <w:rPr>
                <w:sz w:val="13"/>
                <w:szCs w:val="13"/>
                <w:color w:val="auto"/>
              </w:rPr>
            </w:pPr>
          </w:p>
        </w:tc>
        <w:tc>
          <w:tcPr>
            <w:tcW w:w="920" w:type="dxa"/>
            <w:vAlign w:val="bottom"/>
            <w:tcBorders>
              <w:bottom w:val="single" w:sz="8" w:color="auto"/>
            </w:tcBorders>
            <w:shd w:val="clear" w:color="auto" w:fill="33CCCC"/>
          </w:tcPr>
          <w:p>
            <w:pPr>
              <w:ind w:left="260"/>
              <w:spacing w:after="0"/>
              <w:rPr>
                <w:sz w:val="20"/>
                <w:szCs w:val="20"/>
                <w:color w:val="auto"/>
              </w:rPr>
            </w:pPr>
            <w:r>
              <w:rPr>
                <w:rFonts w:ascii="Arial" w:cs="Arial" w:eastAsia="Arial" w:hAnsi="Arial"/>
                <w:sz w:val="12"/>
                <w:szCs w:val="12"/>
                <w:b w:val="1"/>
                <w:bCs w:val="1"/>
                <w:color w:val="FFFFFF"/>
              </w:rPr>
              <w:t>Sep 24</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Jun 25</w:t>
            </w:r>
          </w:p>
        </w:tc>
        <w:tc>
          <w:tcPr>
            <w:tcW w:w="960" w:type="dxa"/>
            <w:vAlign w:val="bottom"/>
            <w:tcBorders>
              <w:bottom w:val="single" w:sz="8" w:color="auto"/>
              <w:right w:val="single" w:sz="8" w:color="auto"/>
            </w:tcBorders>
            <w:shd w:val="clear" w:color="auto" w:fill="33CCCC"/>
          </w:tcPr>
          <w:p>
            <w:pPr>
              <w:ind w:left="280"/>
              <w:spacing w:after="0"/>
              <w:rPr>
                <w:sz w:val="20"/>
                <w:szCs w:val="20"/>
                <w:color w:val="auto"/>
              </w:rPr>
            </w:pPr>
            <w:r>
              <w:rPr>
                <w:rFonts w:ascii="Arial" w:cs="Arial" w:eastAsia="Arial" w:hAnsi="Arial"/>
                <w:sz w:val="12"/>
                <w:szCs w:val="12"/>
                <w:b w:val="1"/>
                <w:bCs w:val="1"/>
                <w:color w:val="FFFFFF"/>
              </w:rPr>
              <w:t>Sep 25</w:t>
            </w:r>
          </w:p>
        </w:tc>
        <w:tc>
          <w:tcPr>
            <w:tcW w:w="1200" w:type="dxa"/>
            <w:vAlign w:val="bottom"/>
            <w:tcBorders>
              <w:bottom w:val="single" w:sz="8" w:color="auto"/>
            </w:tcBorders>
            <w:shd w:val="clear" w:color="auto" w:fill="33CCCC"/>
          </w:tcPr>
          <w:p>
            <w:pPr>
              <w:jc w:val="center"/>
              <w:ind w:right="240"/>
              <w:spacing w:after="0"/>
              <w:rPr>
                <w:sz w:val="20"/>
                <w:szCs w:val="20"/>
                <w:color w:val="auto"/>
              </w:rPr>
            </w:pPr>
            <w:r>
              <w:rPr>
                <w:rFonts w:ascii="Arial" w:cs="Arial" w:eastAsia="Arial" w:hAnsi="Arial"/>
                <w:sz w:val="12"/>
                <w:szCs w:val="12"/>
                <w:b w:val="1"/>
                <w:bCs w:val="1"/>
                <w:color w:val="FFFFFF"/>
                <w:w w:val="99"/>
              </w:rPr>
              <w:t>QoQ</w:t>
            </w:r>
          </w:p>
        </w:tc>
        <w:tc>
          <w:tcPr>
            <w:tcW w:w="660" w:type="dxa"/>
            <w:vAlign w:val="bottom"/>
            <w:tcBorders>
              <w:bottom w:val="single" w:sz="8" w:color="auto"/>
              <w:right w:val="single" w:sz="8" w:color="auto"/>
            </w:tcBorders>
            <w:shd w:val="clear" w:color="auto" w:fill="33CCCC"/>
          </w:tcPr>
          <w:p>
            <w:pPr>
              <w:ind w:left="60"/>
              <w:spacing w:after="0"/>
              <w:rPr>
                <w:sz w:val="20"/>
                <w:szCs w:val="20"/>
                <w:color w:val="auto"/>
              </w:rPr>
            </w:pPr>
            <w:r>
              <w:rPr>
                <w:rFonts w:ascii="Arial" w:cs="Arial" w:eastAsia="Arial" w:hAnsi="Arial"/>
                <w:sz w:val="12"/>
                <w:szCs w:val="12"/>
                <w:b w:val="1"/>
                <w:bCs w:val="1"/>
                <w:color w:val="FFFFFF"/>
              </w:rPr>
              <w:t>YoY</w:t>
            </w:r>
          </w:p>
        </w:tc>
      </w:tr>
      <w:tr>
        <w:trPr>
          <w:trHeight w:val="147"/>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Cash and cash equivalents</w:t>
            </w:r>
          </w:p>
        </w:tc>
        <w:tc>
          <w:tcPr>
            <w:tcW w:w="920" w:type="dxa"/>
            <w:vAlign w:val="bottom"/>
          </w:tcPr>
          <w:p>
            <w:pPr>
              <w:jc w:val="center"/>
              <w:spacing w:after="0"/>
              <w:rPr>
                <w:sz w:val="20"/>
                <w:szCs w:val="20"/>
                <w:color w:val="auto"/>
              </w:rPr>
            </w:pPr>
            <w:r>
              <w:rPr>
                <w:rFonts w:ascii="Arial" w:cs="Arial" w:eastAsia="Arial" w:hAnsi="Arial"/>
                <w:sz w:val="12"/>
                <w:szCs w:val="12"/>
                <w:color w:val="auto"/>
              </w:rPr>
              <w:t>594,754</w:t>
            </w:r>
          </w:p>
        </w:tc>
        <w:tc>
          <w:tcPr>
            <w:tcW w:w="940" w:type="dxa"/>
            <w:vAlign w:val="bottom"/>
          </w:tcPr>
          <w:p>
            <w:pPr>
              <w:jc w:val="center"/>
              <w:spacing w:after="0"/>
              <w:rPr>
                <w:sz w:val="20"/>
                <w:szCs w:val="20"/>
                <w:color w:val="auto"/>
              </w:rPr>
            </w:pPr>
            <w:r>
              <w:rPr>
                <w:rFonts w:ascii="Arial" w:cs="Arial" w:eastAsia="Arial" w:hAnsi="Arial"/>
                <w:sz w:val="12"/>
                <w:szCs w:val="12"/>
                <w:color w:val="auto"/>
                <w:w w:val="96"/>
              </w:rPr>
              <w:t>141,342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121,123</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9"/>
              </w:rPr>
              <w:t>-14.3%</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-79.6%</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At fair value through profit or loss</w:t>
            </w:r>
          </w:p>
        </w:tc>
        <w:tc>
          <w:tcPr>
            <w:tcW w:w="9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94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1200" w:type="dxa"/>
            <w:vAlign w:val="bottom"/>
          </w:tcPr>
          <w:p>
            <w:pPr>
              <w:jc w:val="center"/>
              <w:ind w:right="260"/>
              <w:spacing w:after="0"/>
              <w:rPr>
                <w:sz w:val="20"/>
                <w:szCs w:val="20"/>
                <w:color w:val="auto"/>
              </w:rPr>
            </w:pPr>
            <w:r>
              <w:rPr>
                <w:rFonts w:ascii="Arial" w:cs="Arial" w:eastAsia="Arial" w:hAnsi="Arial"/>
                <w:sz w:val="12"/>
                <w:szCs w:val="12"/>
                <w:color w:val="auto"/>
                <w:w w:val="99"/>
              </w:rPr>
              <w:t>n.a.</w:t>
            </w:r>
          </w:p>
        </w:tc>
        <w:tc>
          <w:tcPr>
            <w:tcW w:w="6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9"/>
              </w:rPr>
              <w:t>n.a.</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Fair value through other comprehensive income investments</w:t>
            </w:r>
          </w:p>
        </w:tc>
        <w:tc>
          <w:tcPr>
            <w:tcW w:w="920" w:type="dxa"/>
            <w:vAlign w:val="bottom"/>
          </w:tcPr>
          <w:p>
            <w:pPr>
              <w:jc w:val="center"/>
              <w:spacing w:after="0"/>
              <w:rPr>
                <w:sz w:val="20"/>
                <w:szCs w:val="20"/>
                <w:color w:val="auto"/>
              </w:rPr>
            </w:pPr>
            <w:r>
              <w:rPr>
                <w:rFonts w:ascii="Arial" w:cs="Arial" w:eastAsia="Arial" w:hAnsi="Arial"/>
                <w:sz w:val="12"/>
                <w:szCs w:val="12"/>
                <w:color w:val="auto"/>
                <w:w w:val="97"/>
              </w:rPr>
              <w:t>1,279,564</w:t>
            </w:r>
          </w:p>
        </w:tc>
        <w:tc>
          <w:tcPr>
            <w:tcW w:w="940" w:type="dxa"/>
            <w:vAlign w:val="bottom"/>
          </w:tcPr>
          <w:p>
            <w:pPr>
              <w:jc w:val="center"/>
              <w:spacing w:after="0"/>
              <w:rPr>
                <w:sz w:val="20"/>
                <w:szCs w:val="20"/>
                <w:color w:val="auto"/>
              </w:rPr>
            </w:pPr>
            <w:r>
              <w:rPr>
                <w:rFonts w:ascii="Arial" w:cs="Arial" w:eastAsia="Arial" w:hAnsi="Arial"/>
                <w:sz w:val="12"/>
                <w:szCs w:val="12"/>
                <w:color w:val="auto"/>
                <w:w w:val="96"/>
              </w:rPr>
              <w:t>109,057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101,222</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5"/>
              </w:rPr>
              <w:t>-7.2%</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-92.1%</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 subsidiaries and associates investments</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37,481,263</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38,318,421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40,527,583</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4"/>
              </w:rPr>
              <w:t>5.8%</w:t>
            </w:r>
          </w:p>
        </w:tc>
        <w:tc>
          <w:tcPr>
            <w:tcW w:w="6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rPr>
              <w:t>8.1%</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Investments at amortized cost</w:t>
            </w:r>
          </w:p>
        </w:tc>
        <w:tc>
          <w:tcPr>
            <w:tcW w:w="920" w:type="dxa"/>
            <w:vAlign w:val="bottom"/>
          </w:tcPr>
          <w:p>
            <w:pPr>
              <w:jc w:val="center"/>
              <w:spacing w:after="0"/>
              <w:rPr>
                <w:sz w:val="20"/>
                <w:szCs w:val="20"/>
                <w:color w:val="auto"/>
              </w:rPr>
            </w:pPr>
            <w:r>
              <w:rPr>
                <w:rFonts w:ascii="Arial" w:cs="Arial" w:eastAsia="Arial" w:hAnsi="Arial"/>
                <w:sz w:val="12"/>
                <w:szCs w:val="12"/>
                <w:color w:val="auto"/>
              </w:rPr>
              <w:t>629,491</w:t>
            </w:r>
          </w:p>
        </w:tc>
        <w:tc>
          <w:tcPr>
            <w:tcW w:w="94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1200" w:type="dxa"/>
            <w:vAlign w:val="bottom"/>
          </w:tcPr>
          <w:p>
            <w:pPr>
              <w:jc w:val="center"/>
              <w:ind w:right="260"/>
              <w:spacing w:after="0"/>
              <w:rPr>
                <w:sz w:val="20"/>
                <w:szCs w:val="20"/>
                <w:color w:val="auto"/>
              </w:rPr>
            </w:pPr>
            <w:r>
              <w:rPr>
                <w:rFonts w:ascii="Arial" w:cs="Arial" w:eastAsia="Arial" w:hAnsi="Arial"/>
                <w:sz w:val="12"/>
                <w:szCs w:val="12"/>
                <w:color w:val="auto"/>
                <w:w w:val="99"/>
              </w:rPr>
              <w:t>n.a.</w:t>
            </w:r>
          </w:p>
        </w:tc>
        <w:tc>
          <w:tcPr>
            <w:tcW w:w="6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9"/>
              </w:rPr>
              <w:t>n.a.</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Other assets</w:t>
            </w:r>
          </w:p>
        </w:tc>
        <w:tc>
          <w:tcPr>
            <w:tcW w:w="920" w:type="dxa"/>
            <w:vAlign w:val="bottom"/>
          </w:tcPr>
          <w:p>
            <w:pPr>
              <w:jc w:val="center"/>
              <w:spacing w:after="0"/>
              <w:rPr>
                <w:sz w:val="20"/>
                <w:szCs w:val="20"/>
                <w:color w:val="auto"/>
              </w:rPr>
            </w:pPr>
            <w:r>
              <w:rPr>
                <w:rFonts w:ascii="Arial" w:cs="Arial" w:eastAsia="Arial" w:hAnsi="Arial"/>
                <w:sz w:val="12"/>
                <w:szCs w:val="12"/>
                <w:color w:val="auto"/>
              </w:rPr>
              <w:t>856,336</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9,359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9,626</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4"/>
              </w:rPr>
              <w:t>2.9%</w:t>
            </w:r>
          </w:p>
        </w:tc>
        <w:tc>
          <w:tcPr>
            <w:tcW w:w="6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9"/>
              </w:rPr>
              <w:t>n.a.</w:t>
            </w:r>
          </w:p>
        </w:tc>
      </w:tr>
      <w:tr>
        <w:trPr>
          <w:trHeight w:val="165"/>
        </w:trPr>
        <w:tc>
          <w:tcPr>
            <w:tcW w:w="5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Total Assets</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9"/>
              </w:rPr>
              <w:t>40,841,408</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38,578,179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40,759,554</w:t>
            </w:r>
          </w:p>
        </w:tc>
        <w:tc>
          <w:tcPr>
            <w:tcW w:w="1200" w:type="dxa"/>
            <w:vAlign w:val="bottom"/>
          </w:tcPr>
          <w:p>
            <w:pPr>
              <w:jc w:val="center"/>
              <w:ind w:right="240"/>
              <w:spacing w:after="0"/>
              <w:rPr>
                <w:sz w:val="20"/>
                <w:szCs w:val="20"/>
                <w:color w:val="auto"/>
              </w:rPr>
            </w:pPr>
            <w:r>
              <w:rPr>
                <w:rFonts w:ascii="Arial" w:cs="Arial" w:eastAsia="Arial" w:hAnsi="Arial"/>
                <w:sz w:val="12"/>
                <w:szCs w:val="12"/>
                <w:b w:val="1"/>
                <w:bCs w:val="1"/>
                <w:color w:val="auto"/>
                <w:w w:val="94"/>
              </w:rPr>
              <w:t>5.7%</w:t>
            </w:r>
          </w:p>
        </w:tc>
        <w:tc>
          <w:tcPr>
            <w:tcW w:w="6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rPr>
              <w:t>-0.2%</w:t>
            </w:r>
          </w:p>
        </w:tc>
      </w:tr>
      <w:tr>
        <w:trPr>
          <w:trHeight w:val="303"/>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LIABILITIES AND NET SHAREHOLDERS' EQUITY</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Due to banks, correspondents and other entities</w:t>
            </w:r>
          </w:p>
        </w:tc>
        <w:tc>
          <w:tcPr>
            <w:tcW w:w="9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94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1200" w:type="dxa"/>
            <w:vAlign w:val="bottom"/>
          </w:tcPr>
          <w:p>
            <w:pPr>
              <w:jc w:val="center"/>
              <w:ind w:right="260"/>
              <w:spacing w:after="0"/>
              <w:rPr>
                <w:sz w:val="20"/>
                <w:szCs w:val="20"/>
                <w:color w:val="auto"/>
              </w:rPr>
            </w:pPr>
            <w:r>
              <w:rPr>
                <w:rFonts w:ascii="Arial" w:cs="Arial" w:eastAsia="Arial" w:hAnsi="Arial"/>
                <w:sz w:val="12"/>
                <w:szCs w:val="12"/>
                <w:color w:val="auto"/>
                <w:w w:val="99"/>
              </w:rPr>
              <w:t>n.a.</w:t>
            </w:r>
          </w:p>
        </w:tc>
        <w:tc>
          <w:tcPr>
            <w:tcW w:w="6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9"/>
              </w:rPr>
              <w:t>n.a.</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Bonds and notes issued</w:t>
            </w:r>
          </w:p>
        </w:tc>
        <w:tc>
          <w:tcPr>
            <w:tcW w:w="920" w:type="dxa"/>
            <w:vAlign w:val="bottom"/>
          </w:tcPr>
          <w:p>
            <w:pPr>
              <w:jc w:val="center"/>
              <w:spacing w:after="0"/>
              <w:rPr>
                <w:sz w:val="20"/>
                <w:szCs w:val="20"/>
                <w:color w:val="auto"/>
              </w:rPr>
            </w:pPr>
            <w:r>
              <w:rPr>
                <w:rFonts w:ascii="Arial" w:cs="Arial" w:eastAsia="Arial" w:hAnsi="Arial"/>
                <w:sz w:val="12"/>
                <w:szCs w:val="12"/>
                <w:color w:val="auto"/>
                <w:w w:val="97"/>
              </w:rPr>
              <w:t>1,814,219</w:t>
            </w:r>
          </w:p>
        </w:tc>
        <w:tc>
          <w:tcPr>
            <w:tcW w:w="94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1200" w:type="dxa"/>
            <w:vAlign w:val="bottom"/>
          </w:tcPr>
          <w:p>
            <w:pPr>
              <w:jc w:val="center"/>
              <w:ind w:right="260"/>
              <w:spacing w:after="0"/>
              <w:rPr>
                <w:sz w:val="20"/>
                <w:szCs w:val="20"/>
                <w:color w:val="auto"/>
              </w:rPr>
            </w:pPr>
            <w:r>
              <w:rPr>
                <w:rFonts w:ascii="Arial" w:cs="Arial" w:eastAsia="Arial" w:hAnsi="Arial"/>
                <w:sz w:val="12"/>
                <w:szCs w:val="12"/>
                <w:color w:val="auto"/>
                <w:w w:val="99"/>
              </w:rPr>
              <w:t>n.a.</w:t>
            </w:r>
          </w:p>
        </w:tc>
        <w:tc>
          <w:tcPr>
            <w:tcW w:w="6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9"/>
              </w:rPr>
              <w:t>n.a.</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Other liabilities</w:t>
            </w:r>
          </w:p>
        </w:tc>
        <w:tc>
          <w:tcPr>
            <w:tcW w:w="920" w:type="dxa"/>
            <w:vAlign w:val="bottom"/>
          </w:tcPr>
          <w:p>
            <w:pPr>
              <w:jc w:val="center"/>
              <w:spacing w:after="0"/>
              <w:rPr>
                <w:sz w:val="20"/>
                <w:szCs w:val="20"/>
                <w:color w:val="auto"/>
              </w:rPr>
            </w:pPr>
            <w:r>
              <w:rPr>
                <w:rFonts w:ascii="Arial" w:cs="Arial" w:eastAsia="Arial" w:hAnsi="Arial"/>
                <w:sz w:val="12"/>
                <w:szCs w:val="12"/>
                <w:color w:val="auto"/>
                <w:w w:val="97"/>
              </w:rPr>
              <w:t>1,294,018</w:t>
            </w:r>
          </w:p>
        </w:tc>
        <w:tc>
          <w:tcPr>
            <w:tcW w:w="940" w:type="dxa"/>
            <w:vAlign w:val="bottom"/>
          </w:tcPr>
          <w:p>
            <w:pPr>
              <w:jc w:val="center"/>
              <w:spacing w:after="0"/>
              <w:rPr>
                <w:sz w:val="20"/>
                <w:szCs w:val="20"/>
                <w:color w:val="auto"/>
              </w:rPr>
            </w:pPr>
            <w:r>
              <w:rPr>
                <w:rFonts w:ascii="Arial" w:cs="Arial" w:eastAsia="Arial" w:hAnsi="Arial"/>
                <w:sz w:val="12"/>
                <w:szCs w:val="12"/>
                <w:color w:val="auto"/>
                <w:w w:val="96"/>
              </w:rPr>
              <w:t>150,294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211,103</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9"/>
              </w:rPr>
              <w:t>40.5%</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-83.7%</w:t>
            </w:r>
          </w:p>
        </w:tc>
      </w:tr>
      <w:tr>
        <w:trPr>
          <w:trHeight w:val="165"/>
        </w:trPr>
        <w:tc>
          <w:tcPr>
            <w:tcW w:w="5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Total Liabilities</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7"/>
              </w:rPr>
              <w:t>3,108,237</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6"/>
              </w:rPr>
              <w:t>150,294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211,103</w:t>
            </w:r>
          </w:p>
        </w:tc>
        <w:tc>
          <w:tcPr>
            <w:tcW w:w="1200" w:type="dxa"/>
            <w:vAlign w:val="bottom"/>
          </w:tcPr>
          <w:p>
            <w:pPr>
              <w:jc w:val="center"/>
              <w:ind w:right="240"/>
              <w:spacing w:after="0"/>
              <w:rPr>
                <w:sz w:val="20"/>
                <w:szCs w:val="20"/>
                <w:color w:val="auto"/>
              </w:rPr>
            </w:pPr>
            <w:r>
              <w:rPr>
                <w:rFonts w:ascii="Arial" w:cs="Arial" w:eastAsia="Arial" w:hAnsi="Arial"/>
                <w:sz w:val="12"/>
                <w:szCs w:val="12"/>
                <w:b w:val="1"/>
                <w:bCs w:val="1"/>
                <w:color w:val="auto"/>
                <w:w w:val="99"/>
              </w:rPr>
              <w:t>40.5%</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9"/>
              </w:rPr>
              <w:t>-93.2%</w:t>
            </w:r>
          </w:p>
        </w:tc>
      </w:tr>
      <w:tr>
        <w:trPr>
          <w:trHeight w:val="304"/>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EQUITY</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Capital stock</w:t>
            </w:r>
          </w:p>
        </w:tc>
        <w:tc>
          <w:tcPr>
            <w:tcW w:w="920" w:type="dxa"/>
            <w:vAlign w:val="bottom"/>
          </w:tcPr>
          <w:p>
            <w:pPr>
              <w:jc w:val="center"/>
              <w:spacing w:after="0"/>
              <w:rPr>
                <w:sz w:val="20"/>
                <w:szCs w:val="20"/>
                <w:color w:val="auto"/>
              </w:rPr>
            </w:pPr>
            <w:r>
              <w:rPr>
                <w:rFonts w:ascii="Arial" w:cs="Arial" w:eastAsia="Arial" w:hAnsi="Arial"/>
                <w:sz w:val="12"/>
                <w:szCs w:val="12"/>
                <w:color w:val="auto"/>
                <w:w w:val="97"/>
              </w:rPr>
              <w:t>1,318,993</w:t>
            </w:r>
          </w:p>
        </w:tc>
        <w:tc>
          <w:tcPr>
            <w:tcW w:w="940" w:type="dxa"/>
            <w:vAlign w:val="bottom"/>
          </w:tcPr>
          <w:p>
            <w:pPr>
              <w:jc w:val="center"/>
              <w:spacing w:after="0"/>
              <w:rPr>
                <w:sz w:val="20"/>
                <w:szCs w:val="20"/>
                <w:color w:val="auto"/>
              </w:rPr>
            </w:pPr>
            <w:r>
              <w:rPr>
                <w:rFonts w:ascii="Arial" w:cs="Arial" w:eastAsia="Arial" w:hAnsi="Arial"/>
                <w:sz w:val="12"/>
                <w:szCs w:val="12"/>
                <w:color w:val="auto"/>
              </w:rPr>
              <w:t>1,318,993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1,318,993</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4"/>
              </w:rPr>
              <w:t>0.0%</w:t>
            </w:r>
          </w:p>
        </w:tc>
        <w:tc>
          <w:tcPr>
            <w:tcW w:w="6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rPr>
              <w:t>0.0%</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Capital Surplus</w:t>
            </w:r>
          </w:p>
        </w:tc>
        <w:tc>
          <w:tcPr>
            <w:tcW w:w="920" w:type="dxa"/>
            <w:vAlign w:val="bottom"/>
          </w:tcPr>
          <w:p>
            <w:pPr>
              <w:jc w:val="center"/>
              <w:spacing w:after="0"/>
              <w:rPr>
                <w:sz w:val="20"/>
                <w:szCs w:val="20"/>
                <w:color w:val="auto"/>
              </w:rPr>
            </w:pPr>
            <w:r>
              <w:rPr>
                <w:rFonts w:ascii="Arial" w:cs="Arial" w:eastAsia="Arial" w:hAnsi="Arial"/>
                <w:sz w:val="12"/>
                <w:szCs w:val="12"/>
                <w:color w:val="auto"/>
              </w:rPr>
              <w:t>384,542</w:t>
            </w:r>
          </w:p>
        </w:tc>
        <w:tc>
          <w:tcPr>
            <w:tcW w:w="940" w:type="dxa"/>
            <w:vAlign w:val="bottom"/>
          </w:tcPr>
          <w:p>
            <w:pPr>
              <w:jc w:val="center"/>
              <w:spacing w:after="0"/>
              <w:rPr>
                <w:sz w:val="20"/>
                <w:szCs w:val="20"/>
                <w:color w:val="auto"/>
              </w:rPr>
            </w:pPr>
            <w:r>
              <w:rPr>
                <w:rFonts w:ascii="Arial" w:cs="Arial" w:eastAsia="Arial" w:hAnsi="Arial"/>
                <w:sz w:val="12"/>
                <w:szCs w:val="12"/>
                <w:color w:val="auto"/>
                <w:w w:val="96"/>
              </w:rPr>
              <w:t>384,542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384,542</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4"/>
              </w:rPr>
              <w:t>0.0%</w:t>
            </w:r>
          </w:p>
        </w:tc>
        <w:tc>
          <w:tcPr>
            <w:tcW w:w="6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rPr>
              <w:t>0.0%</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Reserve</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26,651,433</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28,465,226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28,438,904</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5"/>
              </w:rPr>
              <w:t>-0.1%</w:t>
            </w:r>
          </w:p>
        </w:tc>
        <w:tc>
          <w:tcPr>
            <w:tcW w:w="6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rPr>
              <w:t>6.7%</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Unrealized results</w:t>
            </w:r>
          </w:p>
        </w:tc>
        <w:tc>
          <w:tcPr>
            <w:tcW w:w="920" w:type="dxa"/>
            <w:vAlign w:val="bottom"/>
          </w:tcPr>
          <w:p>
            <w:pPr>
              <w:jc w:val="center"/>
              <w:spacing w:after="0"/>
              <w:rPr>
                <w:sz w:val="20"/>
                <w:szCs w:val="20"/>
                <w:color w:val="auto"/>
              </w:rPr>
            </w:pPr>
            <w:r>
              <w:rPr>
                <w:rFonts w:ascii="Arial" w:cs="Arial" w:eastAsia="Arial" w:hAnsi="Arial"/>
                <w:sz w:val="12"/>
                <w:szCs w:val="12"/>
                <w:color w:val="auto"/>
              </w:rPr>
              <w:t>292,640</w:t>
            </w:r>
          </w:p>
        </w:tc>
        <w:tc>
          <w:tcPr>
            <w:tcW w:w="940" w:type="dxa"/>
            <w:vAlign w:val="bottom"/>
          </w:tcPr>
          <w:p>
            <w:pPr>
              <w:jc w:val="center"/>
              <w:spacing w:after="0"/>
              <w:rPr>
                <w:sz w:val="20"/>
                <w:szCs w:val="20"/>
                <w:color w:val="auto"/>
              </w:rPr>
            </w:pPr>
            <w:r>
              <w:rPr>
                <w:rFonts w:ascii="Arial" w:cs="Arial" w:eastAsia="Arial" w:hAnsi="Arial"/>
                <w:sz w:val="12"/>
                <w:szCs w:val="12"/>
                <w:color w:val="auto"/>
                <w:w w:val="97"/>
              </w:rPr>
              <w:t>(323,985)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51,015</w:t>
            </w:r>
          </w:p>
        </w:tc>
        <w:tc>
          <w:tcPr>
            <w:tcW w:w="1200" w:type="dxa"/>
            <w:vAlign w:val="bottom"/>
          </w:tcPr>
          <w:p>
            <w:pPr>
              <w:jc w:val="center"/>
              <w:ind w:right="260"/>
              <w:spacing w:after="0"/>
              <w:rPr>
                <w:sz w:val="20"/>
                <w:szCs w:val="20"/>
                <w:color w:val="auto"/>
              </w:rPr>
            </w:pPr>
            <w:r>
              <w:rPr>
                <w:rFonts w:ascii="Arial" w:cs="Arial" w:eastAsia="Arial" w:hAnsi="Arial"/>
                <w:sz w:val="12"/>
                <w:szCs w:val="12"/>
                <w:color w:val="auto"/>
                <w:w w:val="99"/>
              </w:rPr>
              <w:t>n.a.</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-82.6%</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Retained earnings</w:t>
            </w:r>
          </w:p>
        </w:tc>
        <w:tc>
          <w:tcPr>
            <w:tcW w:w="920" w:type="dxa"/>
            <w:vAlign w:val="bottom"/>
          </w:tcPr>
          <w:p>
            <w:pPr>
              <w:jc w:val="center"/>
              <w:spacing w:after="0"/>
              <w:rPr>
                <w:sz w:val="20"/>
                <w:szCs w:val="20"/>
                <w:color w:val="auto"/>
              </w:rPr>
            </w:pPr>
            <w:r>
              <w:rPr>
                <w:rFonts w:ascii="Arial" w:cs="Arial" w:eastAsia="Arial" w:hAnsi="Arial"/>
                <w:sz w:val="12"/>
                <w:szCs w:val="12"/>
                <w:color w:val="auto"/>
                <w:w w:val="97"/>
              </w:rPr>
              <w:t>9,085,563</w:t>
            </w:r>
          </w:p>
        </w:tc>
        <w:tc>
          <w:tcPr>
            <w:tcW w:w="940" w:type="dxa"/>
            <w:vAlign w:val="bottom"/>
          </w:tcPr>
          <w:p>
            <w:pPr>
              <w:jc w:val="center"/>
              <w:spacing w:after="0"/>
              <w:rPr>
                <w:sz w:val="20"/>
                <w:szCs w:val="20"/>
                <w:color w:val="auto"/>
              </w:rPr>
            </w:pPr>
            <w:r>
              <w:rPr>
                <w:rFonts w:ascii="Arial" w:cs="Arial" w:eastAsia="Arial" w:hAnsi="Arial"/>
                <w:sz w:val="12"/>
                <w:szCs w:val="12"/>
                <w:color w:val="auto"/>
              </w:rPr>
              <w:t>8,583,109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10,354,997</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9"/>
              </w:rPr>
              <w:t>20.6%</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14.0%</w:t>
            </w:r>
          </w:p>
        </w:tc>
      </w:tr>
      <w:tr>
        <w:trPr>
          <w:trHeight w:val="165"/>
        </w:trPr>
        <w:tc>
          <w:tcPr>
            <w:tcW w:w="5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Total net equity</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9"/>
              </w:rPr>
              <w:t>37,733,171</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38,427,885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40,548,451</w:t>
            </w:r>
          </w:p>
        </w:tc>
        <w:tc>
          <w:tcPr>
            <w:tcW w:w="1200" w:type="dxa"/>
            <w:vAlign w:val="bottom"/>
          </w:tcPr>
          <w:p>
            <w:pPr>
              <w:jc w:val="center"/>
              <w:ind w:right="240"/>
              <w:spacing w:after="0"/>
              <w:rPr>
                <w:sz w:val="20"/>
                <w:szCs w:val="20"/>
                <w:color w:val="auto"/>
              </w:rPr>
            </w:pPr>
            <w:r>
              <w:rPr>
                <w:rFonts w:ascii="Arial" w:cs="Arial" w:eastAsia="Arial" w:hAnsi="Arial"/>
                <w:sz w:val="12"/>
                <w:szCs w:val="12"/>
                <w:b w:val="1"/>
                <w:bCs w:val="1"/>
                <w:color w:val="auto"/>
                <w:w w:val="94"/>
              </w:rPr>
              <w:t>5.5%</w:t>
            </w:r>
          </w:p>
        </w:tc>
        <w:tc>
          <w:tcPr>
            <w:tcW w:w="6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rPr>
              <w:t>7.5%</w:t>
            </w:r>
          </w:p>
        </w:tc>
      </w:tr>
      <w:tr>
        <w:trPr>
          <w:trHeight w:val="304"/>
        </w:trPr>
        <w:tc>
          <w:tcPr>
            <w:tcW w:w="5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Total Liabilities And Equity</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40,841,408</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38,578,179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40,759,554</w:t>
            </w:r>
          </w:p>
        </w:tc>
        <w:tc>
          <w:tcPr>
            <w:tcW w:w="120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w w:val="94"/>
              </w:rPr>
              <w:t>5.7%</w:t>
            </w:r>
          </w:p>
        </w:tc>
        <w:tc>
          <w:tcPr>
            <w:tcW w:w="660" w:type="dxa"/>
            <w:vAlign w:val="bottom"/>
            <w:tcBorders>
              <w:bottom w:val="single" w:sz="8" w:color="auto"/>
              <w:right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rPr>
              <w:t>-0.2%</w:t>
            </w:r>
          </w:p>
        </w:tc>
      </w:tr>
    </w:tbl>
    <w:p>
      <w:pPr>
        <w:spacing w:after="0" w:line="167"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Statement of Income</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(S/ Thousands, IFRS)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2960" w:type="dxa"/>
            <w:vAlign w:val="bottom"/>
            <w:tcBorders>
              <w:top w:val="single" w:sz="8" w:color="auto"/>
              <w:left w:val="single" w:sz="8" w:color="auto"/>
              <w:right w:val="single" w:sz="8" w:color="auto"/>
            </w:tcBorders>
            <w:shd w:val="clear" w:color="auto" w:fill="33CCCC"/>
          </w:tcPr>
          <w:p>
            <w:pPr>
              <w:spacing w:after="0"/>
              <w:rPr>
                <w:sz w:val="11"/>
                <w:szCs w:val="11"/>
                <w:color w:val="auto"/>
              </w:rPr>
            </w:pPr>
          </w:p>
        </w:tc>
        <w:tc>
          <w:tcPr>
            <w:tcW w:w="940" w:type="dxa"/>
            <w:vAlign w:val="bottom"/>
            <w:tcBorders>
              <w:top w:val="single" w:sz="8" w:color="auto"/>
            </w:tcBorders>
            <w:shd w:val="clear" w:color="auto" w:fill="33CCCC"/>
          </w:tcPr>
          <w:p>
            <w:pPr>
              <w:spacing w:after="0"/>
              <w:rPr>
                <w:sz w:val="11"/>
                <w:szCs w:val="11"/>
                <w:color w:val="auto"/>
              </w:rPr>
            </w:pPr>
          </w:p>
        </w:tc>
        <w:tc>
          <w:tcPr>
            <w:tcW w:w="960" w:type="dxa"/>
            <w:vAlign w:val="bottom"/>
            <w:tcBorders>
              <w:top w:val="single" w:sz="8" w:color="auto"/>
            </w:tcBorders>
            <w:shd w:val="clear" w:color="auto" w:fill="33CCCC"/>
          </w:tcPr>
          <w:p>
            <w:pPr>
              <w:ind w:left="300"/>
              <w:spacing w:after="0"/>
              <w:rPr>
                <w:sz w:val="20"/>
                <w:szCs w:val="20"/>
                <w:color w:val="auto"/>
              </w:rPr>
            </w:pPr>
            <w:r>
              <w:rPr>
                <w:rFonts w:ascii="Arial" w:cs="Arial" w:eastAsia="Arial" w:hAnsi="Arial"/>
                <w:sz w:val="10"/>
                <w:szCs w:val="10"/>
                <w:b w:val="1"/>
                <w:bCs w:val="1"/>
                <w:color w:val="FFFFFF"/>
              </w:rPr>
              <w:t>Quarter</w:t>
            </w:r>
          </w:p>
        </w:tc>
        <w:tc>
          <w:tcPr>
            <w:tcW w:w="1000" w:type="dxa"/>
            <w:vAlign w:val="bottom"/>
            <w:tcBorders>
              <w:top w:val="single" w:sz="8" w:color="auto"/>
              <w:right w:val="single" w:sz="8" w:color="auto"/>
            </w:tcBorders>
            <w:shd w:val="clear" w:color="auto" w:fill="33CCCC"/>
          </w:tcPr>
          <w:p>
            <w:pPr>
              <w:spacing w:after="0"/>
              <w:rPr>
                <w:sz w:val="11"/>
                <w:szCs w:val="11"/>
                <w:color w:val="auto"/>
              </w:rPr>
            </w:pPr>
          </w:p>
        </w:tc>
        <w:tc>
          <w:tcPr>
            <w:tcW w:w="1200" w:type="dxa"/>
            <w:vAlign w:val="bottom"/>
            <w:tcBorders>
              <w:top w:val="single" w:sz="8" w:color="auto"/>
            </w:tcBorders>
            <w:shd w:val="clear" w:color="auto" w:fill="33CCCC"/>
          </w:tcPr>
          <w:p>
            <w:pPr>
              <w:ind w:left="700"/>
              <w:spacing w:after="0"/>
              <w:rPr>
                <w:sz w:val="20"/>
                <w:szCs w:val="20"/>
                <w:color w:val="auto"/>
              </w:rPr>
            </w:pPr>
            <w:r>
              <w:rPr>
                <w:rFonts w:ascii="Arial" w:cs="Arial" w:eastAsia="Arial" w:hAnsi="Arial"/>
                <w:sz w:val="10"/>
                <w:szCs w:val="10"/>
                <w:b w:val="1"/>
                <w:bCs w:val="1"/>
                <w:color w:val="FFFFFF"/>
                <w:w w:val="99"/>
              </w:rPr>
              <w:t>% Change</w:t>
            </w:r>
          </w:p>
        </w:tc>
        <w:tc>
          <w:tcPr>
            <w:tcW w:w="680" w:type="dxa"/>
            <w:vAlign w:val="bottom"/>
            <w:tcBorders>
              <w:top w:val="single" w:sz="8" w:color="auto"/>
              <w:right w:val="single" w:sz="8" w:color="auto"/>
            </w:tcBorders>
            <w:shd w:val="clear" w:color="auto" w:fill="33CCCC"/>
          </w:tcPr>
          <w:p>
            <w:pPr>
              <w:spacing w:after="0"/>
              <w:rPr>
                <w:sz w:val="11"/>
                <w:szCs w:val="11"/>
                <w:color w:val="auto"/>
              </w:rPr>
            </w:pPr>
          </w:p>
        </w:tc>
        <w:tc>
          <w:tcPr>
            <w:tcW w:w="720" w:type="dxa"/>
            <w:vAlign w:val="bottom"/>
            <w:tcBorders>
              <w:top w:val="single" w:sz="8" w:color="auto"/>
            </w:tcBorders>
            <w:shd w:val="clear" w:color="auto" w:fill="33CCCC"/>
          </w:tcPr>
          <w:p>
            <w:pPr>
              <w:spacing w:after="0"/>
              <w:rPr>
                <w:sz w:val="11"/>
                <w:szCs w:val="11"/>
                <w:color w:val="auto"/>
              </w:rPr>
            </w:pPr>
          </w:p>
        </w:tc>
        <w:tc>
          <w:tcPr>
            <w:tcW w:w="1140" w:type="dxa"/>
            <w:vAlign w:val="bottom"/>
            <w:tcBorders>
              <w:top w:val="single" w:sz="8" w:color="auto"/>
              <w:right w:val="single" w:sz="8" w:color="auto"/>
            </w:tcBorders>
            <w:shd w:val="clear" w:color="auto" w:fill="33CCCC"/>
          </w:tcPr>
          <w:p>
            <w:pPr>
              <w:ind w:left="60"/>
              <w:spacing w:after="0"/>
              <w:rPr>
                <w:sz w:val="20"/>
                <w:szCs w:val="20"/>
                <w:color w:val="auto"/>
              </w:rPr>
            </w:pPr>
            <w:r>
              <w:rPr>
                <w:rFonts w:ascii="Arial" w:cs="Arial" w:eastAsia="Arial" w:hAnsi="Arial"/>
                <w:sz w:val="10"/>
                <w:szCs w:val="10"/>
                <w:b w:val="1"/>
                <w:bCs w:val="1"/>
                <w:color w:val="FFFFFF"/>
              </w:rPr>
              <w:t>Up to</w:t>
            </w:r>
          </w:p>
        </w:tc>
        <w:tc>
          <w:tcPr>
            <w:tcW w:w="8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5"/>
              </w:rPr>
              <w:t>% Change</w:t>
            </w:r>
          </w:p>
        </w:tc>
      </w:tr>
      <w:tr>
        <w:trPr>
          <w:trHeight w:val="121"/>
        </w:trPr>
        <w:tc>
          <w:tcPr>
            <w:tcW w:w="2960" w:type="dxa"/>
            <w:vAlign w:val="bottom"/>
            <w:tcBorders>
              <w:left w:val="single" w:sz="8" w:color="auto"/>
              <w:bottom w:val="single" w:sz="8" w:color="auto"/>
              <w:right w:val="single" w:sz="8" w:color="auto"/>
            </w:tcBorders>
            <w:shd w:val="clear" w:color="auto" w:fill="33CCCC"/>
          </w:tcPr>
          <w:p>
            <w:pPr>
              <w:spacing w:after="0"/>
              <w:rPr>
                <w:sz w:val="10"/>
                <w:szCs w:val="10"/>
                <w:color w:val="auto"/>
              </w:rPr>
            </w:pP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89"/>
              </w:rPr>
              <w:t>3Q24</w:t>
            </w:r>
          </w:p>
        </w:tc>
        <w:tc>
          <w:tcPr>
            <w:tcW w:w="9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89"/>
              </w:rPr>
              <w:t>2Q25</w:t>
            </w:r>
          </w:p>
        </w:tc>
        <w:tc>
          <w:tcPr>
            <w:tcW w:w="10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89"/>
              </w:rPr>
              <w:t>3Q25</w:t>
            </w:r>
          </w:p>
        </w:tc>
        <w:tc>
          <w:tcPr>
            <w:tcW w:w="1200" w:type="dxa"/>
            <w:vAlign w:val="bottom"/>
            <w:tcBorders>
              <w:bottom w:val="single" w:sz="8" w:color="auto"/>
            </w:tcBorders>
            <w:shd w:val="clear" w:color="auto" w:fill="33CCCC"/>
          </w:tcPr>
          <w:p>
            <w:pPr>
              <w:jc w:val="center"/>
              <w:ind w:right="232"/>
              <w:spacing w:after="0"/>
              <w:rPr>
                <w:sz w:val="20"/>
                <w:szCs w:val="20"/>
                <w:color w:val="auto"/>
              </w:rPr>
            </w:pPr>
            <w:r>
              <w:rPr>
                <w:rFonts w:ascii="Arial" w:cs="Arial" w:eastAsia="Arial" w:hAnsi="Arial"/>
                <w:sz w:val="10"/>
                <w:szCs w:val="10"/>
                <w:b w:val="1"/>
                <w:bCs w:val="1"/>
                <w:color w:val="FFFFFF"/>
                <w:w w:val="92"/>
              </w:rPr>
              <w:t>QoQ</w:t>
            </w:r>
          </w:p>
        </w:tc>
        <w:tc>
          <w:tcPr>
            <w:tcW w:w="680" w:type="dxa"/>
            <w:vAlign w:val="bottom"/>
            <w:tcBorders>
              <w:bottom w:val="single" w:sz="8" w:color="auto"/>
              <w:right w:val="single" w:sz="8" w:color="auto"/>
            </w:tcBorders>
            <w:shd w:val="clear" w:color="auto" w:fill="33CCCC"/>
          </w:tcPr>
          <w:p>
            <w:pPr>
              <w:jc w:val="center"/>
              <w:ind w:right="272"/>
              <w:spacing w:after="0"/>
              <w:rPr>
                <w:sz w:val="20"/>
                <w:szCs w:val="20"/>
                <w:color w:val="auto"/>
              </w:rPr>
            </w:pPr>
            <w:r>
              <w:rPr>
                <w:rFonts w:ascii="Arial" w:cs="Arial" w:eastAsia="Arial" w:hAnsi="Arial"/>
                <w:sz w:val="10"/>
                <w:szCs w:val="10"/>
                <w:b w:val="1"/>
                <w:bCs w:val="1"/>
                <w:color w:val="FFFFFF"/>
              </w:rPr>
              <w:t>YoY</w:t>
            </w:r>
          </w:p>
        </w:tc>
        <w:tc>
          <w:tcPr>
            <w:tcW w:w="720" w:type="dxa"/>
            <w:vAlign w:val="bottom"/>
            <w:tcBorders>
              <w:bottom w:val="single" w:sz="8" w:color="auto"/>
            </w:tcBorders>
            <w:shd w:val="clear" w:color="auto" w:fill="33CCCC"/>
          </w:tcPr>
          <w:p>
            <w:pPr>
              <w:ind w:left="300"/>
              <w:spacing w:after="0"/>
              <w:rPr>
                <w:sz w:val="20"/>
                <w:szCs w:val="20"/>
                <w:color w:val="auto"/>
              </w:rPr>
            </w:pPr>
            <w:r>
              <w:rPr>
                <w:rFonts w:ascii="Arial" w:cs="Arial" w:eastAsia="Arial" w:hAnsi="Arial"/>
                <w:sz w:val="10"/>
                <w:szCs w:val="10"/>
                <w:b w:val="1"/>
                <w:bCs w:val="1"/>
                <w:color w:val="FFFFFF"/>
              </w:rPr>
              <w:t>Sep 24</w:t>
            </w:r>
          </w:p>
        </w:tc>
        <w:tc>
          <w:tcPr>
            <w:tcW w:w="1140" w:type="dxa"/>
            <w:vAlign w:val="bottom"/>
            <w:tcBorders>
              <w:bottom w:val="single" w:sz="8" w:color="auto"/>
              <w:right w:val="single" w:sz="8" w:color="auto"/>
            </w:tcBorders>
            <w:shd w:val="clear" w:color="auto" w:fill="33CCCC"/>
          </w:tcPr>
          <w:p>
            <w:pPr>
              <w:ind w:left="500"/>
              <w:spacing w:after="0"/>
              <w:rPr>
                <w:sz w:val="20"/>
                <w:szCs w:val="20"/>
                <w:color w:val="auto"/>
              </w:rPr>
            </w:pPr>
            <w:r>
              <w:rPr>
                <w:rFonts w:ascii="Arial" w:cs="Arial" w:eastAsia="Arial" w:hAnsi="Arial"/>
                <w:sz w:val="10"/>
                <w:szCs w:val="10"/>
                <w:b w:val="1"/>
                <w:bCs w:val="1"/>
                <w:color w:val="FFFFFF"/>
              </w:rPr>
              <w:t>Sep 25</w:t>
            </w:r>
          </w:p>
        </w:tc>
        <w:tc>
          <w:tcPr>
            <w:tcW w:w="8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6"/>
              </w:rPr>
              <w:t>Sep 25 / Sep 24</w:t>
            </w:r>
          </w:p>
        </w:tc>
      </w:tr>
      <w:tr>
        <w:trPr>
          <w:trHeight w:val="113"/>
        </w:trPr>
        <w:tc>
          <w:tcPr>
            <w:tcW w:w="2960" w:type="dxa"/>
            <w:vAlign w:val="bottom"/>
            <w:tcBorders>
              <w:left w:val="single" w:sz="8" w:color="auto"/>
              <w:right w:val="single" w:sz="8" w:color="auto"/>
            </w:tcBorders>
          </w:tcPr>
          <w:p>
            <w:pPr>
              <w:ind w:left="20"/>
              <w:spacing w:after="0" w:line="114" w:lineRule="exact"/>
              <w:rPr>
                <w:sz w:val="20"/>
                <w:szCs w:val="20"/>
                <w:color w:val="auto"/>
              </w:rPr>
            </w:pPr>
            <w:r>
              <w:rPr>
                <w:rFonts w:ascii="Arial" w:cs="Arial" w:eastAsia="Arial" w:hAnsi="Arial"/>
                <w:sz w:val="10"/>
                <w:szCs w:val="10"/>
                <w:b w:val="1"/>
                <w:bCs w:val="1"/>
                <w:color w:val="auto"/>
              </w:rPr>
              <w:t>Interest income</w:t>
            </w: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Net share of the income from investments in subsidiaries and</w:t>
            </w:r>
          </w:p>
        </w:tc>
        <w:tc>
          <w:tcPr>
            <w:tcW w:w="940" w:type="dxa"/>
            <w:vAlign w:val="bottom"/>
          </w:tcPr>
          <w:p>
            <w:pPr>
              <w:jc w:val="center"/>
              <w:spacing w:after="0"/>
              <w:rPr>
                <w:sz w:val="20"/>
                <w:szCs w:val="20"/>
                <w:color w:val="auto"/>
              </w:rPr>
            </w:pPr>
            <w:r>
              <w:rPr>
                <w:rFonts w:ascii="Arial" w:cs="Arial" w:eastAsia="Arial" w:hAnsi="Arial"/>
                <w:sz w:val="10"/>
                <w:szCs w:val="10"/>
                <w:color w:val="auto"/>
                <w:w w:val="94"/>
              </w:rPr>
              <w:t>1,735,379</w:t>
            </w:r>
          </w:p>
        </w:tc>
        <w:tc>
          <w:tcPr>
            <w:tcW w:w="960" w:type="dxa"/>
            <w:vAlign w:val="bottom"/>
          </w:tcPr>
          <w:p>
            <w:pPr>
              <w:jc w:val="center"/>
              <w:spacing w:after="0"/>
              <w:rPr>
                <w:sz w:val="20"/>
                <w:szCs w:val="20"/>
                <w:color w:val="auto"/>
              </w:rPr>
            </w:pPr>
            <w:r>
              <w:rPr>
                <w:rFonts w:ascii="Arial" w:cs="Arial" w:eastAsia="Arial" w:hAnsi="Arial"/>
                <w:sz w:val="10"/>
                <w:szCs w:val="10"/>
                <w:color w:val="auto"/>
                <w:w w:val="94"/>
              </w:rPr>
              <w:t>2,490,226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1,820,418</w:t>
            </w:r>
          </w:p>
        </w:tc>
        <w:tc>
          <w:tcPr>
            <w:tcW w:w="1200" w:type="dxa"/>
            <w:vAlign w:val="bottom"/>
          </w:tcPr>
          <w:p>
            <w:pPr>
              <w:jc w:val="center"/>
              <w:ind w:right="252"/>
              <w:spacing w:after="0"/>
              <w:rPr>
                <w:sz w:val="20"/>
                <w:szCs w:val="20"/>
                <w:color w:val="auto"/>
              </w:rPr>
            </w:pPr>
            <w:r>
              <w:rPr>
                <w:rFonts w:ascii="Arial" w:cs="Arial" w:eastAsia="Arial" w:hAnsi="Arial"/>
                <w:sz w:val="10"/>
                <w:szCs w:val="10"/>
                <w:color w:val="auto"/>
                <w:w w:val="94"/>
              </w:rPr>
              <w:t>-26.9%</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6"/>
              </w:rPr>
              <w:t>4.9%</w:t>
            </w:r>
          </w:p>
        </w:tc>
        <w:tc>
          <w:tcPr>
            <w:tcW w:w="720" w:type="dxa"/>
            <w:vAlign w:val="bottom"/>
          </w:tcPr>
          <w:p>
            <w:pPr>
              <w:jc w:val="center"/>
              <w:ind w:left="132"/>
              <w:spacing w:after="0"/>
              <w:rPr>
                <w:sz w:val="20"/>
                <w:szCs w:val="20"/>
                <w:color w:val="auto"/>
              </w:rPr>
            </w:pPr>
            <w:r>
              <w:rPr>
                <w:rFonts w:ascii="Arial" w:cs="Arial" w:eastAsia="Arial" w:hAnsi="Arial"/>
                <w:sz w:val="10"/>
                <w:szCs w:val="10"/>
                <w:color w:val="auto"/>
                <w:w w:val="94"/>
              </w:rPr>
              <w:t>5,191,851</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4"/>
              </w:rPr>
              <w:t>5,971,110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15.0%</w:t>
            </w: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associates</w:t>
            </w: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Interest and similar income</w:t>
            </w:r>
          </w:p>
        </w:tc>
        <w:tc>
          <w:tcPr>
            <w:tcW w:w="940" w:type="dxa"/>
            <w:vAlign w:val="bottom"/>
          </w:tcPr>
          <w:p>
            <w:pPr>
              <w:jc w:val="center"/>
              <w:spacing w:after="0"/>
              <w:rPr>
                <w:sz w:val="20"/>
                <w:szCs w:val="20"/>
                <w:color w:val="auto"/>
              </w:rPr>
            </w:pPr>
            <w:r>
              <w:rPr>
                <w:rFonts w:ascii="Arial" w:cs="Arial" w:eastAsia="Arial" w:hAnsi="Arial"/>
                <w:sz w:val="10"/>
                <w:szCs w:val="10"/>
                <w:color w:val="auto"/>
                <w:w w:val="91"/>
              </w:rPr>
              <w:t>22,290</w:t>
            </w:r>
          </w:p>
        </w:tc>
        <w:tc>
          <w:tcPr>
            <w:tcW w:w="960" w:type="dxa"/>
            <w:vAlign w:val="bottom"/>
          </w:tcPr>
          <w:p>
            <w:pPr>
              <w:jc w:val="center"/>
              <w:spacing w:after="0"/>
              <w:rPr>
                <w:sz w:val="20"/>
                <w:szCs w:val="20"/>
                <w:color w:val="auto"/>
              </w:rPr>
            </w:pPr>
            <w:r>
              <w:rPr>
                <w:rFonts w:ascii="Arial" w:cs="Arial" w:eastAsia="Arial" w:hAnsi="Arial"/>
                <w:sz w:val="10"/>
                <w:szCs w:val="10"/>
                <w:color w:val="auto"/>
                <w:w w:val="91"/>
              </w:rPr>
              <w:t>19,281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300</w:t>
            </w:r>
          </w:p>
        </w:tc>
        <w:tc>
          <w:tcPr>
            <w:tcW w:w="1200" w:type="dxa"/>
            <w:vAlign w:val="bottom"/>
          </w:tcPr>
          <w:p>
            <w:pPr>
              <w:jc w:val="center"/>
              <w:ind w:right="252"/>
              <w:spacing w:after="0"/>
              <w:rPr>
                <w:sz w:val="20"/>
                <w:szCs w:val="20"/>
                <w:color w:val="auto"/>
              </w:rPr>
            </w:pPr>
            <w:r>
              <w:rPr>
                <w:rFonts w:ascii="Arial" w:cs="Arial" w:eastAsia="Arial" w:hAnsi="Arial"/>
                <w:sz w:val="10"/>
                <w:szCs w:val="10"/>
                <w:color w:val="auto"/>
                <w:w w:val="94"/>
              </w:rPr>
              <w:t>-98.4%</w:t>
            </w:r>
          </w:p>
        </w:tc>
        <w:tc>
          <w:tcPr>
            <w:tcW w:w="680" w:type="dxa"/>
            <w:vAlign w:val="bottom"/>
            <w:tcBorders>
              <w:right w:val="single" w:sz="8" w:color="auto"/>
            </w:tcBorders>
          </w:tcPr>
          <w:p>
            <w:pPr>
              <w:jc w:val="center"/>
              <w:ind w:right="272"/>
              <w:spacing w:after="0"/>
              <w:rPr>
                <w:sz w:val="20"/>
                <w:szCs w:val="20"/>
                <w:color w:val="auto"/>
              </w:rPr>
            </w:pPr>
            <w:r>
              <w:rPr>
                <w:rFonts w:ascii="Arial" w:cs="Arial" w:eastAsia="Arial" w:hAnsi="Arial"/>
                <w:sz w:val="10"/>
                <w:szCs w:val="10"/>
                <w:color w:val="auto"/>
              </w:rPr>
              <w:t>-98.7%</w:t>
            </w:r>
          </w:p>
        </w:tc>
        <w:tc>
          <w:tcPr>
            <w:tcW w:w="720" w:type="dxa"/>
            <w:vAlign w:val="bottom"/>
          </w:tcPr>
          <w:p>
            <w:pPr>
              <w:jc w:val="center"/>
              <w:ind w:left="132"/>
              <w:spacing w:after="0"/>
              <w:rPr>
                <w:sz w:val="20"/>
                <w:szCs w:val="20"/>
                <w:color w:val="auto"/>
              </w:rPr>
            </w:pPr>
            <w:r>
              <w:rPr>
                <w:rFonts w:ascii="Arial" w:cs="Arial" w:eastAsia="Arial" w:hAnsi="Arial"/>
                <w:sz w:val="10"/>
                <w:szCs w:val="10"/>
                <w:color w:val="auto"/>
                <w:w w:val="97"/>
              </w:rPr>
              <w:t>69,067</w:t>
            </w:r>
          </w:p>
        </w:tc>
        <w:tc>
          <w:tcPr>
            <w:tcW w:w="1140" w:type="dxa"/>
            <w:vAlign w:val="bottom"/>
            <w:tcBorders>
              <w:right w:val="single" w:sz="8" w:color="auto"/>
            </w:tcBorders>
          </w:tcPr>
          <w:p>
            <w:pPr>
              <w:jc w:val="center"/>
              <w:ind w:left="132"/>
              <w:spacing w:after="0"/>
              <w:rPr>
                <w:sz w:val="20"/>
                <w:szCs w:val="20"/>
                <w:color w:val="auto"/>
              </w:rPr>
            </w:pPr>
            <w:r>
              <w:rPr>
                <w:rFonts w:ascii="Arial" w:cs="Arial" w:eastAsia="Arial" w:hAnsi="Arial"/>
                <w:sz w:val="10"/>
                <w:szCs w:val="10"/>
                <w:color w:val="auto"/>
                <w:w w:val="91"/>
              </w:rPr>
              <w:t>40,893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-40.8%</w:t>
            </w:r>
          </w:p>
        </w:tc>
      </w:tr>
      <w:tr>
        <w:trPr>
          <w:trHeight w:val="11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Net gain on financial assets at fair value through profit or loss</w:t>
            </w:r>
          </w:p>
        </w:tc>
        <w:tc>
          <w:tcPr>
            <w:tcW w:w="94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96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1200" w:type="dxa"/>
            <w:vAlign w:val="bottom"/>
          </w:tcPr>
          <w:p>
            <w:pPr>
              <w:jc w:val="center"/>
              <w:ind w:right="232"/>
              <w:spacing w:after="0"/>
              <w:rPr>
                <w:sz w:val="20"/>
                <w:szCs w:val="20"/>
                <w:color w:val="auto"/>
              </w:rPr>
            </w:pPr>
            <w:r>
              <w:rPr>
                <w:rFonts w:ascii="Arial" w:cs="Arial" w:eastAsia="Arial" w:hAnsi="Arial"/>
                <w:sz w:val="10"/>
                <w:szCs w:val="10"/>
                <w:color w:val="auto"/>
                <w:w w:val="95"/>
              </w:rPr>
              <w:t>n.a.</w:t>
            </w:r>
          </w:p>
        </w:tc>
        <w:tc>
          <w:tcPr>
            <w:tcW w:w="680" w:type="dxa"/>
            <w:vAlign w:val="bottom"/>
            <w:tcBorders>
              <w:right w:val="single" w:sz="8" w:color="auto"/>
            </w:tcBorders>
          </w:tcPr>
          <w:p>
            <w:pPr>
              <w:jc w:val="center"/>
              <w:ind w:right="272"/>
              <w:spacing w:after="0"/>
              <w:rPr>
                <w:sz w:val="20"/>
                <w:szCs w:val="20"/>
                <w:color w:val="auto"/>
              </w:rPr>
            </w:pPr>
            <w:r>
              <w:rPr>
                <w:rFonts w:ascii="Arial" w:cs="Arial" w:eastAsia="Arial" w:hAnsi="Arial"/>
                <w:sz w:val="10"/>
                <w:szCs w:val="10"/>
                <w:color w:val="auto"/>
                <w:w w:val="95"/>
              </w:rPr>
              <w:t>n.a.</w:t>
            </w:r>
          </w:p>
        </w:tc>
        <w:tc>
          <w:tcPr>
            <w:tcW w:w="720" w:type="dxa"/>
            <w:vAlign w:val="bottom"/>
          </w:tcPr>
          <w:p>
            <w:pPr>
              <w:jc w:val="center"/>
              <w:ind w:left="112"/>
              <w:spacing w:after="0"/>
              <w:rPr>
                <w:sz w:val="20"/>
                <w:szCs w:val="20"/>
                <w:color w:val="auto"/>
              </w:rPr>
            </w:pPr>
            <w:r>
              <w:rPr>
                <w:rFonts w:ascii="Arial" w:cs="Arial" w:eastAsia="Arial" w:hAnsi="Arial"/>
                <w:sz w:val="10"/>
                <w:szCs w:val="10"/>
                <w:color w:val="auto"/>
                <w:w w:val="95"/>
              </w:rPr>
              <w:t>1,234</w:t>
            </w:r>
          </w:p>
        </w:tc>
        <w:tc>
          <w:tcPr>
            <w:tcW w:w="1140" w:type="dxa"/>
            <w:vAlign w:val="bottom"/>
            <w:tcBorders>
              <w:right w:val="single" w:sz="8" w:color="auto"/>
            </w:tcBorders>
          </w:tcPr>
          <w:p>
            <w:pPr>
              <w:jc w:val="center"/>
              <w:ind w:left="132"/>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n.a.</w:t>
            </w:r>
          </w:p>
        </w:tc>
      </w:tr>
      <w:tr>
        <w:trPr>
          <w:trHeight w:val="133"/>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Total income</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4"/>
              </w:rPr>
              <w:t>1,757,669</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94"/>
              </w:rPr>
              <w:t>2,509,507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1,820,718</w:t>
            </w:r>
          </w:p>
        </w:tc>
        <w:tc>
          <w:tcPr>
            <w:tcW w:w="1200" w:type="dxa"/>
            <w:vAlign w:val="bottom"/>
          </w:tcPr>
          <w:p>
            <w:pPr>
              <w:jc w:val="center"/>
              <w:ind w:right="252"/>
              <w:spacing w:after="0"/>
              <w:rPr>
                <w:sz w:val="20"/>
                <w:szCs w:val="20"/>
                <w:color w:val="auto"/>
              </w:rPr>
            </w:pPr>
            <w:r>
              <w:rPr>
                <w:rFonts w:ascii="Arial" w:cs="Arial" w:eastAsia="Arial" w:hAnsi="Arial"/>
                <w:sz w:val="10"/>
                <w:szCs w:val="10"/>
                <w:b w:val="1"/>
                <w:bCs w:val="1"/>
                <w:color w:val="auto"/>
                <w:w w:val="94"/>
              </w:rPr>
              <w:t>-27.4%</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96"/>
              </w:rPr>
              <w:t>3.6%</w:t>
            </w:r>
          </w:p>
        </w:tc>
        <w:tc>
          <w:tcPr>
            <w:tcW w:w="720" w:type="dxa"/>
            <w:vAlign w:val="bottom"/>
          </w:tcPr>
          <w:p>
            <w:pPr>
              <w:jc w:val="center"/>
              <w:ind w:left="132"/>
              <w:spacing w:after="0"/>
              <w:rPr>
                <w:sz w:val="20"/>
                <w:szCs w:val="20"/>
                <w:color w:val="auto"/>
              </w:rPr>
            </w:pPr>
            <w:r>
              <w:rPr>
                <w:rFonts w:ascii="Arial" w:cs="Arial" w:eastAsia="Arial" w:hAnsi="Arial"/>
                <w:sz w:val="10"/>
                <w:szCs w:val="10"/>
                <w:b w:val="1"/>
                <w:bCs w:val="1"/>
                <w:color w:val="auto"/>
                <w:w w:val="94"/>
              </w:rPr>
              <w:t>5,262,152</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b w:val="1"/>
                <w:bCs w:val="1"/>
                <w:color w:val="auto"/>
                <w:w w:val="94"/>
              </w:rPr>
              <w:t>6,012,003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14.2%</w:t>
            </w:r>
          </w:p>
        </w:tc>
      </w:tr>
      <w:tr>
        <w:trPr>
          <w:trHeight w:val="229"/>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Interest and similar expense</w:t>
            </w:r>
          </w:p>
        </w:tc>
        <w:tc>
          <w:tcPr>
            <w:tcW w:w="940" w:type="dxa"/>
            <w:vAlign w:val="bottom"/>
          </w:tcPr>
          <w:p>
            <w:pPr>
              <w:jc w:val="center"/>
              <w:spacing w:after="0"/>
              <w:rPr>
                <w:sz w:val="20"/>
                <w:szCs w:val="20"/>
                <w:color w:val="auto"/>
              </w:rPr>
            </w:pPr>
            <w:r>
              <w:rPr>
                <w:rFonts w:ascii="Arial" w:cs="Arial" w:eastAsia="Arial" w:hAnsi="Arial"/>
                <w:sz w:val="10"/>
                <w:szCs w:val="10"/>
                <w:color w:val="auto"/>
                <w:w w:val="96"/>
              </w:rPr>
              <w:t>(13,527)</w:t>
            </w:r>
          </w:p>
        </w:tc>
        <w:tc>
          <w:tcPr>
            <w:tcW w:w="960" w:type="dxa"/>
            <w:vAlign w:val="bottom"/>
          </w:tcPr>
          <w:p>
            <w:pPr>
              <w:jc w:val="center"/>
              <w:spacing w:after="0"/>
              <w:rPr>
                <w:sz w:val="20"/>
                <w:szCs w:val="20"/>
                <w:color w:val="auto"/>
              </w:rPr>
            </w:pPr>
            <w:r>
              <w:rPr>
                <w:rFonts w:ascii="Arial" w:cs="Arial" w:eastAsia="Arial" w:hAnsi="Arial"/>
                <w:sz w:val="10"/>
                <w:szCs w:val="10"/>
                <w:color w:val="auto"/>
                <w:w w:val="96"/>
              </w:rPr>
              <w:t>(11,388)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(9)</w:t>
            </w:r>
          </w:p>
        </w:tc>
        <w:tc>
          <w:tcPr>
            <w:tcW w:w="1200" w:type="dxa"/>
            <w:vAlign w:val="bottom"/>
          </w:tcPr>
          <w:p>
            <w:pPr>
              <w:jc w:val="center"/>
              <w:ind w:right="232"/>
              <w:spacing w:after="0"/>
              <w:rPr>
                <w:sz w:val="20"/>
                <w:szCs w:val="20"/>
                <w:color w:val="auto"/>
              </w:rPr>
            </w:pPr>
            <w:r>
              <w:rPr>
                <w:rFonts w:ascii="Arial" w:cs="Arial" w:eastAsia="Arial" w:hAnsi="Arial"/>
                <w:sz w:val="10"/>
                <w:szCs w:val="10"/>
                <w:color w:val="auto"/>
                <w:w w:val="95"/>
              </w:rPr>
              <w:t>n.a.</w:t>
            </w:r>
          </w:p>
        </w:tc>
        <w:tc>
          <w:tcPr>
            <w:tcW w:w="680" w:type="dxa"/>
            <w:vAlign w:val="bottom"/>
            <w:tcBorders>
              <w:right w:val="single" w:sz="8" w:color="auto"/>
            </w:tcBorders>
          </w:tcPr>
          <w:p>
            <w:pPr>
              <w:jc w:val="center"/>
              <w:ind w:right="272"/>
              <w:spacing w:after="0"/>
              <w:rPr>
                <w:sz w:val="20"/>
                <w:szCs w:val="20"/>
                <w:color w:val="auto"/>
              </w:rPr>
            </w:pPr>
            <w:r>
              <w:rPr>
                <w:rFonts w:ascii="Arial" w:cs="Arial" w:eastAsia="Arial" w:hAnsi="Arial"/>
                <w:sz w:val="10"/>
                <w:szCs w:val="10"/>
                <w:color w:val="auto"/>
                <w:w w:val="95"/>
              </w:rPr>
              <w:t>n.a.</w:t>
            </w:r>
          </w:p>
        </w:tc>
        <w:tc>
          <w:tcPr>
            <w:tcW w:w="720" w:type="dxa"/>
            <w:vAlign w:val="bottom"/>
          </w:tcPr>
          <w:p>
            <w:pPr>
              <w:jc w:val="center"/>
              <w:ind w:left="112"/>
              <w:spacing w:after="0"/>
              <w:rPr>
                <w:sz w:val="20"/>
                <w:szCs w:val="20"/>
                <w:color w:val="auto"/>
              </w:rPr>
            </w:pPr>
            <w:r>
              <w:rPr>
                <w:rFonts w:ascii="Arial" w:cs="Arial" w:eastAsia="Arial" w:hAnsi="Arial"/>
                <w:sz w:val="10"/>
                <w:szCs w:val="10"/>
                <w:color w:val="auto"/>
                <w:w w:val="96"/>
              </w:rPr>
              <w:t>(40,600)</w:t>
            </w:r>
          </w:p>
        </w:tc>
        <w:tc>
          <w:tcPr>
            <w:tcW w:w="1140" w:type="dxa"/>
            <w:vAlign w:val="bottom"/>
            <w:tcBorders>
              <w:right w:val="single" w:sz="8" w:color="auto"/>
            </w:tcBorders>
          </w:tcPr>
          <w:p>
            <w:pPr>
              <w:jc w:val="center"/>
              <w:ind w:left="132"/>
              <w:spacing w:after="0"/>
              <w:rPr>
                <w:sz w:val="20"/>
                <w:szCs w:val="20"/>
                <w:color w:val="auto"/>
              </w:rPr>
            </w:pPr>
            <w:r>
              <w:rPr>
                <w:rFonts w:ascii="Arial" w:cs="Arial" w:eastAsia="Arial" w:hAnsi="Arial"/>
                <w:sz w:val="10"/>
                <w:szCs w:val="10"/>
                <w:color w:val="auto"/>
                <w:w w:val="96"/>
              </w:rPr>
              <w:t>(24,525)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-39.6%</w:t>
            </w:r>
          </w:p>
        </w:tc>
      </w:tr>
      <w:tr>
        <w:trPr>
          <w:trHeight w:val="11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Administrative and general expenses</w:t>
            </w:r>
          </w:p>
        </w:tc>
        <w:tc>
          <w:tcPr>
            <w:tcW w:w="940" w:type="dxa"/>
            <w:vAlign w:val="bottom"/>
          </w:tcPr>
          <w:p>
            <w:pPr>
              <w:jc w:val="center"/>
              <w:spacing w:after="0"/>
              <w:rPr>
                <w:sz w:val="20"/>
                <w:szCs w:val="20"/>
                <w:color w:val="auto"/>
              </w:rPr>
            </w:pPr>
            <w:r>
              <w:rPr>
                <w:rFonts w:ascii="Arial" w:cs="Arial" w:eastAsia="Arial" w:hAnsi="Arial"/>
                <w:sz w:val="10"/>
                <w:szCs w:val="10"/>
                <w:color w:val="auto"/>
                <w:w w:val="94"/>
              </w:rPr>
              <w:t>(4,034)</w:t>
            </w:r>
          </w:p>
        </w:tc>
        <w:tc>
          <w:tcPr>
            <w:tcW w:w="960" w:type="dxa"/>
            <w:vAlign w:val="bottom"/>
          </w:tcPr>
          <w:p>
            <w:pPr>
              <w:jc w:val="center"/>
              <w:spacing w:after="0"/>
              <w:rPr>
                <w:sz w:val="20"/>
                <w:szCs w:val="20"/>
                <w:color w:val="auto"/>
              </w:rPr>
            </w:pPr>
            <w:r>
              <w:rPr>
                <w:rFonts w:ascii="Arial" w:cs="Arial" w:eastAsia="Arial" w:hAnsi="Arial"/>
                <w:sz w:val="10"/>
                <w:szCs w:val="10"/>
                <w:color w:val="auto"/>
                <w:w w:val="94"/>
              </w:rPr>
              <w:t>(5,211)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(4,435)</w:t>
            </w:r>
          </w:p>
        </w:tc>
        <w:tc>
          <w:tcPr>
            <w:tcW w:w="1200" w:type="dxa"/>
            <w:vAlign w:val="bottom"/>
          </w:tcPr>
          <w:p>
            <w:pPr>
              <w:jc w:val="center"/>
              <w:ind w:right="252"/>
              <w:spacing w:after="0"/>
              <w:rPr>
                <w:sz w:val="20"/>
                <w:szCs w:val="20"/>
                <w:color w:val="auto"/>
              </w:rPr>
            </w:pPr>
            <w:r>
              <w:rPr>
                <w:rFonts w:ascii="Arial" w:cs="Arial" w:eastAsia="Arial" w:hAnsi="Arial"/>
                <w:sz w:val="10"/>
                <w:szCs w:val="10"/>
                <w:color w:val="auto"/>
                <w:w w:val="94"/>
              </w:rPr>
              <w:t>-14.9%</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6"/>
              </w:rPr>
              <w:t>9.9%</w:t>
            </w:r>
          </w:p>
        </w:tc>
        <w:tc>
          <w:tcPr>
            <w:tcW w:w="720" w:type="dxa"/>
            <w:vAlign w:val="bottom"/>
          </w:tcPr>
          <w:p>
            <w:pPr>
              <w:jc w:val="center"/>
              <w:ind w:left="112"/>
              <w:spacing w:after="0"/>
              <w:rPr>
                <w:sz w:val="20"/>
                <w:szCs w:val="20"/>
                <w:color w:val="auto"/>
              </w:rPr>
            </w:pPr>
            <w:r>
              <w:rPr>
                <w:rFonts w:ascii="Arial" w:cs="Arial" w:eastAsia="Arial" w:hAnsi="Arial"/>
                <w:sz w:val="10"/>
                <w:szCs w:val="10"/>
                <w:color w:val="auto"/>
                <w:w w:val="96"/>
              </w:rPr>
              <w:t>(13,951)</w:t>
            </w:r>
          </w:p>
        </w:tc>
        <w:tc>
          <w:tcPr>
            <w:tcW w:w="1140" w:type="dxa"/>
            <w:vAlign w:val="bottom"/>
            <w:tcBorders>
              <w:right w:val="single" w:sz="8" w:color="auto"/>
            </w:tcBorders>
          </w:tcPr>
          <w:p>
            <w:pPr>
              <w:jc w:val="center"/>
              <w:ind w:left="132"/>
              <w:spacing w:after="0"/>
              <w:rPr>
                <w:sz w:val="20"/>
                <w:szCs w:val="20"/>
                <w:color w:val="auto"/>
              </w:rPr>
            </w:pPr>
            <w:r>
              <w:rPr>
                <w:rFonts w:ascii="Arial" w:cs="Arial" w:eastAsia="Arial" w:hAnsi="Arial"/>
                <w:sz w:val="10"/>
                <w:szCs w:val="10"/>
                <w:color w:val="auto"/>
                <w:w w:val="96"/>
              </w:rPr>
              <w:t>(14,714)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5.5%</w:t>
            </w:r>
          </w:p>
        </w:tc>
      </w:tr>
      <w:tr>
        <w:trPr>
          <w:trHeight w:val="133"/>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Total expenses</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6"/>
              </w:rPr>
              <w:t>(17,561)</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96"/>
              </w:rPr>
              <w:t>(16,599)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(4,444)</w:t>
            </w:r>
          </w:p>
        </w:tc>
        <w:tc>
          <w:tcPr>
            <w:tcW w:w="1200" w:type="dxa"/>
            <w:vAlign w:val="bottom"/>
          </w:tcPr>
          <w:p>
            <w:pPr>
              <w:jc w:val="center"/>
              <w:ind w:right="252"/>
              <w:spacing w:after="0"/>
              <w:rPr>
                <w:sz w:val="20"/>
                <w:szCs w:val="20"/>
                <w:color w:val="auto"/>
              </w:rPr>
            </w:pPr>
            <w:r>
              <w:rPr>
                <w:rFonts w:ascii="Arial" w:cs="Arial" w:eastAsia="Arial" w:hAnsi="Arial"/>
                <w:sz w:val="10"/>
                <w:szCs w:val="10"/>
                <w:b w:val="1"/>
                <w:bCs w:val="1"/>
                <w:color w:val="auto"/>
                <w:w w:val="94"/>
              </w:rPr>
              <w:t>-73.2%</w:t>
            </w:r>
          </w:p>
        </w:tc>
        <w:tc>
          <w:tcPr>
            <w:tcW w:w="680" w:type="dxa"/>
            <w:vAlign w:val="bottom"/>
            <w:tcBorders>
              <w:right w:val="single" w:sz="8" w:color="auto"/>
            </w:tcBorders>
          </w:tcPr>
          <w:p>
            <w:pPr>
              <w:jc w:val="center"/>
              <w:ind w:right="272"/>
              <w:spacing w:after="0"/>
              <w:rPr>
                <w:sz w:val="20"/>
                <w:szCs w:val="20"/>
                <w:color w:val="auto"/>
              </w:rPr>
            </w:pPr>
            <w:r>
              <w:rPr>
                <w:rFonts w:ascii="Arial" w:cs="Arial" w:eastAsia="Arial" w:hAnsi="Arial"/>
                <w:sz w:val="10"/>
                <w:szCs w:val="10"/>
                <w:b w:val="1"/>
                <w:bCs w:val="1"/>
                <w:color w:val="auto"/>
              </w:rPr>
              <w:t>-74.7%</w:t>
            </w:r>
          </w:p>
        </w:tc>
        <w:tc>
          <w:tcPr>
            <w:tcW w:w="720" w:type="dxa"/>
            <w:vAlign w:val="bottom"/>
          </w:tcPr>
          <w:p>
            <w:pPr>
              <w:jc w:val="center"/>
              <w:ind w:left="112"/>
              <w:spacing w:after="0"/>
              <w:rPr>
                <w:sz w:val="20"/>
                <w:szCs w:val="20"/>
                <w:color w:val="auto"/>
              </w:rPr>
            </w:pPr>
            <w:r>
              <w:rPr>
                <w:rFonts w:ascii="Arial" w:cs="Arial" w:eastAsia="Arial" w:hAnsi="Arial"/>
                <w:sz w:val="10"/>
                <w:szCs w:val="10"/>
                <w:b w:val="1"/>
                <w:bCs w:val="1"/>
                <w:color w:val="auto"/>
                <w:w w:val="96"/>
              </w:rPr>
              <w:t>(54,551)</w:t>
            </w:r>
          </w:p>
        </w:tc>
        <w:tc>
          <w:tcPr>
            <w:tcW w:w="1140" w:type="dxa"/>
            <w:vAlign w:val="bottom"/>
            <w:tcBorders>
              <w:right w:val="single" w:sz="8" w:color="auto"/>
            </w:tcBorders>
          </w:tcPr>
          <w:p>
            <w:pPr>
              <w:jc w:val="center"/>
              <w:ind w:left="132"/>
              <w:spacing w:after="0"/>
              <w:rPr>
                <w:sz w:val="20"/>
                <w:szCs w:val="20"/>
                <w:color w:val="auto"/>
              </w:rPr>
            </w:pPr>
            <w:r>
              <w:rPr>
                <w:rFonts w:ascii="Arial" w:cs="Arial" w:eastAsia="Arial" w:hAnsi="Arial"/>
                <w:sz w:val="10"/>
                <w:szCs w:val="10"/>
                <w:b w:val="1"/>
                <w:bCs w:val="1"/>
                <w:color w:val="auto"/>
                <w:w w:val="96"/>
              </w:rPr>
              <w:t>(39,239)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-28.1%</w:t>
            </w:r>
          </w:p>
        </w:tc>
      </w:tr>
      <w:tr>
        <w:trPr>
          <w:trHeight w:val="24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Operating income</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4"/>
              </w:rPr>
              <w:t>1,740,108</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94"/>
              </w:rPr>
              <w:t>2,492,908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1,816,274</w:t>
            </w:r>
          </w:p>
        </w:tc>
        <w:tc>
          <w:tcPr>
            <w:tcW w:w="1200" w:type="dxa"/>
            <w:vAlign w:val="bottom"/>
          </w:tcPr>
          <w:p>
            <w:pPr>
              <w:jc w:val="center"/>
              <w:ind w:right="252"/>
              <w:spacing w:after="0"/>
              <w:rPr>
                <w:sz w:val="20"/>
                <w:szCs w:val="20"/>
                <w:color w:val="auto"/>
              </w:rPr>
            </w:pPr>
            <w:r>
              <w:rPr>
                <w:rFonts w:ascii="Arial" w:cs="Arial" w:eastAsia="Arial" w:hAnsi="Arial"/>
                <w:sz w:val="10"/>
                <w:szCs w:val="10"/>
                <w:b w:val="1"/>
                <w:bCs w:val="1"/>
                <w:color w:val="auto"/>
                <w:w w:val="94"/>
              </w:rPr>
              <w:t>-27.1%</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96"/>
              </w:rPr>
              <w:t>4.4%</w:t>
            </w:r>
          </w:p>
        </w:tc>
        <w:tc>
          <w:tcPr>
            <w:tcW w:w="720" w:type="dxa"/>
            <w:vAlign w:val="bottom"/>
          </w:tcPr>
          <w:p>
            <w:pPr>
              <w:jc w:val="center"/>
              <w:ind w:left="132"/>
              <w:spacing w:after="0"/>
              <w:rPr>
                <w:sz w:val="20"/>
                <w:szCs w:val="20"/>
                <w:color w:val="auto"/>
              </w:rPr>
            </w:pPr>
            <w:r>
              <w:rPr>
                <w:rFonts w:ascii="Arial" w:cs="Arial" w:eastAsia="Arial" w:hAnsi="Arial"/>
                <w:sz w:val="10"/>
                <w:szCs w:val="10"/>
                <w:b w:val="1"/>
                <w:bCs w:val="1"/>
                <w:color w:val="auto"/>
                <w:w w:val="94"/>
              </w:rPr>
              <w:t>5,207,601</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b w:val="1"/>
                <w:bCs w:val="1"/>
                <w:color w:val="auto"/>
                <w:w w:val="94"/>
              </w:rPr>
              <w:t>5,972,764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14.7%</w:t>
            </w:r>
          </w:p>
        </w:tc>
      </w:tr>
      <w:tr>
        <w:trPr>
          <w:trHeight w:val="229"/>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Results from exchange differences</w:t>
            </w:r>
          </w:p>
        </w:tc>
        <w:tc>
          <w:tcPr>
            <w:tcW w:w="940" w:type="dxa"/>
            <w:vAlign w:val="bottom"/>
          </w:tcPr>
          <w:p>
            <w:pPr>
              <w:jc w:val="center"/>
              <w:spacing w:after="0"/>
              <w:rPr>
                <w:sz w:val="20"/>
                <w:szCs w:val="20"/>
                <w:color w:val="auto"/>
              </w:rPr>
            </w:pPr>
            <w:r>
              <w:rPr>
                <w:rFonts w:ascii="Arial" w:cs="Arial" w:eastAsia="Arial" w:hAnsi="Arial"/>
                <w:sz w:val="10"/>
                <w:szCs w:val="10"/>
                <w:color w:val="auto"/>
                <w:w w:val="94"/>
              </w:rPr>
              <w:t>(119)</w:t>
            </w:r>
          </w:p>
        </w:tc>
        <w:tc>
          <w:tcPr>
            <w:tcW w:w="960" w:type="dxa"/>
            <w:vAlign w:val="bottom"/>
          </w:tcPr>
          <w:p>
            <w:pPr>
              <w:jc w:val="center"/>
              <w:spacing w:after="0"/>
              <w:rPr>
                <w:sz w:val="20"/>
                <w:szCs w:val="20"/>
                <w:color w:val="auto"/>
              </w:rPr>
            </w:pPr>
            <w:r>
              <w:rPr>
                <w:rFonts w:ascii="Arial" w:cs="Arial" w:eastAsia="Arial" w:hAnsi="Arial"/>
                <w:sz w:val="10"/>
                <w:szCs w:val="10"/>
                <w:color w:val="auto"/>
                <w:w w:val="94"/>
              </w:rPr>
              <w:t>(3,468)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9"/>
              </w:rPr>
              <w:t>67</w:t>
            </w:r>
          </w:p>
        </w:tc>
        <w:tc>
          <w:tcPr>
            <w:tcW w:w="1200" w:type="dxa"/>
            <w:vAlign w:val="bottom"/>
          </w:tcPr>
          <w:p>
            <w:pPr>
              <w:jc w:val="center"/>
              <w:ind w:right="232"/>
              <w:spacing w:after="0"/>
              <w:rPr>
                <w:sz w:val="20"/>
                <w:szCs w:val="20"/>
                <w:color w:val="auto"/>
              </w:rPr>
            </w:pPr>
            <w:r>
              <w:rPr>
                <w:rFonts w:ascii="Arial" w:cs="Arial" w:eastAsia="Arial" w:hAnsi="Arial"/>
                <w:sz w:val="10"/>
                <w:szCs w:val="10"/>
                <w:color w:val="auto"/>
                <w:w w:val="95"/>
              </w:rPr>
              <w:t>n.a.</w:t>
            </w:r>
          </w:p>
        </w:tc>
        <w:tc>
          <w:tcPr>
            <w:tcW w:w="680" w:type="dxa"/>
            <w:vAlign w:val="bottom"/>
            <w:tcBorders>
              <w:right w:val="single" w:sz="8" w:color="auto"/>
            </w:tcBorders>
          </w:tcPr>
          <w:p>
            <w:pPr>
              <w:jc w:val="center"/>
              <w:ind w:right="272"/>
              <w:spacing w:after="0"/>
              <w:rPr>
                <w:sz w:val="20"/>
                <w:szCs w:val="20"/>
                <w:color w:val="auto"/>
              </w:rPr>
            </w:pPr>
            <w:r>
              <w:rPr>
                <w:rFonts w:ascii="Arial" w:cs="Arial" w:eastAsia="Arial" w:hAnsi="Arial"/>
                <w:sz w:val="10"/>
                <w:szCs w:val="10"/>
                <w:color w:val="auto"/>
                <w:w w:val="95"/>
              </w:rPr>
              <w:t>n.a.</w:t>
            </w:r>
          </w:p>
        </w:tc>
        <w:tc>
          <w:tcPr>
            <w:tcW w:w="720" w:type="dxa"/>
            <w:vAlign w:val="bottom"/>
          </w:tcPr>
          <w:p>
            <w:pPr>
              <w:jc w:val="center"/>
              <w:ind w:left="132"/>
              <w:spacing w:after="0"/>
              <w:rPr>
                <w:sz w:val="20"/>
                <w:szCs w:val="20"/>
                <w:color w:val="auto"/>
              </w:rPr>
            </w:pPr>
            <w:r>
              <w:rPr>
                <w:rFonts w:ascii="Arial" w:cs="Arial" w:eastAsia="Arial" w:hAnsi="Arial"/>
                <w:sz w:val="10"/>
                <w:szCs w:val="10"/>
                <w:color w:val="auto"/>
                <w:w w:val="94"/>
              </w:rPr>
              <w:t>(2,856)</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4"/>
              </w:rPr>
              <w:t>(3,336)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16.8%</w:t>
            </w:r>
          </w:p>
        </w:tc>
      </w:tr>
      <w:tr>
        <w:trPr>
          <w:trHeight w:val="125"/>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Other, net</w:t>
            </w:r>
          </w:p>
        </w:tc>
        <w:tc>
          <w:tcPr>
            <w:tcW w:w="940" w:type="dxa"/>
            <w:vAlign w:val="bottom"/>
          </w:tcPr>
          <w:p>
            <w:pPr>
              <w:jc w:val="center"/>
              <w:spacing w:after="0"/>
              <w:rPr>
                <w:sz w:val="20"/>
                <w:szCs w:val="20"/>
                <w:color w:val="auto"/>
              </w:rPr>
            </w:pPr>
            <w:r>
              <w:rPr>
                <w:rFonts w:ascii="Arial" w:cs="Arial" w:eastAsia="Arial" w:hAnsi="Arial"/>
                <w:sz w:val="10"/>
                <w:szCs w:val="10"/>
                <w:color w:val="auto"/>
                <w:w w:val="94"/>
              </w:rPr>
              <w:t>(367)</w:t>
            </w:r>
          </w:p>
        </w:tc>
        <w:tc>
          <w:tcPr>
            <w:tcW w:w="960" w:type="dxa"/>
            <w:vAlign w:val="bottom"/>
          </w:tcPr>
          <w:p>
            <w:pPr>
              <w:jc w:val="center"/>
              <w:spacing w:after="0"/>
              <w:rPr>
                <w:sz w:val="20"/>
                <w:szCs w:val="20"/>
                <w:color w:val="auto"/>
              </w:rPr>
            </w:pPr>
            <w:r>
              <w:rPr>
                <w:rFonts w:ascii="Arial" w:cs="Arial" w:eastAsia="Arial" w:hAnsi="Arial"/>
                <w:sz w:val="10"/>
                <w:szCs w:val="10"/>
                <w:color w:val="auto"/>
                <w:w w:val="94"/>
              </w:rPr>
              <w:t>(121)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(7)</w:t>
            </w:r>
          </w:p>
        </w:tc>
        <w:tc>
          <w:tcPr>
            <w:tcW w:w="1200" w:type="dxa"/>
            <w:vAlign w:val="bottom"/>
          </w:tcPr>
          <w:p>
            <w:pPr>
              <w:jc w:val="center"/>
              <w:ind w:right="252"/>
              <w:spacing w:after="0"/>
              <w:rPr>
                <w:sz w:val="20"/>
                <w:szCs w:val="20"/>
                <w:color w:val="auto"/>
              </w:rPr>
            </w:pPr>
            <w:r>
              <w:rPr>
                <w:rFonts w:ascii="Arial" w:cs="Arial" w:eastAsia="Arial" w:hAnsi="Arial"/>
                <w:sz w:val="10"/>
                <w:szCs w:val="10"/>
                <w:color w:val="auto"/>
                <w:w w:val="94"/>
              </w:rPr>
              <w:t>-94.2%</w:t>
            </w:r>
          </w:p>
        </w:tc>
        <w:tc>
          <w:tcPr>
            <w:tcW w:w="680" w:type="dxa"/>
            <w:vAlign w:val="bottom"/>
            <w:tcBorders>
              <w:right w:val="single" w:sz="8" w:color="auto"/>
            </w:tcBorders>
          </w:tcPr>
          <w:p>
            <w:pPr>
              <w:jc w:val="center"/>
              <w:ind w:right="272"/>
              <w:spacing w:after="0"/>
              <w:rPr>
                <w:sz w:val="20"/>
                <w:szCs w:val="20"/>
                <w:color w:val="auto"/>
              </w:rPr>
            </w:pPr>
            <w:r>
              <w:rPr>
                <w:rFonts w:ascii="Arial" w:cs="Arial" w:eastAsia="Arial" w:hAnsi="Arial"/>
                <w:sz w:val="10"/>
                <w:szCs w:val="10"/>
                <w:color w:val="auto"/>
              </w:rPr>
              <w:t>-98.1%</w:t>
            </w:r>
          </w:p>
        </w:tc>
        <w:tc>
          <w:tcPr>
            <w:tcW w:w="720" w:type="dxa"/>
            <w:vAlign w:val="bottom"/>
          </w:tcPr>
          <w:p>
            <w:pPr>
              <w:jc w:val="center"/>
              <w:ind w:left="132"/>
              <w:spacing w:after="0"/>
              <w:rPr>
                <w:sz w:val="20"/>
                <w:szCs w:val="20"/>
                <w:color w:val="auto"/>
              </w:rPr>
            </w:pPr>
            <w:r>
              <w:rPr>
                <w:rFonts w:ascii="Arial" w:cs="Arial" w:eastAsia="Arial" w:hAnsi="Arial"/>
                <w:sz w:val="10"/>
                <w:szCs w:val="10"/>
                <w:color w:val="auto"/>
                <w:w w:val="94"/>
              </w:rPr>
              <w:t>(345)</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4"/>
              </w:rPr>
              <w:t>(313)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-9.3%</w:t>
            </w:r>
          </w:p>
        </w:tc>
      </w:tr>
      <w:tr>
        <w:trPr>
          <w:trHeight w:val="235"/>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Profit before income tax</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4"/>
              </w:rPr>
              <w:t>1,739,622</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94"/>
              </w:rPr>
              <w:t>2,489,319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1,816,334</w:t>
            </w:r>
          </w:p>
        </w:tc>
        <w:tc>
          <w:tcPr>
            <w:tcW w:w="1200" w:type="dxa"/>
            <w:vAlign w:val="bottom"/>
          </w:tcPr>
          <w:p>
            <w:pPr>
              <w:jc w:val="center"/>
              <w:ind w:right="252"/>
              <w:spacing w:after="0"/>
              <w:rPr>
                <w:sz w:val="20"/>
                <w:szCs w:val="20"/>
                <w:color w:val="auto"/>
              </w:rPr>
            </w:pPr>
            <w:r>
              <w:rPr>
                <w:rFonts w:ascii="Arial" w:cs="Arial" w:eastAsia="Arial" w:hAnsi="Arial"/>
                <w:sz w:val="10"/>
                <w:szCs w:val="10"/>
                <w:b w:val="1"/>
                <w:bCs w:val="1"/>
                <w:color w:val="auto"/>
                <w:w w:val="94"/>
              </w:rPr>
              <w:t>-27.0%</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96"/>
              </w:rPr>
              <w:t>4.4%</w:t>
            </w:r>
          </w:p>
        </w:tc>
        <w:tc>
          <w:tcPr>
            <w:tcW w:w="720" w:type="dxa"/>
            <w:vAlign w:val="bottom"/>
          </w:tcPr>
          <w:p>
            <w:pPr>
              <w:jc w:val="center"/>
              <w:ind w:left="132"/>
              <w:spacing w:after="0"/>
              <w:rPr>
                <w:sz w:val="20"/>
                <w:szCs w:val="20"/>
                <w:color w:val="auto"/>
              </w:rPr>
            </w:pPr>
            <w:r>
              <w:rPr>
                <w:rFonts w:ascii="Arial" w:cs="Arial" w:eastAsia="Arial" w:hAnsi="Arial"/>
                <w:sz w:val="10"/>
                <w:szCs w:val="10"/>
                <w:b w:val="1"/>
                <w:bCs w:val="1"/>
                <w:color w:val="auto"/>
                <w:w w:val="94"/>
              </w:rPr>
              <w:t>5,204,400</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b w:val="1"/>
                <w:bCs w:val="1"/>
                <w:color w:val="auto"/>
                <w:w w:val="94"/>
              </w:rPr>
              <w:t>5,969,115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14.7%</w:t>
            </w:r>
          </w:p>
        </w:tc>
      </w:tr>
      <w:tr>
        <w:trPr>
          <w:trHeight w:val="11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Income tax</w:t>
            </w:r>
          </w:p>
        </w:tc>
        <w:tc>
          <w:tcPr>
            <w:tcW w:w="940" w:type="dxa"/>
            <w:vAlign w:val="bottom"/>
          </w:tcPr>
          <w:p>
            <w:pPr>
              <w:jc w:val="center"/>
              <w:spacing w:after="0"/>
              <w:rPr>
                <w:sz w:val="20"/>
                <w:szCs w:val="20"/>
                <w:color w:val="auto"/>
              </w:rPr>
            </w:pPr>
            <w:r>
              <w:rPr>
                <w:rFonts w:ascii="Arial" w:cs="Arial" w:eastAsia="Arial" w:hAnsi="Arial"/>
                <w:sz w:val="10"/>
                <w:szCs w:val="10"/>
                <w:color w:val="auto"/>
                <w:w w:val="96"/>
              </w:rPr>
              <w:t>(43,118)</w:t>
            </w:r>
          </w:p>
        </w:tc>
        <w:tc>
          <w:tcPr>
            <w:tcW w:w="960" w:type="dxa"/>
            <w:vAlign w:val="bottom"/>
          </w:tcPr>
          <w:p>
            <w:pPr>
              <w:jc w:val="center"/>
              <w:spacing w:after="0"/>
              <w:rPr>
                <w:sz w:val="20"/>
                <w:szCs w:val="20"/>
                <w:color w:val="auto"/>
              </w:rPr>
            </w:pPr>
            <w:r>
              <w:rPr>
                <w:rFonts w:ascii="Arial" w:cs="Arial" w:eastAsia="Arial" w:hAnsi="Arial"/>
                <w:sz w:val="10"/>
                <w:szCs w:val="10"/>
                <w:color w:val="auto"/>
                <w:w w:val="96"/>
              </w:rPr>
              <w:t>(52,310)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(60,945)</w:t>
            </w:r>
          </w:p>
        </w:tc>
        <w:tc>
          <w:tcPr>
            <w:tcW w:w="1200" w:type="dxa"/>
            <w:vAlign w:val="bottom"/>
          </w:tcPr>
          <w:p>
            <w:pPr>
              <w:jc w:val="center"/>
              <w:ind w:right="252"/>
              <w:spacing w:after="0"/>
              <w:rPr>
                <w:sz w:val="20"/>
                <w:szCs w:val="20"/>
                <w:color w:val="auto"/>
              </w:rPr>
            </w:pPr>
            <w:r>
              <w:rPr>
                <w:rFonts w:ascii="Arial" w:cs="Arial" w:eastAsia="Arial" w:hAnsi="Arial"/>
                <w:sz w:val="10"/>
                <w:szCs w:val="10"/>
                <w:color w:val="auto"/>
                <w:w w:val="91"/>
              </w:rPr>
              <w:t>16.5%</w:t>
            </w:r>
          </w:p>
        </w:tc>
        <w:tc>
          <w:tcPr>
            <w:tcW w:w="680" w:type="dxa"/>
            <w:vAlign w:val="bottom"/>
            <w:tcBorders>
              <w:right w:val="single" w:sz="8" w:color="auto"/>
            </w:tcBorders>
          </w:tcPr>
          <w:p>
            <w:pPr>
              <w:jc w:val="center"/>
              <w:ind w:right="272"/>
              <w:spacing w:after="0"/>
              <w:rPr>
                <w:sz w:val="20"/>
                <w:szCs w:val="20"/>
                <w:color w:val="auto"/>
              </w:rPr>
            </w:pPr>
            <w:r>
              <w:rPr>
                <w:rFonts w:ascii="Arial" w:cs="Arial" w:eastAsia="Arial" w:hAnsi="Arial"/>
                <w:sz w:val="10"/>
                <w:szCs w:val="10"/>
                <w:color w:val="auto"/>
                <w:w w:val="98"/>
              </w:rPr>
              <w:t>41.3%</w:t>
            </w:r>
          </w:p>
        </w:tc>
        <w:tc>
          <w:tcPr>
            <w:tcW w:w="720" w:type="dxa"/>
            <w:vAlign w:val="bottom"/>
          </w:tcPr>
          <w:p>
            <w:pPr>
              <w:jc w:val="center"/>
              <w:ind w:left="132"/>
              <w:spacing w:after="0"/>
              <w:rPr>
                <w:sz w:val="20"/>
                <w:szCs w:val="20"/>
                <w:color w:val="auto"/>
              </w:rPr>
            </w:pPr>
            <w:r>
              <w:rPr>
                <w:rFonts w:ascii="Arial" w:cs="Arial" w:eastAsia="Arial" w:hAnsi="Arial"/>
                <w:sz w:val="10"/>
                <w:szCs w:val="10"/>
                <w:color w:val="auto"/>
                <w:w w:val="98"/>
              </w:rPr>
              <w:t>(138,101)</w:t>
            </w:r>
          </w:p>
        </w:tc>
        <w:tc>
          <w:tcPr>
            <w:tcW w:w="1140" w:type="dxa"/>
            <w:vAlign w:val="bottom"/>
            <w:tcBorders>
              <w:right w:val="single" w:sz="8" w:color="auto"/>
            </w:tcBorders>
          </w:tcPr>
          <w:p>
            <w:pPr>
              <w:jc w:val="center"/>
              <w:ind w:left="132"/>
              <w:spacing w:after="0"/>
              <w:rPr>
                <w:sz w:val="20"/>
                <w:szCs w:val="20"/>
                <w:color w:val="auto"/>
              </w:rPr>
            </w:pPr>
            <w:r>
              <w:rPr>
                <w:rFonts w:ascii="Arial" w:cs="Arial" w:eastAsia="Arial" w:hAnsi="Arial"/>
                <w:sz w:val="10"/>
                <w:szCs w:val="10"/>
                <w:color w:val="auto"/>
                <w:w w:val="93"/>
              </w:rPr>
              <w:t>(158,326)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14.6%</w:t>
            </w:r>
          </w:p>
        </w:tc>
      </w:tr>
      <w:tr>
        <w:trPr>
          <w:trHeight w:val="121"/>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income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1,696,504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2,437,009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1,755,389</w:t>
            </w:r>
          </w:p>
        </w:tc>
        <w:tc>
          <w:tcPr>
            <w:tcW w:w="1200" w:type="dxa"/>
            <w:vAlign w:val="bottom"/>
            <w:tcBorders>
              <w:bottom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94"/>
              </w:rPr>
              <w:t>-28.0%</w:t>
            </w:r>
          </w:p>
        </w:tc>
        <w:tc>
          <w:tcPr>
            <w:tcW w:w="680" w:type="dxa"/>
            <w:vAlign w:val="bottom"/>
            <w:tcBorders>
              <w:bottom w:val="single" w:sz="8" w:color="auto"/>
              <w:right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96"/>
              </w:rPr>
              <w:t>3.5%</w:t>
            </w:r>
          </w:p>
        </w:tc>
        <w:tc>
          <w:tcPr>
            <w:tcW w:w="72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b w:val="1"/>
                <w:bCs w:val="1"/>
                <w:color w:val="auto"/>
                <w:w w:val="94"/>
              </w:rPr>
              <w:t>5,066,299</w:t>
            </w:r>
          </w:p>
        </w:tc>
        <w:tc>
          <w:tcPr>
            <w:tcW w:w="1140" w:type="dxa"/>
            <w:vAlign w:val="bottom"/>
            <w:tcBorders>
              <w:bottom w:val="single" w:sz="8" w:color="auto"/>
              <w:right w:val="single" w:sz="8" w:color="auto"/>
            </w:tcBorders>
          </w:tcPr>
          <w:p>
            <w:pPr>
              <w:jc w:val="center"/>
              <w:ind w:left="112"/>
              <w:spacing w:after="0"/>
              <w:rPr>
                <w:sz w:val="20"/>
                <w:szCs w:val="20"/>
                <w:color w:val="auto"/>
              </w:rPr>
            </w:pPr>
            <w:r>
              <w:rPr>
                <w:rFonts w:ascii="Arial" w:cs="Arial" w:eastAsia="Arial" w:hAnsi="Arial"/>
                <w:sz w:val="10"/>
                <w:szCs w:val="10"/>
                <w:b w:val="1"/>
                <w:bCs w:val="1"/>
                <w:color w:val="auto"/>
                <w:w w:val="94"/>
              </w:rPr>
              <w:t>5,810,789</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14.7%</w:t>
            </w:r>
          </w:p>
        </w:tc>
      </w:tr>
      <w:tr>
        <w:trPr>
          <w:trHeight w:val="172"/>
        </w:trPr>
        <w:tc>
          <w:tcPr>
            <w:tcW w:w="29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12"/>
        </w:trPr>
        <w:tc>
          <w:tcPr>
            <w:tcW w:w="2960" w:type="dxa"/>
            <w:vAlign w:val="bottom"/>
            <w:tcBorders>
              <w:bottom w:val="single" w:sz="8" w:color="auto"/>
              <w:right w:val="single" w:sz="8" w:color="auto"/>
            </w:tcBorders>
          </w:tcPr>
          <w:p>
            <w:pPr>
              <w:ind w:left="20"/>
              <w:spacing w:after="0" w:line="112" w:lineRule="exact"/>
              <w:rPr>
                <w:sz w:val="20"/>
                <w:szCs w:val="20"/>
                <w:color w:val="auto"/>
              </w:rPr>
            </w:pPr>
            <w:r>
              <w:rPr>
                <w:rFonts w:ascii="Arial" w:cs="Arial" w:eastAsia="Arial" w:hAnsi="Arial"/>
                <w:sz w:val="10"/>
                <w:szCs w:val="10"/>
                <w:b w:val="1"/>
                <w:bCs w:val="1"/>
                <w:color w:val="auto"/>
              </w:rPr>
              <w:t>Double Leverage Ratio</w:t>
            </w:r>
          </w:p>
        </w:tc>
        <w:tc>
          <w:tcPr>
            <w:tcW w:w="94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b w:val="1"/>
                <w:bCs w:val="1"/>
                <w:color w:val="auto"/>
                <w:w w:val="91"/>
              </w:rPr>
              <w:t>99.3%</w:t>
            </w:r>
          </w:p>
        </w:tc>
        <w:tc>
          <w:tcPr>
            <w:tcW w:w="96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b w:val="1"/>
                <w:bCs w:val="1"/>
                <w:color w:val="auto"/>
                <w:w w:val="91"/>
              </w:rPr>
              <w:t>99.7%</w:t>
            </w:r>
          </w:p>
        </w:tc>
        <w:tc>
          <w:tcPr>
            <w:tcW w:w="100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0"/>
                <w:szCs w:val="10"/>
                <w:b w:val="1"/>
                <w:bCs w:val="1"/>
                <w:color w:val="auto"/>
                <w:w w:val="91"/>
              </w:rPr>
              <w:t>99.9%</w:t>
            </w:r>
          </w:p>
        </w:tc>
        <w:tc>
          <w:tcPr>
            <w:tcW w:w="1200" w:type="dxa"/>
            <w:vAlign w:val="bottom"/>
            <w:tcBorders>
              <w:bottom w:val="single" w:sz="8" w:color="auto"/>
            </w:tcBorders>
          </w:tcPr>
          <w:p>
            <w:pPr>
              <w:jc w:val="center"/>
              <w:ind w:right="252"/>
              <w:spacing w:after="0" w:line="112" w:lineRule="exact"/>
              <w:rPr>
                <w:sz w:val="20"/>
                <w:szCs w:val="20"/>
                <w:color w:val="auto"/>
              </w:rPr>
            </w:pPr>
            <w:r>
              <w:rPr>
                <w:rFonts w:ascii="Arial" w:cs="Arial" w:eastAsia="Arial" w:hAnsi="Arial"/>
                <w:sz w:val="10"/>
                <w:szCs w:val="10"/>
                <w:b w:val="1"/>
                <w:bCs w:val="1"/>
                <w:color w:val="auto"/>
                <w:w w:val="94"/>
              </w:rPr>
              <w:t>23 bps</w:t>
            </w:r>
          </w:p>
        </w:tc>
        <w:tc>
          <w:tcPr>
            <w:tcW w:w="680" w:type="dxa"/>
            <w:vAlign w:val="bottom"/>
            <w:tcBorders>
              <w:bottom w:val="single" w:sz="8" w:color="auto"/>
              <w:right w:val="single" w:sz="8" w:color="auto"/>
            </w:tcBorders>
          </w:tcPr>
          <w:p>
            <w:pPr>
              <w:jc w:val="center"/>
              <w:ind w:right="252"/>
              <w:spacing w:after="0" w:line="112" w:lineRule="exact"/>
              <w:rPr>
                <w:sz w:val="20"/>
                <w:szCs w:val="20"/>
                <w:color w:val="auto"/>
              </w:rPr>
            </w:pPr>
            <w:r>
              <w:rPr>
                <w:rFonts w:ascii="Arial" w:cs="Arial" w:eastAsia="Arial" w:hAnsi="Arial"/>
                <w:sz w:val="10"/>
                <w:szCs w:val="10"/>
                <w:b w:val="1"/>
                <w:bCs w:val="1"/>
                <w:color w:val="auto"/>
                <w:w w:val="94"/>
              </w:rPr>
              <w:t>62 bps</w:t>
            </w:r>
          </w:p>
        </w:tc>
        <w:tc>
          <w:tcPr>
            <w:tcW w:w="720" w:type="dxa"/>
            <w:vAlign w:val="bottom"/>
            <w:tcBorders>
              <w:bottom w:val="single" w:sz="8" w:color="auto"/>
            </w:tcBorders>
          </w:tcPr>
          <w:p>
            <w:pPr>
              <w:jc w:val="center"/>
              <w:ind w:left="112"/>
              <w:spacing w:after="0" w:line="112" w:lineRule="exact"/>
              <w:rPr>
                <w:sz w:val="20"/>
                <w:szCs w:val="20"/>
                <w:color w:val="auto"/>
              </w:rPr>
            </w:pPr>
            <w:r>
              <w:rPr>
                <w:rFonts w:ascii="Arial" w:cs="Arial" w:eastAsia="Arial" w:hAnsi="Arial"/>
                <w:sz w:val="10"/>
                <w:szCs w:val="10"/>
                <w:b w:val="1"/>
                <w:bCs w:val="1"/>
                <w:color w:val="auto"/>
                <w:w w:val="98"/>
              </w:rPr>
              <w:t>99.3%</w:t>
            </w:r>
          </w:p>
        </w:tc>
        <w:tc>
          <w:tcPr>
            <w:tcW w:w="1140" w:type="dxa"/>
            <w:vAlign w:val="bottom"/>
            <w:tcBorders>
              <w:bottom w:val="single" w:sz="8" w:color="auto"/>
              <w:right w:val="single" w:sz="8" w:color="auto"/>
            </w:tcBorders>
          </w:tcPr>
          <w:p>
            <w:pPr>
              <w:jc w:val="center"/>
              <w:ind w:left="112"/>
              <w:spacing w:after="0" w:line="112" w:lineRule="exact"/>
              <w:rPr>
                <w:sz w:val="20"/>
                <w:szCs w:val="20"/>
                <w:color w:val="auto"/>
              </w:rPr>
            </w:pPr>
            <w:r>
              <w:rPr>
                <w:rFonts w:ascii="Arial" w:cs="Arial" w:eastAsia="Arial" w:hAnsi="Arial"/>
                <w:sz w:val="10"/>
                <w:szCs w:val="10"/>
                <w:b w:val="1"/>
                <w:bCs w:val="1"/>
                <w:color w:val="auto"/>
                <w:w w:val="91"/>
              </w:rPr>
              <w:t>99.9%</w:t>
            </w:r>
          </w:p>
        </w:tc>
        <w:tc>
          <w:tcPr>
            <w:tcW w:w="86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0"/>
                <w:szCs w:val="10"/>
                <w:b w:val="1"/>
                <w:bCs w:val="1"/>
                <w:color w:val="auto"/>
                <w:w w:val="94"/>
              </w:rPr>
              <w:t>62 bps</w:t>
            </w:r>
          </w:p>
        </w:tc>
      </w:tr>
      <w:tr>
        <w:trPr>
          <w:trHeight w:val="1280"/>
        </w:trPr>
        <w:tc>
          <w:tcPr>
            <w:tcW w:w="29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-715645</wp:posOffset>
            </wp:positionV>
            <wp:extent cx="6517005" cy="6096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517005" cy="609600"/>
                    </a:xfrm>
                    <a:prstGeom prst="rect">
                      <a:avLst/>
                    </a:prstGeom>
                    <a:noFill/>
                  </pic:spPr>
                </pic:pic>
              </a:graphicData>
            </a:graphic>
          </wp:anchor>
        </w:drawing>
      </w:r>
    </w:p>
    <w:p>
      <w:pPr>
        <w:sectPr>
          <w:pgSz w:w="11900" w:h="16840" w:orient="portrait"/>
          <w:cols w:equalWidth="0" w:num="1">
            <w:col w:w="10460"/>
          </w:cols>
          <w:pgMar w:left="660" w:top="931" w:right="780" w:bottom="1440" w:gutter="0" w:footer="0" w:header="0"/>
        </w:sectPr>
      </w:pPr>
    </w:p>
    <w:bookmarkStart w:id="62" w:name="page63"/>
    <w:bookmarkEnd w:id="62"/>
    <w:p>
      <w:pPr>
        <w:ind w:left="2520"/>
        <w:spacing w:after="0"/>
        <w:tabs>
          <w:tab w:leader="none" w:pos="2760" w:val="left"/>
          <w:tab w:leader="none" w:pos="81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638925" cy="662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63892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638925" cy="2057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3892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12.7.3BCP Consolidated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tbl>
      <w:tblPr>
        <w:tblLayout w:type="fixed"/>
        <w:tblInd w:w="10" w:type="dxa"/>
        <w:tblCellMar>
          <w:top w:w="0" w:type="dxa"/>
          <w:left w:w="0" w:type="dxa"/>
          <w:bottom w:w="0" w:type="dxa"/>
          <w:right w:w="0" w:type="dxa"/>
        </w:tblCellMar>
      </w:tblPr>
      <w:tr>
        <w:trPr>
          <w:trHeight w:val="124"/>
        </w:trPr>
        <w:tc>
          <w:tcPr>
            <w:tcW w:w="5780" w:type="dxa"/>
            <w:vAlign w:val="bottom"/>
            <w:tcBorders>
              <w:top w:val="single" w:sz="8" w:color="auto"/>
              <w:left w:val="single" w:sz="8" w:color="auto"/>
              <w:right w:val="single" w:sz="8" w:color="auto"/>
            </w:tcBorders>
            <w:shd w:val="clear" w:color="auto" w:fill="33CCCC"/>
          </w:tcPr>
          <w:p>
            <w:pPr>
              <w:spacing w:after="0"/>
              <w:rPr>
                <w:sz w:val="10"/>
                <w:szCs w:val="10"/>
                <w:color w:val="auto"/>
              </w:rPr>
            </w:pPr>
          </w:p>
        </w:tc>
        <w:tc>
          <w:tcPr>
            <w:tcW w:w="920" w:type="dxa"/>
            <w:vAlign w:val="bottom"/>
            <w:tcBorders>
              <w:top w:val="single" w:sz="8" w:color="auto"/>
            </w:tcBorders>
            <w:shd w:val="clear" w:color="auto" w:fill="33CCCC"/>
          </w:tcPr>
          <w:p>
            <w:pPr>
              <w:spacing w:after="0"/>
              <w:rPr>
                <w:sz w:val="10"/>
                <w:szCs w:val="10"/>
                <w:color w:val="auto"/>
              </w:rPr>
            </w:pPr>
          </w:p>
        </w:tc>
        <w:tc>
          <w:tcPr>
            <w:tcW w:w="940" w:type="dxa"/>
            <w:vAlign w:val="bottom"/>
            <w:tcBorders>
              <w:top w:val="single" w:sz="8" w:color="auto"/>
            </w:tcBorders>
            <w:shd w:val="clear" w:color="auto" w:fill="33CCCC"/>
          </w:tcPr>
          <w:p>
            <w:pPr>
              <w:jc w:val="center"/>
              <w:spacing w:after="0" w:line="124" w:lineRule="exact"/>
              <w:rPr>
                <w:sz w:val="20"/>
                <w:szCs w:val="20"/>
                <w:color w:val="auto"/>
              </w:rPr>
            </w:pPr>
            <w:r>
              <w:rPr>
                <w:rFonts w:ascii="Arial" w:cs="Arial" w:eastAsia="Arial" w:hAnsi="Arial"/>
                <w:sz w:val="11"/>
                <w:szCs w:val="11"/>
                <w:b w:val="1"/>
                <w:bCs w:val="1"/>
                <w:color w:val="FFFFFF"/>
                <w:w w:val="94"/>
              </w:rPr>
              <w:t>As of</w:t>
            </w:r>
          </w:p>
        </w:tc>
        <w:tc>
          <w:tcPr>
            <w:tcW w:w="960" w:type="dxa"/>
            <w:vAlign w:val="bottom"/>
            <w:tcBorders>
              <w:top w:val="single" w:sz="8" w:color="auto"/>
              <w:right w:val="single" w:sz="8" w:color="auto"/>
            </w:tcBorders>
            <w:shd w:val="clear" w:color="auto" w:fill="33CCCC"/>
          </w:tcPr>
          <w:p>
            <w:pPr>
              <w:spacing w:after="0"/>
              <w:rPr>
                <w:sz w:val="10"/>
                <w:szCs w:val="10"/>
                <w:color w:val="auto"/>
              </w:rPr>
            </w:pPr>
          </w:p>
        </w:tc>
        <w:tc>
          <w:tcPr>
            <w:tcW w:w="640" w:type="dxa"/>
            <w:vAlign w:val="bottom"/>
            <w:tcBorders>
              <w:top w:val="single" w:sz="8" w:color="auto"/>
            </w:tcBorders>
            <w:shd w:val="clear" w:color="auto" w:fill="33CCCC"/>
          </w:tcPr>
          <w:p>
            <w:pPr>
              <w:spacing w:after="0"/>
              <w:rPr>
                <w:sz w:val="10"/>
                <w:szCs w:val="10"/>
                <w:color w:val="auto"/>
              </w:rPr>
            </w:pPr>
          </w:p>
        </w:tc>
        <w:tc>
          <w:tcPr>
            <w:tcW w:w="1220" w:type="dxa"/>
            <w:vAlign w:val="bottom"/>
            <w:tcBorders>
              <w:top w:val="single" w:sz="8" w:color="auto"/>
              <w:right w:val="single" w:sz="8" w:color="auto"/>
            </w:tcBorders>
            <w:shd w:val="clear" w:color="auto" w:fill="33CCCC"/>
          </w:tcPr>
          <w:p>
            <w:pPr>
              <w:ind w:left="20"/>
              <w:spacing w:after="0" w:line="124" w:lineRule="exact"/>
              <w:rPr>
                <w:sz w:val="20"/>
                <w:szCs w:val="20"/>
                <w:color w:val="auto"/>
              </w:rPr>
            </w:pPr>
            <w:r>
              <w:rPr>
                <w:rFonts w:ascii="Arial" w:cs="Arial" w:eastAsia="Arial" w:hAnsi="Arial"/>
                <w:sz w:val="11"/>
                <w:szCs w:val="11"/>
                <w:b w:val="1"/>
                <w:bCs w:val="1"/>
                <w:color w:val="FFFFFF"/>
              </w:rPr>
              <w:t>% change</w:t>
            </w:r>
          </w:p>
        </w:tc>
      </w:tr>
      <w:tr>
        <w:trPr>
          <w:trHeight w:val="132"/>
        </w:trPr>
        <w:tc>
          <w:tcPr>
            <w:tcW w:w="578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92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11"/>
                <w:szCs w:val="11"/>
                <w:b w:val="1"/>
                <w:bCs w:val="1"/>
                <w:color w:val="FFFFFF"/>
              </w:rPr>
              <w:t>Sep 24</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Jun 25</w:t>
            </w:r>
          </w:p>
        </w:tc>
        <w:tc>
          <w:tcPr>
            <w:tcW w:w="960" w:type="dxa"/>
            <w:vAlign w:val="bottom"/>
            <w:tcBorders>
              <w:bottom w:val="single" w:sz="8" w:color="auto"/>
              <w:right w:val="single" w:sz="8" w:color="auto"/>
            </w:tcBorders>
            <w:shd w:val="clear" w:color="auto" w:fill="33CCCC"/>
          </w:tcPr>
          <w:p>
            <w:pPr>
              <w:ind w:left="300"/>
              <w:spacing w:after="0"/>
              <w:rPr>
                <w:sz w:val="20"/>
                <w:szCs w:val="20"/>
                <w:color w:val="auto"/>
              </w:rPr>
            </w:pPr>
            <w:r>
              <w:rPr>
                <w:rFonts w:ascii="Arial" w:cs="Arial" w:eastAsia="Arial" w:hAnsi="Arial"/>
                <w:sz w:val="11"/>
                <w:szCs w:val="11"/>
                <w:b w:val="1"/>
                <w:bCs w:val="1"/>
                <w:color w:val="FFFFFF"/>
              </w:rPr>
              <w:t>Sep 25</w:t>
            </w:r>
          </w:p>
        </w:tc>
        <w:tc>
          <w:tcPr>
            <w:tcW w:w="640" w:type="dxa"/>
            <w:vAlign w:val="bottom"/>
            <w:tcBorders>
              <w:bottom w:val="single" w:sz="8" w:color="auto"/>
            </w:tcBorders>
            <w:shd w:val="clear" w:color="auto" w:fill="33CCCC"/>
          </w:tcPr>
          <w:p>
            <w:pPr>
              <w:ind w:left="340"/>
              <w:spacing w:after="0"/>
              <w:rPr>
                <w:sz w:val="20"/>
                <w:szCs w:val="20"/>
                <w:color w:val="auto"/>
              </w:rPr>
            </w:pPr>
            <w:r>
              <w:rPr>
                <w:rFonts w:ascii="Arial" w:cs="Arial" w:eastAsia="Arial" w:hAnsi="Arial"/>
                <w:sz w:val="11"/>
                <w:szCs w:val="11"/>
                <w:b w:val="1"/>
                <w:bCs w:val="1"/>
                <w:color w:val="FFFFFF"/>
              </w:rPr>
              <w:t>QoQ</w:t>
            </w:r>
          </w:p>
        </w:tc>
        <w:tc>
          <w:tcPr>
            <w:tcW w:w="1220" w:type="dxa"/>
            <w:vAlign w:val="bottom"/>
            <w:tcBorders>
              <w:bottom w:val="single" w:sz="8" w:color="auto"/>
              <w:right w:val="single" w:sz="8" w:color="auto"/>
            </w:tcBorders>
            <w:shd w:val="clear" w:color="auto" w:fill="33CCCC"/>
          </w:tcPr>
          <w:p>
            <w:pPr>
              <w:ind w:left="640"/>
              <w:spacing w:after="0"/>
              <w:rPr>
                <w:sz w:val="20"/>
                <w:szCs w:val="20"/>
                <w:color w:val="auto"/>
              </w:rPr>
            </w:pPr>
            <w:r>
              <w:rPr>
                <w:rFonts w:ascii="Arial" w:cs="Arial" w:eastAsia="Arial" w:hAnsi="Arial"/>
                <w:sz w:val="11"/>
                <w:szCs w:val="11"/>
                <w:b w:val="1"/>
                <w:bCs w:val="1"/>
                <w:color w:val="FFFFFF"/>
              </w:rPr>
              <w:t>YoY</w:t>
            </w:r>
          </w:p>
        </w:tc>
      </w:tr>
      <w:tr>
        <w:trPr>
          <w:trHeight w:val="124"/>
        </w:trPr>
        <w:tc>
          <w:tcPr>
            <w:tcW w:w="57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ASSETS</w:t>
            </w: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Cash and due from banks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Non-interest bearing</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5,134,613</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5,990,377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5,571,298</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7"/>
              </w:rPr>
              <w:t>-7.0%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8.5%</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Interest bearing</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36,092,693</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32,653,406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33,968,802</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4.0%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-5.9%</w:t>
            </w:r>
          </w:p>
        </w:tc>
      </w:tr>
      <w:tr>
        <w:trPr>
          <w:trHeight w:val="1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cash and due from banks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41,227,306</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38,643,783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39,540,100</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2.3%</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7"/>
              </w:rPr>
              <w:t>-4.1%</w:t>
            </w:r>
          </w:p>
        </w:tc>
      </w:tr>
      <w:tr>
        <w:trPr>
          <w:trHeight w:val="264"/>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Cash collateral, reverse repurchase agreements and securities borrowing</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rPr>
              <w:t>622,399</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5"/>
              </w:rPr>
              <w:t>574,653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1,211,354</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6"/>
              </w:rPr>
              <w:t>110.8%</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94.6%</w:t>
            </w:r>
          </w:p>
        </w:tc>
      </w:tr>
      <w:tr>
        <w:trPr>
          <w:trHeight w:val="2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Fair value through profit or loss investments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rPr>
              <w:t>704,968</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5"/>
              </w:rPr>
              <w:t>617,368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368,478</w:t>
            </w:r>
          </w:p>
        </w:tc>
        <w:tc>
          <w:tcPr>
            <w:tcW w:w="640" w:type="dxa"/>
            <w:vAlign w:val="bottom"/>
          </w:tcPr>
          <w:p>
            <w:pPr>
              <w:jc w:val="center"/>
              <w:ind w:left="206"/>
              <w:spacing w:after="0"/>
              <w:rPr>
                <w:sz w:val="20"/>
                <w:szCs w:val="20"/>
                <w:color w:val="auto"/>
              </w:rPr>
            </w:pPr>
            <w:r>
              <w:rPr>
                <w:rFonts w:ascii="Arial" w:cs="Arial" w:eastAsia="Arial" w:hAnsi="Arial"/>
                <w:sz w:val="11"/>
                <w:szCs w:val="11"/>
                <w:b w:val="1"/>
                <w:bCs w:val="1"/>
                <w:color w:val="auto"/>
                <w:w w:val="97"/>
              </w:rPr>
              <w:t>-40.3%</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7"/>
              </w:rPr>
              <w:t>-47.7%</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Fair value through other comprehensive income investments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22,888,341</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21,881,734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21,868,305</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-0.1%</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7"/>
              </w:rPr>
              <w:t>-4.5%</w:t>
            </w:r>
          </w:p>
        </w:tc>
      </w:tr>
      <w:tr>
        <w:trPr>
          <w:trHeight w:val="1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Amortized cost investments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8,178,619</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8,262,941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8,124,785</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-1.7%</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7"/>
              </w:rPr>
              <w:t>-0.7%</w:t>
            </w:r>
          </w:p>
        </w:tc>
      </w:tr>
      <w:tr>
        <w:trPr>
          <w:trHeight w:val="2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Loans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129,063,925</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133,011,844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135,408,707</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1.8%</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4.9%</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Current</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123,400,733</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128,218,187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130,730,717</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2.0%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5.9%</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Internal overdue loans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5,663,192</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4,793,657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4,677,990</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7"/>
              </w:rPr>
              <w:t>-2.4%</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-17.4%</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Less - allowance for loan losses</w:t>
            </w:r>
          </w:p>
        </w:tc>
        <w:tc>
          <w:tcPr>
            <w:tcW w:w="920" w:type="dxa"/>
            <w:vAlign w:val="bottom"/>
          </w:tcPr>
          <w:p>
            <w:pPr>
              <w:jc w:val="center"/>
              <w:spacing w:after="0"/>
              <w:rPr>
                <w:sz w:val="20"/>
                <w:szCs w:val="20"/>
                <w:color w:val="auto"/>
              </w:rPr>
            </w:pPr>
            <w:r>
              <w:rPr>
                <w:rFonts w:ascii="Arial" w:cs="Arial" w:eastAsia="Arial" w:hAnsi="Arial"/>
                <w:sz w:val="11"/>
                <w:szCs w:val="11"/>
                <w:color w:val="auto"/>
                <w:w w:val="99"/>
              </w:rPr>
              <w:t>(7,714,711)</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(7,310,931)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(7,284,860)</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7"/>
              </w:rPr>
              <w:t>-0.4%</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-5.6%</w:t>
            </w:r>
          </w:p>
        </w:tc>
      </w:tr>
      <w:tr>
        <w:trPr>
          <w:trHeight w:val="14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Loans, net</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121,349,214</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125,700,913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128,123,847</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1.9%</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5.6%</w:t>
            </w:r>
          </w:p>
        </w:tc>
      </w:tr>
      <w:tr>
        <w:trPr>
          <w:trHeight w:val="254"/>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 xml:space="preserve">Property, furniture and equipment, net </w:t>
            </w:r>
            <w:r>
              <w:rPr>
                <w:rFonts w:ascii="Arial" w:cs="Arial" w:eastAsia="Arial" w:hAnsi="Arial"/>
                <w:sz w:val="19"/>
                <w:szCs w:val="19"/>
                <w:b w:val="1"/>
                <w:bCs w:val="1"/>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1,479,708</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1,604,393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1,558,842</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-2.8%</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5.3%</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Due from customers on acceptances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rPr>
              <w:t>466,957</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5"/>
              </w:rPr>
              <w:t>559,370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553,851</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-1.0%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18.6%</w:t>
            </w:r>
          </w:p>
        </w:tc>
      </w:tr>
      <w:tr>
        <w:trPr>
          <w:trHeight w:val="119"/>
        </w:trPr>
        <w:tc>
          <w:tcPr>
            <w:tcW w:w="5780" w:type="dxa"/>
            <w:vAlign w:val="bottom"/>
            <w:tcBorders>
              <w:left w:val="single" w:sz="8" w:color="auto"/>
              <w:right w:val="single" w:sz="8" w:color="auto"/>
            </w:tcBorders>
          </w:tcPr>
          <w:p>
            <w:pPr>
              <w:ind w:left="20"/>
              <w:spacing w:after="0" w:line="119" w:lineRule="exact"/>
              <w:rPr>
                <w:sz w:val="20"/>
                <w:szCs w:val="20"/>
                <w:color w:val="auto"/>
              </w:rPr>
            </w:pPr>
            <w:r>
              <w:rPr>
                <w:rFonts w:ascii="Arial" w:cs="Arial" w:eastAsia="Arial" w:hAnsi="Arial"/>
                <w:sz w:val="11"/>
                <w:szCs w:val="11"/>
                <w:b w:val="1"/>
                <w:bCs w:val="1"/>
                <w:color w:val="auto"/>
              </w:rPr>
              <w:t>Investments in associates</w:t>
            </w:r>
          </w:p>
        </w:tc>
        <w:tc>
          <w:tcPr>
            <w:tcW w:w="9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29,053</w:t>
            </w: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22,452</w:t>
            </w:r>
          </w:p>
        </w:tc>
        <w:tc>
          <w:tcPr>
            <w:tcW w:w="96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1"/>
                <w:szCs w:val="11"/>
                <w:b w:val="1"/>
                <w:bCs w:val="1"/>
                <w:color w:val="auto"/>
              </w:rPr>
              <w:t>25,660</w:t>
            </w:r>
          </w:p>
        </w:tc>
        <w:tc>
          <w:tcPr>
            <w:tcW w:w="640" w:type="dxa"/>
            <w:vAlign w:val="bottom"/>
          </w:tcPr>
          <w:p>
            <w:pPr>
              <w:jc w:val="center"/>
              <w:ind w:left="206"/>
              <w:spacing w:after="0" w:line="119" w:lineRule="exact"/>
              <w:rPr>
                <w:sz w:val="20"/>
                <w:szCs w:val="20"/>
                <w:color w:val="auto"/>
              </w:rPr>
            </w:pPr>
            <w:r>
              <w:rPr>
                <w:rFonts w:ascii="Arial" w:cs="Arial" w:eastAsia="Arial" w:hAnsi="Arial"/>
                <w:sz w:val="11"/>
                <w:szCs w:val="11"/>
                <w:b w:val="1"/>
                <w:bCs w:val="1"/>
                <w:color w:val="auto"/>
                <w:w w:val="96"/>
              </w:rPr>
              <w:t>14.3%</w:t>
            </w:r>
          </w:p>
        </w:tc>
        <w:tc>
          <w:tcPr>
            <w:tcW w:w="1220" w:type="dxa"/>
            <w:vAlign w:val="bottom"/>
            <w:tcBorders>
              <w:right w:val="single" w:sz="8" w:color="auto"/>
            </w:tcBorders>
          </w:tcPr>
          <w:p>
            <w:pPr>
              <w:jc w:val="center"/>
              <w:ind w:left="186"/>
              <w:spacing w:after="0" w:line="119" w:lineRule="exact"/>
              <w:rPr>
                <w:sz w:val="20"/>
                <w:szCs w:val="20"/>
                <w:color w:val="auto"/>
              </w:rPr>
            </w:pPr>
            <w:r>
              <w:rPr>
                <w:rFonts w:ascii="Arial" w:cs="Arial" w:eastAsia="Arial" w:hAnsi="Arial"/>
                <w:sz w:val="11"/>
                <w:szCs w:val="11"/>
                <w:b w:val="1"/>
                <w:bCs w:val="1"/>
                <w:color w:val="auto"/>
                <w:w w:val="97"/>
              </w:rPr>
              <w:t>-11.7%</w:t>
            </w:r>
          </w:p>
        </w:tc>
      </w:tr>
      <w:tr>
        <w:trPr>
          <w:trHeight w:val="263"/>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 xml:space="preserve">Other assets </w:t>
            </w:r>
            <w:r>
              <w:rPr>
                <w:rFonts w:ascii="Arial" w:cs="Arial" w:eastAsia="Arial" w:hAnsi="Arial"/>
                <w:sz w:val="19"/>
                <w:szCs w:val="19"/>
                <w:b w:val="1"/>
                <w:bCs w:val="1"/>
                <w:color w:val="auto"/>
                <w:vertAlign w:val="superscript"/>
              </w:rPr>
              <w:t>(2)</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7,959,779</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7,431,802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8,255,103</w:t>
            </w:r>
          </w:p>
        </w:tc>
        <w:tc>
          <w:tcPr>
            <w:tcW w:w="640" w:type="dxa"/>
            <w:vAlign w:val="bottom"/>
          </w:tcPr>
          <w:p>
            <w:pPr>
              <w:jc w:val="center"/>
              <w:ind w:left="206"/>
              <w:spacing w:after="0"/>
              <w:rPr>
                <w:sz w:val="20"/>
                <w:szCs w:val="20"/>
                <w:color w:val="auto"/>
              </w:rPr>
            </w:pPr>
            <w:r>
              <w:rPr>
                <w:rFonts w:ascii="Arial" w:cs="Arial" w:eastAsia="Arial" w:hAnsi="Arial"/>
                <w:sz w:val="11"/>
                <w:szCs w:val="11"/>
                <w:b w:val="1"/>
                <w:bCs w:val="1"/>
                <w:color w:val="auto"/>
                <w:w w:val="96"/>
              </w:rPr>
              <w:t>11.1%</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3.7%</w:t>
            </w:r>
          </w:p>
        </w:tc>
      </w:tr>
      <w:tr>
        <w:trPr>
          <w:trHeight w:val="162"/>
        </w:trPr>
        <w:tc>
          <w:tcPr>
            <w:tcW w:w="5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Assets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204,906,344</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205,299,409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209,630,325</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2.1%</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2.3%</w:t>
            </w:r>
          </w:p>
        </w:tc>
      </w:tr>
      <w:tr>
        <w:trPr>
          <w:trHeight w:val="2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Liabilities and Equity</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Deposits and obligations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Non-interest bearing</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45,310,064</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44,615,769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42,835,241</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7"/>
              </w:rPr>
              <w:t>-4.0%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-5.5%</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Interest bearing</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95,985,178</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102,043,442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104,254,936</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2.2%</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8.6%</w:t>
            </w:r>
          </w:p>
        </w:tc>
      </w:tr>
      <w:tr>
        <w:trPr>
          <w:trHeight w:val="1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deposits and obligations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141,295,242</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146,659,211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147,090,177</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0.3%</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4.1%</w:t>
            </w:r>
          </w:p>
        </w:tc>
      </w:tr>
      <w:tr>
        <w:trPr>
          <w:trHeight w:val="2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Payables from repurchase agreements and securities lending</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5,621,745</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5,968,190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7,347,033</w:t>
            </w:r>
          </w:p>
        </w:tc>
        <w:tc>
          <w:tcPr>
            <w:tcW w:w="640" w:type="dxa"/>
            <w:vAlign w:val="bottom"/>
          </w:tcPr>
          <w:p>
            <w:pPr>
              <w:jc w:val="center"/>
              <w:ind w:left="206"/>
              <w:spacing w:after="0"/>
              <w:rPr>
                <w:sz w:val="20"/>
                <w:szCs w:val="20"/>
                <w:color w:val="auto"/>
              </w:rPr>
            </w:pPr>
            <w:r>
              <w:rPr>
                <w:rFonts w:ascii="Arial" w:cs="Arial" w:eastAsia="Arial" w:hAnsi="Arial"/>
                <w:sz w:val="11"/>
                <w:szCs w:val="11"/>
                <w:b w:val="1"/>
                <w:bCs w:val="1"/>
                <w:color w:val="auto"/>
                <w:w w:val="96"/>
              </w:rPr>
              <w:t>23.1%</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30.7%</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BCRP instruments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4,788,939</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5,096,459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6,642,780</w:t>
            </w:r>
          </w:p>
        </w:tc>
        <w:tc>
          <w:tcPr>
            <w:tcW w:w="640" w:type="dxa"/>
            <w:vAlign w:val="bottom"/>
          </w:tcPr>
          <w:p>
            <w:pPr>
              <w:jc w:val="center"/>
              <w:ind w:left="206"/>
              <w:spacing w:after="0"/>
              <w:rPr>
                <w:sz w:val="20"/>
                <w:szCs w:val="20"/>
                <w:color w:val="auto"/>
              </w:rPr>
            </w:pPr>
            <w:r>
              <w:rPr>
                <w:rFonts w:ascii="Arial" w:cs="Arial" w:eastAsia="Arial" w:hAnsi="Arial"/>
                <w:sz w:val="11"/>
                <w:szCs w:val="11"/>
                <w:color w:val="auto"/>
                <w:w w:val="96"/>
              </w:rPr>
              <w:t>30.3%</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38.7%</w:t>
            </w:r>
          </w:p>
        </w:tc>
      </w:tr>
      <w:tr>
        <w:trPr>
          <w:trHeight w:val="14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Repurchase agreements with third parties</w:t>
            </w:r>
          </w:p>
        </w:tc>
        <w:tc>
          <w:tcPr>
            <w:tcW w:w="920" w:type="dxa"/>
            <w:vAlign w:val="bottom"/>
          </w:tcPr>
          <w:p>
            <w:pPr>
              <w:jc w:val="center"/>
              <w:spacing w:after="0"/>
              <w:rPr>
                <w:sz w:val="20"/>
                <w:szCs w:val="20"/>
                <w:color w:val="auto"/>
              </w:rPr>
            </w:pPr>
            <w:r>
              <w:rPr>
                <w:rFonts w:ascii="Arial" w:cs="Arial" w:eastAsia="Arial" w:hAnsi="Arial"/>
                <w:sz w:val="11"/>
                <w:szCs w:val="11"/>
                <w:color w:val="auto"/>
              </w:rPr>
              <w:t>832,806</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871,731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704,253</w:t>
            </w:r>
          </w:p>
        </w:tc>
        <w:tc>
          <w:tcPr>
            <w:tcW w:w="640" w:type="dxa"/>
            <w:vAlign w:val="bottom"/>
          </w:tcPr>
          <w:p>
            <w:pPr>
              <w:jc w:val="center"/>
              <w:ind w:left="206"/>
              <w:spacing w:after="0"/>
              <w:rPr>
                <w:sz w:val="20"/>
                <w:szCs w:val="20"/>
                <w:color w:val="auto"/>
              </w:rPr>
            </w:pPr>
            <w:r>
              <w:rPr>
                <w:rFonts w:ascii="Arial" w:cs="Arial" w:eastAsia="Arial" w:hAnsi="Arial"/>
                <w:sz w:val="11"/>
                <w:szCs w:val="11"/>
                <w:color w:val="auto"/>
                <w:w w:val="97"/>
              </w:rPr>
              <w:t>-19.2%</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-15.4%</w:t>
            </w:r>
          </w:p>
        </w:tc>
      </w:tr>
      <w:tr>
        <w:trPr>
          <w:trHeight w:val="254"/>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Due to banks and correspondents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12,210,085</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10,402,291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10,529,292</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1.2%</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7"/>
              </w:rPr>
              <w:t>-13.8%</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Bonds and notes issued</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13,351,992</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10,170,286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10,114,714</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-0.5%</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7"/>
              </w:rPr>
              <w:t>-24.2%</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Banker’s acceptances outstanding</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rPr>
              <w:t>466,957</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5"/>
              </w:rPr>
              <w:t>559,370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553,851</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-1.0%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18.6%</w:t>
            </w:r>
          </w:p>
        </w:tc>
      </w:tr>
      <w:tr>
        <w:trPr>
          <w:trHeight w:val="119"/>
        </w:trPr>
        <w:tc>
          <w:tcPr>
            <w:tcW w:w="5780" w:type="dxa"/>
            <w:vAlign w:val="bottom"/>
            <w:tcBorders>
              <w:left w:val="single" w:sz="8" w:color="auto"/>
              <w:right w:val="single" w:sz="8" w:color="auto"/>
            </w:tcBorders>
          </w:tcPr>
          <w:p>
            <w:pPr>
              <w:ind w:left="20"/>
              <w:spacing w:after="0" w:line="119" w:lineRule="exact"/>
              <w:rPr>
                <w:sz w:val="20"/>
                <w:szCs w:val="20"/>
                <w:color w:val="auto"/>
              </w:rPr>
            </w:pPr>
            <w:r>
              <w:rPr>
                <w:rFonts w:ascii="Arial" w:cs="Arial" w:eastAsia="Arial" w:hAnsi="Arial"/>
                <w:sz w:val="11"/>
                <w:szCs w:val="11"/>
                <w:b w:val="1"/>
                <w:bCs w:val="1"/>
                <w:color w:val="auto"/>
              </w:rPr>
              <w:t>Financial liabilities at fair value through profit or loss</w:t>
            </w:r>
          </w:p>
        </w:tc>
        <w:tc>
          <w:tcPr>
            <w:tcW w:w="9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354,562</w:t>
            </w: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387,867</w:t>
            </w:r>
          </w:p>
        </w:tc>
        <w:tc>
          <w:tcPr>
            <w:tcW w:w="96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1"/>
                <w:szCs w:val="11"/>
                <w:b w:val="1"/>
                <w:bCs w:val="1"/>
                <w:color w:val="auto"/>
                <w:w w:val="95"/>
              </w:rPr>
              <w:t>455,454</w:t>
            </w:r>
          </w:p>
        </w:tc>
        <w:tc>
          <w:tcPr>
            <w:tcW w:w="640" w:type="dxa"/>
            <w:vAlign w:val="bottom"/>
          </w:tcPr>
          <w:p>
            <w:pPr>
              <w:jc w:val="center"/>
              <w:ind w:left="206"/>
              <w:spacing w:after="0" w:line="119" w:lineRule="exact"/>
              <w:rPr>
                <w:sz w:val="20"/>
                <w:szCs w:val="20"/>
                <w:color w:val="auto"/>
              </w:rPr>
            </w:pPr>
            <w:r>
              <w:rPr>
                <w:rFonts w:ascii="Arial" w:cs="Arial" w:eastAsia="Arial" w:hAnsi="Arial"/>
                <w:sz w:val="11"/>
                <w:szCs w:val="11"/>
                <w:b w:val="1"/>
                <w:bCs w:val="1"/>
                <w:color w:val="auto"/>
                <w:w w:val="96"/>
              </w:rPr>
              <w:t>17.4%</w:t>
            </w:r>
          </w:p>
        </w:tc>
        <w:tc>
          <w:tcPr>
            <w:tcW w:w="1220" w:type="dxa"/>
            <w:vAlign w:val="bottom"/>
            <w:tcBorders>
              <w:right w:val="single" w:sz="8" w:color="auto"/>
            </w:tcBorders>
          </w:tcPr>
          <w:p>
            <w:pPr>
              <w:jc w:val="center"/>
              <w:ind w:left="206"/>
              <w:spacing w:after="0" w:line="119" w:lineRule="exact"/>
              <w:rPr>
                <w:sz w:val="20"/>
                <w:szCs w:val="20"/>
                <w:color w:val="auto"/>
              </w:rPr>
            </w:pPr>
            <w:r>
              <w:rPr>
                <w:rFonts w:ascii="Arial" w:cs="Arial" w:eastAsia="Arial" w:hAnsi="Arial"/>
                <w:sz w:val="11"/>
                <w:szCs w:val="11"/>
                <w:b w:val="1"/>
                <w:bCs w:val="1"/>
                <w:color w:val="auto"/>
              </w:rPr>
              <w:t>28.5%</w:t>
            </w:r>
          </w:p>
        </w:tc>
      </w:tr>
      <w:tr>
        <w:trPr>
          <w:trHeight w:val="145"/>
        </w:trPr>
        <w:tc>
          <w:tcPr>
            <w:tcW w:w="578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9"/>
                <w:szCs w:val="9"/>
                <w:b w:val="1"/>
                <w:bCs w:val="1"/>
                <w:color w:val="auto"/>
              </w:rPr>
              <w:t xml:space="preserve">Other liabilities </w:t>
            </w:r>
            <w:r>
              <w:rPr>
                <w:rFonts w:ascii="Arial" w:cs="Arial" w:eastAsia="Arial" w:hAnsi="Arial"/>
                <w:sz w:val="16"/>
                <w:szCs w:val="16"/>
                <w:b w:val="1"/>
                <w:bCs w:val="1"/>
                <w:color w:val="auto"/>
                <w:vertAlign w:val="superscript"/>
              </w:rPr>
              <w:t>(3)</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6,110,653</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6,224,139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6,785,425</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9.0%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11.0%</w:t>
            </w:r>
          </w:p>
        </w:tc>
      </w:tr>
      <w:tr>
        <w:trPr>
          <w:trHeight w:val="148"/>
        </w:trPr>
        <w:tc>
          <w:tcPr>
            <w:tcW w:w="5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Liabilities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179,411,236</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180,371,354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182,875,946</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1.4%</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1.9%</w:t>
            </w:r>
          </w:p>
        </w:tc>
      </w:tr>
      <w:tr>
        <w:trPr>
          <w:trHeight w:val="2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equity</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25,347,135</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24,790,836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26,610,823</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7.3%</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5.0%</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Capital stock</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12,679,794</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12,679,794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12,679,794</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0.0%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0.0%</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Reserves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6,372,468</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5,906,590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5,906,590</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0.0%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-7.3%</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Unrealized gains and losses</w:t>
            </w:r>
          </w:p>
        </w:tc>
        <w:tc>
          <w:tcPr>
            <w:tcW w:w="920" w:type="dxa"/>
            <w:vAlign w:val="bottom"/>
          </w:tcPr>
          <w:p>
            <w:pPr>
              <w:jc w:val="center"/>
              <w:spacing w:after="0"/>
              <w:rPr>
                <w:sz w:val="20"/>
                <w:szCs w:val="20"/>
                <w:color w:val="auto"/>
              </w:rPr>
            </w:pPr>
            <w:r>
              <w:rPr>
                <w:rFonts w:ascii="Arial" w:cs="Arial" w:eastAsia="Arial" w:hAnsi="Arial"/>
                <w:sz w:val="11"/>
                <w:szCs w:val="11"/>
                <w:color w:val="auto"/>
              </w:rPr>
              <w:t>223,921</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284,780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507,687</w:t>
            </w:r>
          </w:p>
        </w:tc>
        <w:tc>
          <w:tcPr>
            <w:tcW w:w="640" w:type="dxa"/>
            <w:vAlign w:val="bottom"/>
          </w:tcPr>
          <w:p>
            <w:pPr>
              <w:jc w:val="center"/>
              <w:ind w:left="206"/>
              <w:spacing w:after="0"/>
              <w:rPr>
                <w:sz w:val="20"/>
                <w:szCs w:val="20"/>
                <w:color w:val="auto"/>
              </w:rPr>
            </w:pPr>
            <w:r>
              <w:rPr>
                <w:rFonts w:ascii="Arial" w:cs="Arial" w:eastAsia="Arial" w:hAnsi="Arial"/>
                <w:sz w:val="11"/>
                <w:szCs w:val="11"/>
                <w:color w:val="auto"/>
                <w:w w:val="96"/>
              </w:rPr>
              <w:t>78.3%</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6"/>
              </w:rPr>
              <w:t>126.7%</w:t>
            </w:r>
          </w:p>
        </w:tc>
      </w:tr>
      <w:tr>
        <w:trPr>
          <w:trHeight w:val="14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Retained earnings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6,070,952</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5,919,672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7,516,752</w:t>
            </w:r>
          </w:p>
        </w:tc>
        <w:tc>
          <w:tcPr>
            <w:tcW w:w="640" w:type="dxa"/>
            <w:vAlign w:val="bottom"/>
          </w:tcPr>
          <w:p>
            <w:pPr>
              <w:jc w:val="center"/>
              <w:ind w:left="206"/>
              <w:spacing w:after="0"/>
              <w:rPr>
                <w:sz w:val="20"/>
                <w:szCs w:val="20"/>
                <w:color w:val="auto"/>
              </w:rPr>
            </w:pPr>
            <w:r>
              <w:rPr>
                <w:rFonts w:ascii="Arial" w:cs="Arial" w:eastAsia="Arial" w:hAnsi="Arial"/>
                <w:sz w:val="11"/>
                <w:szCs w:val="11"/>
                <w:color w:val="auto"/>
                <w:w w:val="96"/>
              </w:rPr>
              <w:t>27.0%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23.8%</w:t>
            </w:r>
          </w:p>
        </w:tc>
      </w:tr>
      <w:tr>
        <w:trPr>
          <w:trHeight w:val="264"/>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Non-controlling interest</w:t>
            </w:r>
          </w:p>
        </w:tc>
        <w:tc>
          <w:tcPr>
            <w:tcW w:w="920" w:type="dxa"/>
            <w:vAlign w:val="bottom"/>
          </w:tcPr>
          <w:p>
            <w:pPr>
              <w:jc w:val="center"/>
              <w:spacing w:after="0"/>
              <w:rPr>
                <w:sz w:val="20"/>
                <w:szCs w:val="20"/>
                <w:color w:val="auto"/>
              </w:rPr>
            </w:pPr>
            <w:r>
              <w:rPr>
                <w:rFonts w:ascii="Arial" w:cs="Arial" w:eastAsia="Arial" w:hAnsi="Arial"/>
                <w:sz w:val="11"/>
                <w:szCs w:val="11"/>
                <w:color w:val="auto"/>
              </w:rPr>
              <w:t>147,973</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137,219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143,556</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4.6%</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-3.0%</w:t>
            </w:r>
          </w:p>
        </w:tc>
      </w:tr>
      <w:tr>
        <w:trPr>
          <w:trHeight w:val="270"/>
        </w:trPr>
        <w:tc>
          <w:tcPr>
            <w:tcW w:w="5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Net Equity</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25,495,108</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24,928,055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26,754,379</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7.3%</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4.9%</w:t>
            </w:r>
          </w:p>
        </w:tc>
      </w:tr>
      <w:tr>
        <w:trPr>
          <w:trHeight w:val="264"/>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liabilities and equity</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204,906,344</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205,299,409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209,630,325</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2.1%</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2.3%</w:t>
            </w:r>
          </w:p>
        </w:tc>
      </w:tr>
      <w:tr>
        <w:trPr>
          <w:trHeight w:val="30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Off-balance sheet</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144,241,520</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139,056,539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146,718,825</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5.5%</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1.7%</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Total performance bonds, stand-by and L/Cs.</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19,593,247</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20,908,399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20,740,429</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7"/>
              </w:rPr>
              <w:t>-0.8%</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5.9%</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Undrawn credit lines, advised but not committed</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77,964,739</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71,484,467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72,873,063</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1.9%</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-6.5%</w:t>
            </w:r>
          </w:p>
        </w:tc>
      </w:tr>
      <w:tr>
        <w:trPr>
          <w:trHeight w:val="132"/>
        </w:trPr>
        <w:tc>
          <w:tcPr>
            <w:tcW w:w="5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Total derivatives (notional) and others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46,683,534</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46,663,673</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8"/>
              </w:rPr>
              <w:t>53,105,333</w:t>
            </w:r>
          </w:p>
        </w:tc>
        <w:tc>
          <w:tcPr>
            <w:tcW w:w="64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w w:val="96"/>
              </w:rPr>
              <w:t>13.8%</w:t>
            </w:r>
          </w:p>
        </w:tc>
        <w:tc>
          <w:tcPr>
            <w:tcW w:w="1220" w:type="dxa"/>
            <w:vAlign w:val="bottom"/>
            <w:tcBorders>
              <w:bottom w:val="single" w:sz="8" w:color="auto"/>
              <w:right w:val="single" w:sz="8" w:color="auto"/>
            </w:tcBorders>
          </w:tcPr>
          <w:p>
            <w:pPr>
              <w:jc w:val="center"/>
              <w:ind w:left="206"/>
              <w:spacing w:after="0"/>
              <w:rPr>
                <w:sz w:val="20"/>
                <w:szCs w:val="20"/>
                <w:color w:val="auto"/>
              </w:rPr>
            </w:pPr>
            <w:r>
              <w:rPr>
                <w:rFonts w:ascii="Arial" w:cs="Arial" w:eastAsia="Arial" w:hAnsi="Arial"/>
                <w:sz w:val="11"/>
                <w:szCs w:val="11"/>
                <w:color w:val="auto"/>
              </w:rPr>
              <w:t>13.8%</w:t>
            </w:r>
          </w:p>
        </w:tc>
      </w:tr>
    </w:tbl>
    <w:p>
      <w:pPr>
        <w:spacing w:after="0" w:line="132" w:lineRule="exact"/>
        <w:rPr>
          <w:sz w:val="20"/>
          <w:szCs w:val="20"/>
          <w:color w:val="auto"/>
        </w:rPr>
      </w:pPr>
    </w:p>
    <w:p>
      <w:pPr>
        <w:ind w:left="1320" w:hanging="162"/>
        <w:spacing w:after="0"/>
        <w:tabs>
          <w:tab w:leader="none" w:pos="1320" w:val="left"/>
        </w:tabs>
        <w:numPr>
          <w:ilvl w:val="0"/>
          <w:numId w:val="54"/>
        </w:numPr>
        <w:rPr>
          <w:rFonts w:ascii="Arial" w:cs="Arial" w:eastAsia="Arial" w:hAnsi="Arial"/>
          <w:sz w:val="11"/>
          <w:szCs w:val="11"/>
          <w:color w:val="auto"/>
        </w:rPr>
      </w:pPr>
      <w:r>
        <w:rPr>
          <w:rFonts w:ascii="Arial" w:cs="Arial" w:eastAsia="Arial" w:hAnsi="Arial"/>
          <w:sz w:val="11"/>
          <w:szCs w:val="11"/>
          <w:color w:val="auto"/>
        </w:rPr>
        <w:t>Right of use asset of lease contracts is included by application of IFRS 16.</w:t>
      </w:r>
    </w:p>
    <w:p>
      <w:pPr>
        <w:spacing w:after="0" w:line="15" w:lineRule="exact"/>
        <w:rPr>
          <w:rFonts w:ascii="Arial" w:cs="Arial" w:eastAsia="Arial" w:hAnsi="Arial"/>
          <w:sz w:val="11"/>
          <w:szCs w:val="11"/>
          <w:color w:val="auto"/>
        </w:rPr>
      </w:pPr>
    </w:p>
    <w:p>
      <w:pPr>
        <w:ind w:left="1320" w:hanging="162"/>
        <w:spacing w:after="0"/>
        <w:tabs>
          <w:tab w:leader="none" w:pos="1320" w:val="left"/>
        </w:tabs>
        <w:numPr>
          <w:ilvl w:val="0"/>
          <w:numId w:val="54"/>
        </w:numPr>
        <w:rPr>
          <w:rFonts w:ascii="Arial" w:cs="Arial" w:eastAsia="Arial" w:hAnsi="Arial"/>
          <w:sz w:val="11"/>
          <w:szCs w:val="11"/>
          <w:color w:val="auto"/>
        </w:rPr>
      </w:pPr>
      <w:r>
        <w:rPr>
          <w:rFonts w:ascii="Arial" w:cs="Arial" w:eastAsia="Arial" w:hAnsi="Arial"/>
          <w:sz w:val="11"/>
          <w:szCs w:val="11"/>
          <w:color w:val="auto"/>
        </w:rPr>
        <w:t>Mainly includes intangible assets, other receivable accounts, trading derivatives receivable accounts and tax credit.</w:t>
      </w:r>
    </w:p>
    <w:p>
      <w:pPr>
        <w:spacing w:after="0" w:line="5" w:lineRule="exact"/>
        <w:rPr>
          <w:rFonts w:ascii="Arial" w:cs="Arial" w:eastAsia="Arial" w:hAnsi="Arial"/>
          <w:sz w:val="11"/>
          <w:szCs w:val="11"/>
          <w:color w:val="auto"/>
        </w:rPr>
      </w:pPr>
    </w:p>
    <w:p>
      <w:pPr>
        <w:ind w:left="1320" w:hanging="162"/>
        <w:spacing w:after="0"/>
        <w:tabs>
          <w:tab w:leader="none" w:pos="1320" w:val="left"/>
        </w:tabs>
        <w:numPr>
          <w:ilvl w:val="0"/>
          <w:numId w:val="54"/>
        </w:numPr>
        <w:rPr>
          <w:rFonts w:ascii="Arial" w:cs="Arial" w:eastAsia="Arial" w:hAnsi="Arial"/>
          <w:sz w:val="11"/>
          <w:szCs w:val="11"/>
          <w:color w:val="auto"/>
        </w:rPr>
      </w:pPr>
      <w:r>
        <w:rPr>
          <w:rFonts w:ascii="Arial" w:cs="Arial" w:eastAsia="Arial" w:hAnsi="Arial"/>
          <w:sz w:val="11"/>
          <w:szCs w:val="11"/>
          <w:color w:val="auto"/>
        </w:rPr>
        <w:t>Mainly includes other payable accounts, trading derivatives payable accounts and taxes for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797560</wp:posOffset>
            </wp:positionV>
            <wp:extent cx="6638925"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638925" cy="1524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111760</wp:posOffset>
            </wp:positionV>
            <wp:extent cx="6524625" cy="5943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524625" cy="594360"/>
                    </a:xfrm>
                    <a:prstGeom prst="rect">
                      <a:avLst/>
                    </a:prstGeom>
                    <a:noFill/>
                  </pic:spPr>
                </pic:pic>
              </a:graphicData>
            </a:graphic>
          </wp:anchor>
        </w:drawing>
      </w:r>
    </w:p>
    <w:p>
      <w:pPr>
        <w:sectPr>
          <w:pgSz w:w="11900" w:h="16840" w:orient="portrait"/>
          <w:cols w:equalWidth="0" w:num="1">
            <w:col w:w="10460"/>
          </w:cols>
          <w:pgMar w:left="660" w:top="931" w:right="780" w:bottom="1440" w:gutter="0" w:footer="0" w:header="0"/>
        </w:sectPr>
      </w:pPr>
    </w:p>
    <w:bookmarkStart w:id="63" w:name="page64"/>
    <w:bookmarkEnd w:id="63"/>
    <w:p>
      <w:pPr>
        <w:ind w:left="2520"/>
        <w:spacing w:after="0"/>
        <w:tabs>
          <w:tab w:leader="none" w:pos="2760" w:val="left"/>
          <w:tab w:leader="none" w:pos="81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638925" cy="662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63892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638925" cy="2057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63892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Consolidated Statement of Income</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 Thousands, IFRS)</w:t>
      </w:r>
    </w:p>
    <w:tbl>
      <w:tblPr>
        <w:tblLayout w:type="fixed"/>
        <w:tblInd w:w="10" w:type="dxa"/>
        <w:tblCellMar>
          <w:top w:w="0" w:type="dxa"/>
          <w:left w:w="0" w:type="dxa"/>
          <w:bottom w:w="0" w:type="dxa"/>
          <w:right w:w="0" w:type="dxa"/>
        </w:tblCellMar>
      </w:tblPr>
      <w:tr>
        <w:trPr>
          <w:trHeight w:val="100"/>
        </w:trPr>
        <w:tc>
          <w:tcPr>
            <w:tcW w:w="2960" w:type="dxa"/>
            <w:vAlign w:val="bottom"/>
            <w:tcBorders>
              <w:top w:val="single" w:sz="8" w:color="auto"/>
              <w:left w:val="single" w:sz="8" w:color="auto"/>
              <w:right w:val="single" w:sz="8" w:color="auto"/>
            </w:tcBorders>
            <w:shd w:val="clear" w:color="auto" w:fill="33CCCC"/>
          </w:tcPr>
          <w:p>
            <w:pPr>
              <w:spacing w:after="0"/>
              <w:rPr>
                <w:sz w:val="8"/>
                <w:szCs w:val="8"/>
                <w:color w:val="auto"/>
              </w:rPr>
            </w:pPr>
          </w:p>
        </w:tc>
        <w:tc>
          <w:tcPr>
            <w:tcW w:w="920" w:type="dxa"/>
            <w:vAlign w:val="bottom"/>
            <w:tcBorders>
              <w:top w:val="single" w:sz="8" w:color="auto"/>
            </w:tcBorders>
            <w:shd w:val="clear" w:color="auto" w:fill="33CCCC"/>
          </w:tcPr>
          <w:p>
            <w:pPr>
              <w:spacing w:after="0"/>
              <w:rPr>
                <w:sz w:val="8"/>
                <w:szCs w:val="8"/>
                <w:color w:val="auto"/>
              </w:rPr>
            </w:pPr>
          </w:p>
        </w:tc>
        <w:tc>
          <w:tcPr>
            <w:tcW w:w="920" w:type="dxa"/>
            <w:vAlign w:val="bottom"/>
            <w:tcBorders>
              <w:top w:val="single" w:sz="8" w:color="auto"/>
            </w:tcBorders>
            <w:shd w:val="clear" w:color="auto" w:fill="33CCCC"/>
          </w:tcPr>
          <w:p>
            <w:pPr>
              <w:ind w:left="300"/>
              <w:spacing w:after="0"/>
              <w:rPr>
                <w:sz w:val="20"/>
                <w:szCs w:val="20"/>
                <w:color w:val="auto"/>
              </w:rPr>
            </w:pPr>
            <w:r>
              <w:rPr>
                <w:rFonts w:ascii="Arial" w:cs="Arial" w:eastAsia="Arial" w:hAnsi="Arial"/>
                <w:sz w:val="8"/>
                <w:szCs w:val="8"/>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8"/>
                <w:szCs w:val="8"/>
                <w:color w:val="auto"/>
              </w:rPr>
            </w:pPr>
          </w:p>
        </w:tc>
        <w:tc>
          <w:tcPr>
            <w:tcW w:w="1180" w:type="dxa"/>
            <w:vAlign w:val="bottom"/>
            <w:tcBorders>
              <w:top w:val="single" w:sz="8" w:color="auto"/>
            </w:tcBorders>
            <w:shd w:val="clear" w:color="auto" w:fill="33CCCC"/>
          </w:tcPr>
          <w:p>
            <w:pPr>
              <w:ind w:left="740"/>
              <w:spacing w:after="0"/>
              <w:rPr>
                <w:sz w:val="20"/>
                <w:szCs w:val="20"/>
                <w:color w:val="auto"/>
              </w:rPr>
            </w:pPr>
            <w:r>
              <w:rPr>
                <w:rFonts w:ascii="Arial" w:cs="Arial" w:eastAsia="Arial" w:hAnsi="Arial"/>
                <w:sz w:val="8"/>
                <w:szCs w:val="8"/>
                <w:b w:val="1"/>
                <w:bCs w:val="1"/>
                <w:color w:val="FFFFFF"/>
              </w:rPr>
              <w:t>% change</w:t>
            </w:r>
          </w:p>
        </w:tc>
        <w:tc>
          <w:tcPr>
            <w:tcW w:w="700" w:type="dxa"/>
            <w:vAlign w:val="bottom"/>
            <w:tcBorders>
              <w:top w:val="single" w:sz="8" w:color="auto"/>
              <w:right w:val="single" w:sz="8" w:color="auto"/>
            </w:tcBorders>
            <w:shd w:val="clear" w:color="auto" w:fill="33CCCC"/>
          </w:tcPr>
          <w:p>
            <w:pPr>
              <w:spacing w:after="0"/>
              <w:rPr>
                <w:sz w:val="8"/>
                <w:szCs w:val="8"/>
                <w:color w:val="auto"/>
              </w:rPr>
            </w:pPr>
          </w:p>
        </w:tc>
        <w:tc>
          <w:tcPr>
            <w:tcW w:w="740" w:type="dxa"/>
            <w:vAlign w:val="bottom"/>
            <w:tcBorders>
              <w:top w:val="single" w:sz="8" w:color="auto"/>
            </w:tcBorders>
            <w:shd w:val="clear" w:color="auto" w:fill="33CCCC"/>
          </w:tcPr>
          <w:p>
            <w:pPr>
              <w:spacing w:after="0"/>
              <w:rPr>
                <w:sz w:val="8"/>
                <w:szCs w:val="8"/>
                <w:color w:val="auto"/>
              </w:rPr>
            </w:pPr>
          </w:p>
        </w:tc>
        <w:tc>
          <w:tcPr>
            <w:tcW w:w="1160" w:type="dxa"/>
            <w:vAlign w:val="bottom"/>
            <w:tcBorders>
              <w:top w:val="single" w:sz="8" w:color="auto"/>
              <w:right w:val="single" w:sz="8" w:color="auto"/>
            </w:tcBorders>
            <w:shd w:val="clear" w:color="auto" w:fill="33CCCC"/>
          </w:tcPr>
          <w:p>
            <w:pPr>
              <w:ind w:left="80"/>
              <w:spacing w:after="0"/>
              <w:rPr>
                <w:sz w:val="20"/>
                <w:szCs w:val="20"/>
                <w:color w:val="auto"/>
              </w:rPr>
            </w:pPr>
            <w:r>
              <w:rPr>
                <w:rFonts w:ascii="Arial" w:cs="Arial" w:eastAsia="Arial" w:hAnsi="Arial"/>
                <w:sz w:val="8"/>
                <w:szCs w:val="8"/>
                <w:b w:val="1"/>
                <w:bCs w:val="1"/>
                <w:color w:val="FFFFFF"/>
              </w:rPr>
              <w:t>Up to</w:t>
            </w:r>
          </w:p>
        </w:tc>
        <w:tc>
          <w:tcPr>
            <w:tcW w:w="9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 Change</w:t>
            </w:r>
          </w:p>
        </w:tc>
      </w:tr>
      <w:tr>
        <w:trPr>
          <w:trHeight w:val="108"/>
        </w:trPr>
        <w:tc>
          <w:tcPr>
            <w:tcW w:w="2960" w:type="dxa"/>
            <w:vAlign w:val="bottom"/>
            <w:tcBorders>
              <w:left w:val="single" w:sz="8" w:color="auto"/>
              <w:bottom w:val="single" w:sz="8" w:color="auto"/>
              <w:right w:val="single" w:sz="8" w:color="auto"/>
            </w:tcBorders>
            <w:shd w:val="clear" w:color="auto" w:fill="33CCCC"/>
          </w:tcPr>
          <w:p>
            <w:pPr>
              <w:spacing w:after="0"/>
              <w:rPr>
                <w:sz w:val="9"/>
                <w:szCs w:val="9"/>
                <w:color w:val="auto"/>
              </w:rPr>
            </w:pP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3Q24</w:t>
            </w: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2Q25</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3Q25</w:t>
            </w:r>
          </w:p>
        </w:tc>
        <w:tc>
          <w:tcPr>
            <w:tcW w:w="1180" w:type="dxa"/>
            <w:vAlign w:val="bottom"/>
            <w:tcBorders>
              <w:bottom w:val="single" w:sz="8" w:color="auto"/>
            </w:tcBorders>
            <w:shd w:val="clear" w:color="auto" w:fill="33CCCC"/>
          </w:tcPr>
          <w:p>
            <w:pPr>
              <w:jc w:val="center"/>
              <w:ind w:right="238"/>
              <w:spacing w:after="0"/>
              <w:rPr>
                <w:sz w:val="20"/>
                <w:szCs w:val="20"/>
                <w:color w:val="auto"/>
              </w:rPr>
            </w:pPr>
            <w:r>
              <w:rPr>
                <w:rFonts w:ascii="Arial" w:cs="Arial" w:eastAsia="Arial" w:hAnsi="Arial"/>
                <w:sz w:val="8"/>
                <w:szCs w:val="8"/>
                <w:b w:val="1"/>
                <w:bCs w:val="1"/>
                <w:color w:val="FFFFFF"/>
              </w:rPr>
              <w:t>QoQ</w:t>
            </w:r>
          </w:p>
        </w:tc>
        <w:tc>
          <w:tcPr>
            <w:tcW w:w="700" w:type="dxa"/>
            <w:vAlign w:val="bottom"/>
            <w:tcBorders>
              <w:bottom w:val="single" w:sz="8" w:color="auto"/>
              <w:right w:val="single" w:sz="8" w:color="auto"/>
            </w:tcBorders>
            <w:shd w:val="clear" w:color="auto" w:fill="33CCCC"/>
          </w:tcPr>
          <w:p>
            <w:pPr>
              <w:jc w:val="center"/>
              <w:ind w:right="258"/>
              <w:spacing w:after="0"/>
              <w:rPr>
                <w:sz w:val="20"/>
                <w:szCs w:val="20"/>
                <w:color w:val="auto"/>
              </w:rPr>
            </w:pPr>
            <w:r>
              <w:rPr>
                <w:rFonts w:ascii="Arial" w:cs="Arial" w:eastAsia="Arial" w:hAnsi="Arial"/>
                <w:sz w:val="8"/>
                <w:szCs w:val="8"/>
                <w:b w:val="1"/>
                <w:bCs w:val="1"/>
                <w:color w:val="FFFFFF"/>
              </w:rPr>
              <w:t>YoY</w:t>
            </w:r>
          </w:p>
        </w:tc>
        <w:tc>
          <w:tcPr>
            <w:tcW w:w="740" w:type="dxa"/>
            <w:vAlign w:val="bottom"/>
            <w:tcBorders>
              <w:bottom w:val="single" w:sz="8" w:color="auto"/>
            </w:tcBorders>
            <w:shd w:val="clear" w:color="auto" w:fill="33CCCC"/>
          </w:tcPr>
          <w:p>
            <w:pPr>
              <w:ind w:left="320"/>
              <w:spacing w:after="0"/>
              <w:rPr>
                <w:sz w:val="20"/>
                <w:szCs w:val="20"/>
                <w:color w:val="auto"/>
              </w:rPr>
            </w:pPr>
            <w:r>
              <w:rPr>
                <w:rFonts w:ascii="Arial" w:cs="Arial" w:eastAsia="Arial" w:hAnsi="Arial"/>
                <w:sz w:val="8"/>
                <w:szCs w:val="8"/>
                <w:b w:val="1"/>
                <w:bCs w:val="1"/>
                <w:color w:val="FFFFFF"/>
              </w:rPr>
              <w:t>Sep 24</w:t>
            </w:r>
          </w:p>
        </w:tc>
        <w:tc>
          <w:tcPr>
            <w:tcW w:w="1160" w:type="dxa"/>
            <w:vAlign w:val="bottom"/>
            <w:tcBorders>
              <w:bottom w:val="single" w:sz="8" w:color="auto"/>
              <w:right w:val="single" w:sz="8" w:color="auto"/>
            </w:tcBorders>
            <w:shd w:val="clear" w:color="auto" w:fill="33CCCC"/>
          </w:tcPr>
          <w:p>
            <w:pPr>
              <w:ind w:left="520"/>
              <w:spacing w:after="0"/>
              <w:rPr>
                <w:sz w:val="20"/>
                <w:szCs w:val="20"/>
                <w:color w:val="auto"/>
              </w:rPr>
            </w:pPr>
            <w:r>
              <w:rPr>
                <w:rFonts w:ascii="Arial" w:cs="Arial" w:eastAsia="Arial" w:hAnsi="Arial"/>
                <w:sz w:val="8"/>
                <w:szCs w:val="8"/>
                <w:b w:val="1"/>
                <w:bCs w:val="1"/>
                <w:color w:val="FFFFFF"/>
              </w:rPr>
              <w:t>Sep 25</w:t>
            </w:r>
          </w:p>
        </w:tc>
        <w:tc>
          <w:tcPr>
            <w:tcW w:w="9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8"/>
                <w:szCs w:val="8"/>
                <w:b w:val="1"/>
                <w:bCs w:val="1"/>
                <w:color w:val="FFFFFF"/>
              </w:rPr>
              <w:t>Sep 25 / Sep 24</w:t>
            </w:r>
          </w:p>
        </w:tc>
      </w:tr>
      <w:tr>
        <w:trPr>
          <w:trHeight w:val="10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Interest income and expense</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r>
      <w:tr>
        <w:trPr>
          <w:trHeight w:val="97"/>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Interest and similar income</w:t>
            </w:r>
          </w:p>
        </w:tc>
        <w:tc>
          <w:tcPr>
            <w:tcW w:w="920" w:type="dxa"/>
            <w:vAlign w:val="bottom"/>
          </w:tcPr>
          <w:p>
            <w:pPr>
              <w:jc w:val="center"/>
              <w:spacing w:after="0"/>
              <w:rPr>
                <w:sz w:val="20"/>
                <w:szCs w:val="20"/>
                <w:color w:val="auto"/>
              </w:rPr>
            </w:pPr>
            <w:r>
              <w:rPr>
                <w:rFonts w:ascii="Arial" w:cs="Arial" w:eastAsia="Arial" w:hAnsi="Arial"/>
                <w:sz w:val="8"/>
                <w:szCs w:val="8"/>
                <w:color w:val="auto"/>
              </w:rPr>
              <w:t>4,363,712</w:t>
            </w:r>
          </w:p>
        </w:tc>
        <w:tc>
          <w:tcPr>
            <w:tcW w:w="920" w:type="dxa"/>
            <w:vAlign w:val="bottom"/>
          </w:tcPr>
          <w:p>
            <w:pPr>
              <w:jc w:val="center"/>
              <w:spacing w:after="0"/>
              <w:rPr>
                <w:sz w:val="20"/>
                <w:szCs w:val="20"/>
                <w:color w:val="auto"/>
              </w:rPr>
            </w:pPr>
            <w:r>
              <w:rPr>
                <w:rFonts w:ascii="Arial" w:cs="Arial" w:eastAsia="Arial" w:hAnsi="Arial"/>
                <w:sz w:val="8"/>
                <w:szCs w:val="8"/>
                <w:color w:val="auto"/>
              </w:rPr>
              <w:t>4,309,924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4,359,098</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1.1%</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-0.1%</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12,964,152</w:t>
            </w:r>
          </w:p>
        </w:tc>
        <w:tc>
          <w:tcPr>
            <w:tcW w:w="1160" w:type="dxa"/>
            <w:vAlign w:val="bottom"/>
            <w:tcBorders>
              <w:right w:val="single" w:sz="8" w:color="auto"/>
            </w:tcBorders>
          </w:tcPr>
          <w:p>
            <w:pPr>
              <w:jc w:val="center"/>
              <w:ind w:left="98"/>
              <w:spacing w:after="0"/>
              <w:rPr>
                <w:sz w:val="20"/>
                <w:szCs w:val="20"/>
                <w:color w:val="auto"/>
              </w:rPr>
            </w:pPr>
            <w:r>
              <w:rPr>
                <w:rFonts w:ascii="Arial" w:cs="Arial" w:eastAsia="Arial" w:hAnsi="Arial"/>
                <w:sz w:val="8"/>
                <w:szCs w:val="8"/>
                <w:color w:val="auto"/>
              </w:rPr>
              <w:t>12,929,405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-0.3%</w:t>
            </w:r>
          </w:p>
        </w:tc>
      </w:tr>
      <w:tr>
        <w:trPr>
          <w:trHeight w:val="119"/>
        </w:trPr>
        <w:tc>
          <w:tcPr>
            <w:tcW w:w="2960" w:type="dxa"/>
            <w:vAlign w:val="bottom"/>
            <w:tcBorders>
              <w:left w:val="single" w:sz="8" w:color="auto"/>
              <w:right w:val="single" w:sz="8" w:color="auto"/>
            </w:tcBorders>
          </w:tcPr>
          <w:p>
            <w:pPr>
              <w:ind w:left="160"/>
              <w:spacing w:after="0" w:line="119" w:lineRule="exact"/>
              <w:rPr>
                <w:sz w:val="20"/>
                <w:szCs w:val="20"/>
                <w:color w:val="auto"/>
              </w:rPr>
            </w:pPr>
            <w:r>
              <w:rPr>
                <w:rFonts w:ascii="Arial" w:cs="Arial" w:eastAsia="Arial" w:hAnsi="Arial"/>
                <w:sz w:val="8"/>
                <w:szCs w:val="8"/>
                <w:color w:val="auto"/>
              </w:rPr>
              <w:t xml:space="preserve">Interest and similar expense </w:t>
            </w:r>
            <w:r>
              <w:rPr>
                <w:rFonts w:ascii="Arial" w:cs="Arial" w:eastAsia="Arial" w:hAnsi="Arial"/>
                <w:sz w:val="13"/>
                <w:szCs w:val="13"/>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8"/>
                <w:szCs w:val="8"/>
                <w:color w:val="auto"/>
              </w:rPr>
              <w:t>(1,040,332)</w:t>
            </w:r>
          </w:p>
        </w:tc>
        <w:tc>
          <w:tcPr>
            <w:tcW w:w="920" w:type="dxa"/>
            <w:vAlign w:val="bottom"/>
          </w:tcPr>
          <w:p>
            <w:pPr>
              <w:jc w:val="center"/>
              <w:spacing w:after="0"/>
              <w:rPr>
                <w:sz w:val="20"/>
                <w:szCs w:val="20"/>
                <w:color w:val="auto"/>
              </w:rPr>
            </w:pPr>
            <w:r>
              <w:rPr>
                <w:rFonts w:ascii="Arial" w:cs="Arial" w:eastAsia="Arial" w:hAnsi="Arial"/>
                <w:sz w:val="8"/>
                <w:szCs w:val="8"/>
                <w:color w:val="auto"/>
              </w:rPr>
              <w:t>(953,011)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(930,847)</w:t>
            </w:r>
          </w:p>
        </w:tc>
        <w:tc>
          <w:tcPr>
            <w:tcW w:w="1180" w:type="dxa"/>
            <w:vAlign w:val="bottom"/>
          </w:tcPr>
          <w:p>
            <w:pPr>
              <w:jc w:val="center"/>
              <w:ind w:right="238"/>
              <w:spacing w:after="0"/>
              <w:rPr>
                <w:sz w:val="20"/>
                <w:szCs w:val="20"/>
                <w:color w:val="auto"/>
              </w:rPr>
            </w:pPr>
            <w:r>
              <w:rPr>
                <w:rFonts w:ascii="Arial" w:cs="Arial" w:eastAsia="Arial" w:hAnsi="Arial"/>
                <w:sz w:val="8"/>
                <w:szCs w:val="8"/>
                <w:color w:val="auto"/>
              </w:rPr>
              <w:t>-2.3%</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-10.5%</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(3,261,405)</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(2,859,195)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-12.3%</w:t>
            </w:r>
          </w:p>
        </w:tc>
      </w:tr>
      <w:tr>
        <w:trPr>
          <w:trHeight w:val="114"/>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Interest income and expense</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3,323,380</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3,356,913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3,428,251</w:t>
            </w:r>
          </w:p>
        </w:tc>
        <w:tc>
          <w:tcPr>
            <w:tcW w:w="1180" w:type="dxa"/>
            <w:vAlign w:val="bottom"/>
          </w:tcPr>
          <w:p>
            <w:pPr>
              <w:jc w:val="center"/>
              <w:ind w:right="218"/>
              <w:spacing w:after="0"/>
              <w:rPr>
                <w:sz w:val="20"/>
                <w:szCs w:val="20"/>
                <w:color w:val="auto"/>
              </w:rPr>
            </w:pPr>
            <w:r>
              <w:rPr>
                <w:rFonts w:ascii="Arial" w:cs="Arial" w:eastAsia="Arial" w:hAnsi="Arial"/>
                <w:sz w:val="8"/>
                <w:szCs w:val="8"/>
                <w:b w:val="1"/>
                <w:bCs w:val="1"/>
                <w:color w:val="auto"/>
              </w:rPr>
              <w:t>2.1%</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b w:val="1"/>
                <w:bCs w:val="1"/>
                <w:color w:val="auto"/>
                <w:w w:val="98"/>
              </w:rPr>
              <w:t>3.2%</w:t>
            </w:r>
          </w:p>
        </w:tc>
        <w:tc>
          <w:tcPr>
            <w:tcW w:w="740" w:type="dxa"/>
            <w:vAlign w:val="bottom"/>
          </w:tcPr>
          <w:p>
            <w:pPr>
              <w:jc w:val="center"/>
              <w:ind w:left="138"/>
              <w:spacing w:after="0"/>
              <w:rPr>
                <w:sz w:val="20"/>
                <w:szCs w:val="20"/>
                <w:color w:val="auto"/>
              </w:rPr>
            </w:pPr>
            <w:r>
              <w:rPr>
                <w:rFonts w:ascii="Arial" w:cs="Arial" w:eastAsia="Arial" w:hAnsi="Arial"/>
                <w:sz w:val="8"/>
                <w:szCs w:val="8"/>
                <w:b w:val="1"/>
                <w:bCs w:val="1"/>
                <w:color w:val="auto"/>
              </w:rPr>
              <w:t>9,702,747</w:t>
            </w:r>
          </w:p>
        </w:tc>
        <w:tc>
          <w:tcPr>
            <w:tcW w:w="1160" w:type="dxa"/>
            <w:vAlign w:val="bottom"/>
            <w:tcBorders>
              <w:right w:val="single" w:sz="8" w:color="auto"/>
            </w:tcBorders>
          </w:tcPr>
          <w:p>
            <w:pPr>
              <w:jc w:val="center"/>
              <w:ind w:left="98"/>
              <w:spacing w:after="0"/>
              <w:rPr>
                <w:sz w:val="20"/>
                <w:szCs w:val="20"/>
                <w:color w:val="auto"/>
              </w:rPr>
            </w:pPr>
            <w:r>
              <w:rPr>
                <w:rFonts w:ascii="Arial" w:cs="Arial" w:eastAsia="Arial" w:hAnsi="Arial"/>
                <w:sz w:val="8"/>
                <w:szCs w:val="8"/>
                <w:b w:val="1"/>
                <w:bCs w:val="1"/>
                <w:color w:val="auto"/>
              </w:rPr>
              <w:t>10,070,210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3.8%</w:t>
            </w:r>
          </w:p>
        </w:tc>
      </w:tr>
      <w:tr>
        <w:trPr>
          <w:trHeight w:val="21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Provision for credit losses on loan portfolio</w:t>
            </w:r>
          </w:p>
        </w:tc>
        <w:tc>
          <w:tcPr>
            <w:tcW w:w="920" w:type="dxa"/>
            <w:vAlign w:val="bottom"/>
          </w:tcPr>
          <w:p>
            <w:pPr>
              <w:jc w:val="center"/>
              <w:spacing w:after="0"/>
              <w:rPr>
                <w:sz w:val="20"/>
                <w:szCs w:val="20"/>
                <w:color w:val="auto"/>
              </w:rPr>
            </w:pPr>
            <w:r>
              <w:rPr>
                <w:rFonts w:ascii="Arial" w:cs="Arial" w:eastAsia="Arial" w:hAnsi="Arial"/>
                <w:sz w:val="8"/>
                <w:szCs w:val="8"/>
                <w:color w:val="auto"/>
              </w:rPr>
              <w:t>(935,374)</w:t>
            </w:r>
          </w:p>
        </w:tc>
        <w:tc>
          <w:tcPr>
            <w:tcW w:w="920" w:type="dxa"/>
            <w:vAlign w:val="bottom"/>
          </w:tcPr>
          <w:p>
            <w:pPr>
              <w:jc w:val="center"/>
              <w:spacing w:after="0"/>
              <w:rPr>
                <w:sz w:val="20"/>
                <w:szCs w:val="20"/>
                <w:color w:val="auto"/>
              </w:rPr>
            </w:pPr>
            <w:r>
              <w:rPr>
                <w:rFonts w:ascii="Arial" w:cs="Arial" w:eastAsia="Arial" w:hAnsi="Arial"/>
                <w:sz w:val="8"/>
                <w:szCs w:val="8"/>
                <w:color w:val="auto"/>
              </w:rPr>
              <w:t>(633,988)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(675,251)</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6.5%</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-27.8%</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(2,897,123)</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(1,958,121)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-32.4%</w:t>
            </w:r>
          </w:p>
        </w:tc>
      </w:tr>
      <w:tr>
        <w:trPr>
          <w:trHeight w:val="10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Recoveries of written-off loans</w:t>
            </w:r>
          </w:p>
        </w:tc>
        <w:tc>
          <w:tcPr>
            <w:tcW w:w="920" w:type="dxa"/>
            <w:vAlign w:val="bottom"/>
          </w:tcPr>
          <w:p>
            <w:pPr>
              <w:jc w:val="center"/>
              <w:spacing w:after="0"/>
              <w:rPr>
                <w:sz w:val="20"/>
                <w:szCs w:val="20"/>
                <w:color w:val="auto"/>
              </w:rPr>
            </w:pPr>
            <w:r>
              <w:rPr>
                <w:rFonts w:ascii="Arial" w:cs="Arial" w:eastAsia="Arial" w:hAnsi="Arial"/>
                <w:sz w:val="8"/>
                <w:szCs w:val="8"/>
                <w:color w:val="auto"/>
              </w:rPr>
              <w:t>107,848</w:t>
            </w:r>
          </w:p>
        </w:tc>
        <w:tc>
          <w:tcPr>
            <w:tcW w:w="920" w:type="dxa"/>
            <w:vAlign w:val="bottom"/>
          </w:tcPr>
          <w:p>
            <w:pPr>
              <w:jc w:val="center"/>
              <w:spacing w:after="0"/>
              <w:rPr>
                <w:sz w:val="20"/>
                <w:szCs w:val="20"/>
                <w:color w:val="auto"/>
              </w:rPr>
            </w:pPr>
            <w:r>
              <w:rPr>
                <w:rFonts w:ascii="Arial" w:cs="Arial" w:eastAsia="Arial" w:hAnsi="Arial"/>
                <w:sz w:val="8"/>
                <w:szCs w:val="8"/>
                <w:color w:val="auto"/>
              </w:rPr>
              <w:t>105,024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113,472</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8.0%</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w w:val="98"/>
              </w:rPr>
              <w:t>5.2%</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293,820</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327,474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11.5%</w:t>
            </w:r>
          </w:p>
        </w:tc>
      </w:tr>
      <w:tr>
        <w:trPr>
          <w:trHeight w:val="114"/>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Provision for credit losses on loan portfolio, net of recoveries</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(827,526)</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(528,964)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(561,779)</w:t>
            </w:r>
          </w:p>
        </w:tc>
        <w:tc>
          <w:tcPr>
            <w:tcW w:w="1180" w:type="dxa"/>
            <w:vAlign w:val="bottom"/>
          </w:tcPr>
          <w:p>
            <w:pPr>
              <w:jc w:val="center"/>
              <w:ind w:right="218"/>
              <w:spacing w:after="0"/>
              <w:rPr>
                <w:sz w:val="20"/>
                <w:szCs w:val="20"/>
                <w:color w:val="auto"/>
              </w:rPr>
            </w:pPr>
            <w:r>
              <w:rPr>
                <w:rFonts w:ascii="Arial" w:cs="Arial" w:eastAsia="Arial" w:hAnsi="Arial"/>
                <w:sz w:val="8"/>
                <w:szCs w:val="8"/>
                <w:b w:val="1"/>
                <w:bCs w:val="1"/>
                <w:color w:val="auto"/>
              </w:rPr>
              <w:t>6.2%</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b w:val="1"/>
                <w:bCs w:val="1"/>
                <w:color w:val="auto"/>
              </w:rPr>
              <w:t>-32.1%</w:t>
            </w:r>
          </w:p>
        </w:tc>
        <w:tc>
          <w:tcPr>
            <w:tcW w:w="740" w:type="dxa"/>
            <w:vAlign w:val="bottom"/>
          </w:tcPr>
          <w:p>
            <w:pPr>
              <w:jc w:val="center"/>
              <w:ind w:left="118"/>
              <w:spacing w:after="0"/>
              <w:rPr>
                <w:sz w:val="20"/>
                <w:szCs w:val="20"/>
                <w:color w:val="auto"/>
              </w:rPr>
            </w:pPr>
            <w:r>
              <w:rPr>
                <w:rFonts w:ascii="Arial" w:cs="Arial" w:eastAsia="Arial" w:hAnsi="Arial"/>
                <w:sz w:val="8"/>
                <w:szCs w:val="8"/>
                <w:b w:val="1"/>
                <w:bCs w:val="1"/>
                <w:color w:val="auto"/>
              </w:rPr>
              <w:t>(2,603,303)</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(1,630,647)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-37.4%</w:t>
            </w:r>
          </w:p>
        </w:tc>
      </w:tr>
      <w:tr>
        <w:trPr>
          <w:trHeight w:val="21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Net interest, similar income and expenses, after provision for credit</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2,495,854</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2,827,949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2,866,472</w:t>
            </w:r>
          </w:p>
        </w:tc>
        <w:tc>
          <w:tcPr>
            <w:tcW w:w="1180" w:type="dxa"/>
            <w:vAlign w:val="bottom"/>
          </w:tcPr>
          <w:p>
            <w:pPr>
              <w:jc w:val="center"/>
              <w:ind w:right="218"/>
              <w:spacing w:after="0"/>
              <w:rPr>
                <w:sz w:val="20"/>
                <w:szCs w:val="20"/>
                <w:color w:val="auto"/>
              </w:rPr>
            </w:pPr>
            <w:r>
              <w:rPr>
                <w:rFonts w:ascii="Arial" w:cs="Arial" w:eastAsia="Arial" w:hAnsi="Arial"/>
                <w:sz w:val="8"/>
                <w:szCs w:val="8"/>
                <w:b w:val="1"/>
                <w:bCs w:val="1"/>
                <w:color w:val="auto"/>
              </w:rPr>
              <w:t>1.4%</w:t>
            </w:r>
          </w:p>
        </w:tc>
        <w:tc>
          <w:tcPr>
            <w:tcW w:w="700" w:type="dxa"/>
            <w:vAlign w:val="bottom"/>
            <w:tcBorders>
              <w:right w:val="single" w:sz="8" w:color="auto"/>
            </w:tcBorders>
          </w:tcPr>
          <w:p>
            <w:pPr>
              <w:jc w:val="center"/>
              <w:ind w:right="258"/>
              <w:spacing w:after="0"/>
              <w:rPr>
                <w:sz w:val="20"/>
                <w:szCs w:val="20"/>
                <w:color w:val="auto"/>
              </w:rPr>
            </w:pPr>
            <w:r>
              <w:rPr>
                <w:rFonts w:ascii="Arial" w:cs="Arial" w:eastAsia="Arial" w:hAnsi="Arial"/>
                <w:sz w:val="8"/>
                <w:szCs w:val="8"/>
                <w:b w:val="1"/>
                <w:bCs w:val="1"/>
                <w:color w:val="auto"/>
              </w:rPr>
              <w:t>14.8%</w:t>
            </w:r>
          </w:p>
        </w:tc>
        <w:tc>
          <w:tcPr>
            <w:tcW w:w="740" w:type="dxa"/>
            <w:vAlign w:val="bottom"/>
          </w:tcPr>
          <w:p>
            <w:pPr>
              <w:jc w:val="center"/>
              <w:ind w:left="138"/>
              <w:spacing w:after="0"/>
              <w:rPr>
                <w:sz w:val="20"/>
                <w:szCs w:val="20"/>
                <w:color w:val="auto"/>
              </w:rPr>
            </w:pPr>
            <w:r>
              <w:rPr>
                <w:rFonts w:ascii="Arial" w:cs="Arial" w:eastAsia="Arial" w:hAnsi="Arial"/>
                <w:sz w:val="8"/>
                <w:szCs w:val="8"/>
                <w:b w:val="1"/>
                <w:bCs w:val="1"/>
                <w:color w:val="auto"/>
              </w:rPr>
              <w:t>7,099,444</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8,439,563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18.9%</w:t>
            </w:r>
          </w:p>
        </w:tc>
      </w:tr>
      <w:tr>
        <w:trPr>
          <w:trHeight w:val="114"/>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losses on loan portfolio</w:t>
            </w: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r>
      <w:tr>
        <w:trPr>
          <w:trHeight w:val="21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Other income</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Fee income</w:t>
            </w:r>
          </w:p>
        </w:tc>
        <w:tc>
          <w:tcPr>
            <w:tcW w:w="920" w:type="dxa"/>
            <w:vAlign w:val="bottom"/>
          </w:tcPr>
          <w:p>
            <w:pPr>
              <w:jc w:val="center"/>
              <w:spacing w:after="0"/>
              <w:rPr>
                <w:sz w:val="20"/>
                <w:szCs w:val="20"/>
                <w:color w:val="auto"/>
              </w:rPr>
            </w:pPr>
            <w:r>
              <w:rPr>
                <w:rFonts w:ascii="Arial" w:cs="Arial" w:eastAsia="Arial" w:hAnsi="Arial"/>
                <w:sz w:val="8"/>
                <w:szCs w:val="8"/>
                <w:color w:val="auto"/>
              </w:rPr>
              <w:t>822,829</w:t>
            </w:r>
          </w:p>
        </w:tc>
        <w:tc>
          <w:tcPr>
            <w:tcW w:w="920" w:type="dxa"/>
            <w:vAlign w:val="bottom"/>
          </w:tcPr>
          <w:p>
            <w:pPr>
              <w:jc w:val="center"/>
              <w:spacing w:after="0"/>
              <w:rPr>
                <w:sz w:val="20"/>
                <w:szCs w:val="20"/>
                <w:color w:val="auto"/>
              </w:rPr>
            </w:pPr>
            <w:r>
              <w:rPr>
                <w:rFonts w:ascii="Arial" w:cs="Arial" w:eastAsia="Arial" w:hAnsi="Arial"/>
                <w:sz w:val="8"/>
                <w:szCs w:val="8"/>
                <w:color w:val="auto"/>
              </w:rPr>
              <w:t>881,866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902,082</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2.3%</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w w:val="98"/>
              </w:rPr>
              <w:t>9.6%</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2,316,923</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2,644,037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14.1%</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on foreign exchange transactions</w:t>
            </w:r>
          </w:p>
        </w:tc>
        <w:tc>
          <w:tcPr>
            <w:tcW w:w="920" w:type="dxa"/>
            <w:vAlign w:val="bottom"/>
          </w:tcPr>
          <w:p>
            <w:pPr>
              <w:jc w:val="center"/>
              <w:spacing w:after="0"/>
              <w:rPr>
                <w:sz w:val="20"/>
                <w:szCs w:val="20"/>
                <w:color w:val="auto"/>
              </w:rPr>
            </w:pPr>
            <w:r>
              <w:rPr>
                <w:rFonts w:ascii="Arial" w:cs="Arial" w:eastAsia="Arial" w:hAnsi="Arial"/>
                <w:sz w:val="8"/>
                <w:szCs w:val="8"/>
                <w:color w:val="auto"/>
              </w:rPr>
              <w:t>299,425</w:t>
            </w:r>
          </w:p>
        </w:tc>
        <w:tc>
          <w:tcPr>
            <w:tcW w:w="920" w:type="dxa"/>
            <w:vAlign w:val="bottom"/>
          </w:tcPr>
          <w:p>
            <w:pPr>
              <w:jc w:val="center"/>
              <w:spacing w:after="0"/>
              <w:rPr>
                <w:sz w:val="20"/>
                <w:szCs w:val="20"/>
                <w:color w:val="auto"/>
              </w:rPr>
            </w:pPr>
            <w:r>
              <w:rPr>
                <w:rFonts w:ascii="Arial" w:cs="Arial" w:eastAsia="Arial" w:hAnsi="Arial"/>
                <w:sz w:val="8"/>
                <w:szCs w:val="8"/>
                <w:color w:val="auto"/>
              </w:rPr>
              <w:t>349,277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349,768</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0.1%</w:t>
            </w:r>
          </w:p>
        </w:tc>
        <w:tc>
          <w:tcPr>
            <w:tcW w:w="700" w:type="dxa"/>
            <w:vAlign w:val="bottom"/>
            <w:tcBorders>
              <w:right w:val="single" w:sz="8" w:color="auto"/>
            </w:tcBorders>
          </w:tcPr>
          <w:p>
            <w:pPr>
              <w:jc w:val="center"/>
              <w:ind w:right="258"/>
              <w:spacing w:after="0"/>
              <w:rPr>
                <w:sz w:val="20"/>
                <w:szCs w:val="20"/>
                <w:color w:val="auto"/>
              </w:rPr>
            </w:pPr>
            <w:r>
              <w:rPr>
                <w:rFonts w:ascii="Arial" w:cs="Arial" w:eastAsia="Arial" w:hAnsi="Arial"/>
                <w:sz w:val="8"/>
                <w:szCs w:val="8"/>
                <w:color w:val="auto"/>
              </w:rPr>
              <w:t>16.8%</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853,029</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1,004,844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17.8%</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(loss) on securities</w:t>
            </w:r>
          </w:p>
        </w:tc>
        <w:tc>
          <w:tcPr>
            <w:tcW w:w="920" w:type="dxa"/>
            <w:vAlign w:val="bottom"/>
          </w:tcPr>
          <w:p>
            <w:pPr>
              <w:jc w:val="center"/>
              <w:spacing w:after="0"/>
              <w:rPr>
                <w:sz w:val="20"/>
                <w:szCs w:val="20"/>
                <w:color w:val="auto"/>
              </w:rPr>
            </w:pPr>
            <w:r>
              <w:rPr>
                <w:rFonts w:ascii="Arial" w:cs="Arial" w:eastAsia="Arial" w:hAnsi="Arial"/>
                <w:sz w:val="8"/>
                <w:szCs w:val="8"/>
                <w:color w:val="auto"/>
              </w:rPr>
              <w:t>24,114</w:t>
            </w:r>
          </w:p>
        </w:tc>
        <w:tc>
          <w:tcPr>
            <w:tcW w:w="920" w:type="dxa"/>
            <w:vAlign w:val="bottom"/>
          </w:tcPr>
          <w:p>
            <w:pPr>
              <w:jc w:val="center"/>
              <w:spacing w:after="0"/>
              <w:rPr>
                <w:sz w:val="20"/>
                <w:szCs w:val="20"/>
                <w:color w:val="auto"/>
              </w:rPr>
            </w:pPr>
            <w:r>
              <w:rPr>
                <w:rFonts w:ascii="Arial" w:cs="Arial" w:eastAsia="Arial" w:hAnsi="Arial"/>
                <w:sz w:val="8"/>
                <w:szCs w:val="8"/>
                <w:color w:val="auto"/>
              </w:rPr>
              <w:t>121,126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2,683</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-97.8%</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-88.9%</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w w:val="97"/>
              </w:rPr>
              <w:t>47,504</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135,170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184.5%</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on derivatives held for trading</w:t>
            </w:r>
          </w:p>
        </w:tc>
        <w:tc>
          <w:tcPr>
            <w:tcW w:w="920" w:type="dxa"/>
            <w:vAlign w:val="bottom"/>
          </w:tcPr>
          <w:p>
            <w:pPr>
              <w:jc w:val="center"/>
              <w:spacing w:after="0"/>
              <w:rPr>
                <w:sz w:val="20"/>
                <w:szCs w:val="20"/>
                <w:color w:val="auto"/>
              </w:rPr>
            </w:pPr>
            <w:r>
              <w:rPr>
                <w:rFonts w:ascii="Arial" w:cs="Arial" w:eastAsia="Arial" w:hAnsi="Arial"/>
                <w:sz w:val="8"/>
                <w:szCs w:val="8"/>
                <w:color w:val="auto"/>
              </w:rPr>
              <w:t>13,639</w:t>
            </w:r>
          </w:p>
        </w:tc>
        <w:tc>
          <w:tcPr>
            <w:tcW w:w="920" w:type="dxa"/>
            <w:vAlign w:val="bottom"/>
          </w:tcPr>
          <w:p>
            <w:pPr>
              <w:jc w:val="center"/>
              <w:spacing w:after="0"/>
              <w:rPr>
                <w:sz w:val="20"/>
                <w:szCs w:val="20"/>
                <w:color w:val="auto"/>
              </w:rPr>
            </w:pPr>
            <w:r>
              <w:rPr>
                <w:rFonts w:ascii="Arial" w:cs="Arial" w:eastAsia="Arial" w:hAnsi="Arial"/>
                <w:sz w:val="8"/>
                <w:szCs w:val="8"/>
                <w:color w:val="auto"/>
                <w:w w:val="97"/>
              </w:rPr>
              <w:t>30,207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33,178</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9.8%</w:t>
            </w:r>
          </w:p>
        </w:tc>
        <w:tc>
          <w:tcPr>
            <w:tcW w:w="700" w:type="dxa"/>
            <w:vAlign w:val="bottom"/>
            <w:tcBorders>
              <w:right w:val="single" w:sz="8" w:color="auto"/>
            </w:tcBorders>
          </w:tcPr>
          <w:p>
            <w:pPr>
              <w:jc w:val="center"/>
              <w:ind w:right="258"/>
              <w:spacing w:after="0"/>
              <w:rPr>
                <w:sz w:val="20"/>
                <w:szCs w:val="20"/>
                <w:color w:val="auto"/>
              </w:rPr>
            </w:pPr>
            <w:r>
              <w:rPr>
                <w:rFonts w:ascii="Arial" w:cs="Arial" w:eastAsia="Arial" w:hAnsi="Arial"/>
                <w:sz w:val="8"/>
                <w:szCs w:val="8"/>
                <w:color w:val="auto"/>
              </w:rPr>
              <w:t>143.3%</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w w:val="97"/>
              </w:rPr>
              <w:t>52,793</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w w:val="97"/>
              </w:rPr>
              <w:t>78,020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47.8%</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loss (gain) from exchange differences</w:t>
            </w:r>
          </w:p>
        </w:tc>
        <w:tc>
          <w:tcPr>
            <w:tcW w:w="920" w:type="dxa"/>
            <w:vAlign w:val="bottom"/>
          </w:tcPr>
          <w:p>
            <w:pPr>
              <w:jc w:val="center"/>
              <w:spacing w:after="0"/>
              <w:rPr>
                <w:sz w:val="20"/>
                <w:szCs w:val="20"/>
                <w:color w:val="auto"/>
              </w:rPr>
            </w:pPr>
            <w:r>
              <w:rPr>
                <w:rFonts w:ascii="Arial" w:cs="Arial" w:eastAsia="Arial" w:hAnsi="Arial"/>
                <w:sz w:val="8"/>
                <w:szCs w:val="8"/>
                <w:color w:val="auto"/>
              </w:rPr>
              <w:t>(10,714)</w:t>
            </w:r>
          </w:p>
        </w:tc>
        <w:tc>
          <w:tcPr>
            <w:tcW w:w="920" w:type="dxa"/>
            <w:vAlign w:val="bottom"/>
          </w:tcPr>
          <w:p>
            <w:pPr>
              <w:jc w:val="center"/>
              <w:spacing w:after="0"/>
              <w:rPr>
                <w:sz w:val="20"/>
                <w:szCs w:val="20"/>
                <w:color w:val="auto"/>
              </w:rPr>
            </w:pPr>
            <w:r>
              <w:rPr>
                <w:rFonts w:ascii="Arial" w:cs="Arial" w:eastAsia="Arial" w:hAnsi="Arial"/>
                <w:sz w:val="8"/>
                <w:szCs w:val="8"/>
                <w:color w:val="auto"/>
                <w:w w:val="99"/>
              </w:rPr>
              <w:t>7,542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(1,064)</w:t>
            </w:r>
          </w:p>
        </w:tc>
        <w:tc>
          <w:tcPr>
            <w:tcW w:w="1180" w:type="dxa"/>
            <w:vAlign w:val="bottom"/>
          </w:tcPr>
          <w:p>
            <w:pPr>
              <w:jc w:val="center"/>
              <w:ind w:right="238"/>
              <w:spacing w:after="0"/>
              <w:rPr>
                <w:sz w:val="20"/>
                <w:szCs w:val="20"/>
                <w:color w:val="auto"/>
              </w:rPr>
            </w:pPr>
            <w:r>
              <w:rPr>
                <w:rFonts w:ascii="Arial" w:cs="Arial" w:eastAsia="Arial" w:hAnsi="Arial"/>
                <w:sz w:val="8"/>
                <w:szCs w:val="8"/>
                <w:color w:val="auto"/>
              </w:rPr>
              <w:t>n.a.</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n.a.</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(3,466)</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w w:val="99"/>
              </w:rPr>
              <w:t>7,261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n.a.</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Others</w:t>
            </w:r>
          </w:p>
        </w:tc>
        <w:tc>
          <w:tcPr>
            <w:tcW w:w="920" w:type="dxa"/>
            <w:vAlign w:val="bottom"/>
          </w:tcPr>
          <w:p>
            <w:pPr>
              <w:jc w:val="center"/>
              <w:spacing w:after="0"/>
              <w:rPr>
                <w:sz w:val="20"/>
                <w:szCs w:val="20"/>
                <w:color w:val="auto"/>
              </w:rPr>
            </w:pPr>
            <w:r>
              <w:rPr>
                <w:rFonts w:ascii="Arial" w:cs="Arial" w:eastAsia="Arial" w:hAnsi="Arial"/>
                <w:sz w:val="8"/>
                <w:szCs w:val="8"/>
                <w:color w:val="auto"/>
              </w:rPr>
              <w:t>19,336</w:t>
            </w:r>
          </w:p>
        </w:tc>
        <w:tc>
          <w:tcPr>
            <w:tcW w:w="920" w:type="dxa"/>
            <w:vAlign w:val="bottom"/>
          </w:tcPr>
          <w:p>
            <w:pPr>
              <w:jc w:val="center"/>
              <w:spacing w:after="0"/>
              <w:rPr>
                <w:sz w:val="20"/>
                <w:szCs w:val="20"/>
                <w:color w:val="auto"/>
              </w:rPr>
            </w:pPr>
            <w:r>
              <w:rPr>
                <w:rFonts w:ascii="Arial" w:cs="Arial" w:eastAsia="Arial" w:hAnsi="Arial"/>
                <w:sz w:val="8"/>
                <w:szCs w:val="8"/>
                <w:color w:val="auto"/>
                <w:w w:val="97"/>
              </w:rPr>
              <w:t>30,426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28,774</w:t>
            </w:r>
          </w:p>
        </w:tc>
        <w:tc>
          <w:tcPr>
            <w:tcW w:w="1180" w:type="dxa"/>
            <w:vAlign w:val="bottom"/>
          </w:tcPr>
          <w:p>
            <w:pPr>
              <w:jc w:val="center"/>
              <w:ind w:right="238"/>
              <w:spacing w:after="0"/>
              <w:rPr>
                <w:sz w:val="20"/>
                <w:szCs w:val="20"/>
                <w:color w:val="auto"/>
              </w:rPr>
            </w:pPr>
            <w:r>
              <w:rPr>
                <w:rFonts w:ascii="Arial" w:cs="Arial" w:eastAsia="Arial" w:hAnsi="Arial"/>
                <w:sz w:val="8"/>
                <w:szCs w:val="8"/>
                <w:color w:val="auto"/>
              </w:rPr>
              <w:t>-5.4%</w:t>
            </w:r>
          </w:p>
        </w:tc>
        <w:tc>
          <w:tcPr>
            <w:tcW w:w="700" w:type="dxa"/>
            <w:vAlign w:val="bottom"/>
            <w:tcBorders>
              <w:right w:val="single" w:sz="8" w:color="auto"/>
            </w:tcBorders>
          </w:tcPr>
          <w:p>
            <w:pPr>
              <w:jc w:val="center"/>
              <w:ind w:right="258"/>
              <w:spacing w:after="0"/>
              <w:rPr>
                <w:sz w:val="20"/>
                <w:szCs w:val="20"/>
                <w:color w:val="auto"/>
              </w:rPr>
            </w:pPr>
            <w:r>
              <w:rPr>
                <w:rFonts w:ascii="Arial" w:cs="Arial" w:eastAsia="Arial" w:hAnsi="Arial"/>
                <w:sz w:val="8"/>
                <w:szCs w:val="8"/>
                <w:color w:val="auto"/>
              </w:rPr>
              <w:t>48.8%</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150,980</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w w:val="97"/>
              </w:rPr>
              <w:t>83,173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-44.9%</w:t>
            </w:r>
          </w:p>
        </w:tc>
      </w:tr>
      <w:tr>
        <w:trPr>
          <w:trHeight w:val="114"/>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b w:val="1"/>
                <w:bCs w:val="1"/>
                <w:color w:val="auto"/>
              </w:rPr>
              <w:t>Total other income</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1,168,629</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1,420,444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1,315,421</w:t>
            </w:r>
          </w:p>
        </w:tc>
        <w:tc>
          <w:tcPr>
            <w:tcW w:w="1180" w:type="dxa"/>
            <w:vAlign w:val="bottom"/>
          </w:tcPr>
          <w:p>
            <w:pPr>
              <w:jc w:val="center"/>
              <w:ind w:right="238"/>
              <w:spacing w:after="0"/>
              <w:rPr>
                <w:sz w:val="20"/>
                <w:szCs w:val="20"/>
                <w:color w:val="auto"/>
              </w:rPr>
            </w:pPr>
            <w:r>
              <w:rPr>
                <w:rFonts w:ascii="Arial" w:cs="Arial" w:eastAsia="Arial" w:hAnsi="Arial"/>
                <w:sz w:val="8"/>
                <w:szCs w:val="8"/>
                <w:b w:val="1"/>
                <w:bCs w:val="1"/>
                <w:color w:val="auto"/>
              </w:rPr>
              <w:t>-7.4%</w:t>
            </w:r>
          </w:p>
        </w:tc>
        <w:tc>
          <w:tcPr>
            <w:tcW w:w="700" w:type="dxa"/>
            <w:vAlign w:val="bottom"/>
            <w:tcBorders>
              <w:right w:val="single" w:sz="8" w:color="auto"/>
            </w:tcBorders>
          </w:tcPr>
          <w:p>
            <w:pPr>
              <w:jc w:val="center"/>
              <w:ind w:right="258"/>
              <w:spacing w:after="0"/>
              <w:rPr>
                <w:sz w:val="20"/>
                <w:szCs w:val="20"/>
                <w:color w:val="auto"/>
              </w:rPr>
            </w:pPr>
            <w:r>
              <w:rPr>
                <w:rFonts w:ascii="Arial" w:cs="Arial" w:eastAsia="Arial" w:hAnsi="Arial"/>
                <w:sz w:val="8"/>
                <w:szCs w:val="8"/>
                <w:b w:val="1"/>
                <w:bCs w:val="1"/>
                <w:color w:val="auto"/>
              </w:rPr>
              <w:t>12.6%</w:t>
            </w:r>
          </w:p>
        </w:tc>
        <w:tc>
          <w:tcPr>
            <w:tcW w:w="740" w:type="dxa"/>
            <w:vAlign w:val="bottom"/>
          </w:tcPr>
          <w:p>
            <w:pPr>
              <w:jc w:val="center"/>
              <w:ind w:left="138"/>
              <w:spacing w:after="0"/>
              <w:rPr>
                <w:sz w:val="20"/>
                <w:szCs w:val="20"/>
                <w:color w:val="auto"/>
              </w:rPr>
            </w:pPr>
            <w:r>
              <w:rPr>
                <w:rFonts w:ascii="Arial" w:cs="Arial" w:eastAsia="Arial" w:hAnsi="Arial"/>
                <w:sz w:val="8"/>
                <w:szCs w:val="8"/>
                <w:b w:val="1"/>
                <w:bCs w:val="1"/>
                <w:color w:val="auto"/>
              </w:rPr>
              <w:t>3,417,763</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3,952,505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15.6%</w:t>
            </w:r>
          </w:p>
        </w:tc>
      </w:tr>
      <w:tr>
        <w:trPr>
          <w:trHeight w:val="21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Total expenses</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Salaries and employee benefits</w:t>
            </w:r>
          </w:p>
        </w:tc>
        <w:tc>
          <w:tcPr>
            <w:tcW w:w="920" w:type="dxa"/>
            <w:vAlign w:val="bottom"/>
          </w:tcPr>
          <w:p>
            <w:pPr>
              <w:jc w:val="center"/>
              <w:spacing w:after="0"/>
              <w:rPr>
                <w:sz w:val="20"/>
                <w:szCs w:val="20"/>
                <w:color w:val="auto"/>
              </w:rPr>
            </w:pPr>
            <w:r>
              <w:rPr>
                <w:rFonts w:ascii="Arial" w:cs="Arial" w:eastAsia="Arial" w:hAnsi="Arial"/>
                <w:sz w:val="8"/>
                <w:szCs w:val="8"/>
                <w:color w:val="auto"/>
              </w:rPr>
              <w:t>(850,918)</w:t>
            </w:r>
          </w:p>
        </w:tc>
        <w:tc>
          <w:tcPr>
            <w:tcW w:w="920" w:type="dxa"/>
            <w:vAlign w:val="bottom"/>
          </w:tcPr>
          <w:p>
            <w:pPr>
              <w:jc w:val="center"/>
              <w:spacing w:after="0"/>
              <w:rPr>
                <w:sz w:val="20"/>
                <w:szCs w:val="20"/>
                <w:color w:val="auto"/>
              </w:rPr>
            </w:pPr>
            <w:r>
              <w:rPr>
                <w:rFonts w:ascii="Arial" w:cs="Arial" w:eastAsia="Arial" w:hAnsi="Arial"/>
                <w:sz w:val="8"/>
                <w:szCs w:val="8"/>
                <w:color w:val="auto"/>
              </w:rPr>
              <w:t>(951,711)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(958,832)</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0.7%</w:t>
            </w:r>
          </w:p>
        </w:tc>
        <w:tc>
          <w:tcPr>
            <w:tcW w:w="700" w:type="dxa"/>
            <w:vAlign w:val="bottom"/>
            <w:tcBorders>
              <w:right w:val="single" w:sz="8" w:color="auto"/>
            </w:tcBorders>
          </w:tcPr>
          <w:p>
            <w:pPr>
              <w:jc w:val="center"/>
              <w:ind w:right="258"/>
              <w:spacing w:after="0"/>
              <w:rPr>
                <w:sz w:val="20"/>
                <w:szCs w:val="20"/>
                <w:color w:val="auto"/>
              </w:rPr>
            </w:pPr>
            <w:r>
              <w:rPr>
                <w:rFonts w:ascii="Arial" w:cs="Arial" w:eastAsia="Arial" w:hAnsi="Arial"/>
                <w:sz w:val="8"/>
                <w:szCs w:val="8"/>
                <w:color w:val="auto"/>
              </w:rPr>
              <w:t>12.7%</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(2,467,693)</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(2,890,077)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17.1%</w:t>
            </w:r>
          </w:p>
        </w:tc>
      </w:tr>
      <w:tr>
        <w:trPr>
          <w:trHeight w:val="97"/>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Administrative expenses</w:t>
            </w:r>
          </w:p>
        </w:tc>
        <w:tc>
          <w:tcPr>
            <w:tcW w:w="920" w:type="dxa"/>
            <w:vAlign w:val="bottom"/>
          </w:tcPr>
          <w:p>
            <w:pPr>
              <w:jc w:val="center"/>
              <w:spacing w:after="0"/>
              <w:rPr>
                <w:sz w:val="20"/>
                <w:szCs w:val="20"/>
                <w:color w:val="auto"/>
              </w:rPr>
            </w:pPr>
            <w:r>
              <w:rPr>
                <w:rFonts w:ascii="Arial" w:cs="Arial" w:eastAsia="Arial" w:hAnsi="Arial"/>
                <w:sz w:val="8"/>
                <w:szCs w:val="8"/>
                <w:color w:val="auto"/>
              </w:rPr>
              <w:t>(726,190)</w:t>
            </w:r>
          </w:p>
        </w:tc>
        <w:tc>
          <w:tcPr>
            <w:tcW w:w="920" w:type="dxa"/>
            <w:vAlign w:val="bottom"/>
          </w:tcPr>
          <w:p>
            <w:pPr>
              <w:jc w:val="center"/>
              <w:spacing w:after="0"/>
              <w:rPr>
                <w:sz w:val="20"/>
                <w:szCs w:val="20"/>
                <w:color w:val="auto"/>
              </w:rPr>
            </w:pPr>
            <w:r>
              <w:rPr>
                <w:rFonts w:ascii="Arial" w:cs="Arial" w:eastAsia="Arial" w:hAnsi="Arial"/>
                <w:sz w:val="8"/>
                <w:szCs w:val="8"/>
                <w:color w:val="auto"/>
              </w:rPr>
              <w:t>(732,853)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(805,053)</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9.9%</w:t>
            </w:r>
          </w:p>
        </w:tc>
        <w:tc>
          <w:tcPr>
            <w:tcW w:w="700" w:type="dxa"/>
            <w:vAlign w:val="bottom"/>
            <w:tcBorders>
              <w:right w:val="single" w:sz="8" w:color="auto"/>
            </w:tcBorders>
          </w:tcPr>
          <w:p>
            <w:pPr>
              <w:jc w:val="center"/>
              <w:ind w:right="258"/>
              <w:spacing w:after="0"/>
              <w:rPr>
                <w:sz w:val="20"/>
                <w:szCs w:val="20"/>
                <w:color w:val="auto"/>
              </w:rPr>
            </w:pPr>
            <w:r>
              <w:rPr>
                <w:rFonts w:ascii="Arial" w:cs="Arial" w:eastAsia="Arial" w:hAnsi="Arial"/>
                <w:sz w:val="8"/>
                <w:szCs w:val="8"/>
                <w:color w:val="auto"/>
              </w:rPr>
              <w:t>10.9%</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(2,068,890)</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(2,166,648)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4.7%</w:t>
            </w:r>
          </w:p>
        </w:tc>
      </w:tr>
      <w:tr>
        <w:trPr>
          <w:trHeight w:val="119"/>
        </w:trPr>
        <w:tc>
          <w:tcPr>
            <w:tcW w:w="2960" w:type="dxa"/>
            <w:vAlign w:val="bottom"/>
            <w:tcBorders>
              <w:left w:val="single" w:sz="8" w:color="auto"/>
              <w:right w:val="single" w:sz="8" w:color="auto"/>
            </w:tcBorders>
          </w:tcPr>
          <w:p>
            <w:pPr>
              <w:ind w:left="160"/>
              <w:spacing w:after="0" w:line="119" w:lineRule="exact"/>
              <w:rPr>
                <w:sz w:val="20"/>
                <w:szCs w:val="20"/>
                <w:color w:val="auto"/>
              </w:rPr>
            </w:pPr>
            <w:r>
              <w:rPr>
                <w:rFonts w:ascii="Arial" w:cs="Arial" w:eastAsia="Arial" w:hAnsi="Arial"/>
                <w:sz w:val="8"/>
                <w:szCs w:val="8"/>
                <w:color w:val="auto"/>
              </w:rPr>
              <w:t xml:space="preserve">Depreciation and amortization </w:t>
            </w:r>
            <w:r>
              <w:rPr>
                <w:rFonts w:ascii="Arial" w:cs="Arial" w:eastAsia="Arial" w:hAnsi="Arial"/>
                <w:sz w:val="13"/>
                <w:szCs w:val="13"/>
                <w:color w:val="auto"/>
                <w:vertAlign w:val="superscript"/>
              </w:rPr>
              <w:t>(2)</w:t>
            </w:r>
          </w:p>
        </w:tc>
        <w:tc>
          <w:tcPr>
            <w:tcW w:w="920" w:type="dxa"/>
            <w:vAlign w:val="bottom"/>
          </w:tcPr>
          <w:p>
            <w:pPr>
              <w:jc w:val="center"/>
              <w:spacing w:after="0"/>
              <w:rPr>
                <w:sz w:val="20"/>
                <w:szCs w:val="20"/>
                <w:color w:val="auto"/>
              </w:rPr>
            </w:pPr>
            <w:r>
              <w:rPr>
                <w:rFonts w:ascii="Arial" w:cs="Arial" w:eastAsia="Arial" w:hAnsi="Arial"/>
                <w:sz w:val="8"/>
                <w:szCs w:val="8"/>
                <w:color w:val="auto"/>
              </w:rPr>
              <w:t>(146,719)</w:t>
            </w:r>
          </w:p>
        </w:tc>
        <w:tc>
          <w:tcPr>
            <w:tcW w:w="920" w:type="dxa"/>
            <w:vAlign w:val="bottom"/>
          </w:tcPr>
          <w:p>
            <w:pPr>
              <w:jc w:val="center"/>
              <w:spacing w:after="0"/>
              <w:rPr>
                <w:sz w:val="20"/>
                <w:szCs w:val="20"/>
                <w:color w:val="auto"/>
              </w:rPr>
            </w:pPr>
            <w:r>
              <w:rPr>
                <w:rFonts w:ascii="Arial" w:cs="Arial" w:eastAsia="Arial" w:hAnsi="Arial"/>
                <w:sz w:val="8"/>
                <w:szCs w:val="8"/>
                <w:color w:val="auto"/>
              </w:rPr>
              <w:t>(176,020)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(181,978)</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3.4%</w:t>
            </w:r>
          </w:p>
        </w:tc>
        <w:tc>
          <w:tcPr>
            <w:tcW w:w="700" w:type="dxa"/>
            <w:vAlign w:val="bottom"/>
            <w:tcBorders>
              <w:right w:val="single" w:sz="8" w:color="auto"/>
            </w:tcBorders>
          </w:tcPr>
          <w:p>
            <w:pPr>
              <w:jc w:val="center"/>
              <w:ind w:right="258"/>
              <w:spacing w:after="0"/>
              <w:rPr>
                <w:sz w:val="20"/>
                <w:szCs w:val="20"/>
                <w:color w:val="auto"/>
              </w:rPr>
            </w:pPr>
            <w:r>
              <w:rPr>
                <w:rFonts w:ascii="Arial" w:cs="Arial" w:eastAsia="Arial" w:hAnsi="Arial"/>
                <w:sz w:val="8"/>
                <w:szCs w:val="8"/>
                <w:color w:val="auto"/>
              </w:rPr>
              <w:t>24.0%</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(429,259)</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(526,134)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22.6%</w:t>
            </w:r>
          </w:p>
        </w:tc>
      </w:tr>
      <w:tr>
        <w:trPr>
          <w:trHeight w:val="10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Other expenses</w:t>
            </w:r>
          </w:p>
        </w:tc>
        <w:tc>
          <w:tcPr>
            <w:tcW w:w="920" w:type="dxa"/>
            <w:vAlign w:val="bottom"/>
          </w:tcPr>
          <w:p>
            <w:pPr>
              <w:jc w:val="center"/>
              <w:spacing w:after="0"/>
              <w:rPr>
                <w:sz w:val="20"/>
                <w:szCs w:val="20"/>
                <w:color w:val="auto"/>
              </w:rPr>
            </w:pPr>
            <w:r>
              <w:rPr>
                <w:rFonts w:ascii="Arial" w:cs="Arial" w:eastAsia="Arial" w:hAnsi="Arial"/>
                <w:sz w:val="8"/>
                <w:szCs w:val="8"/>
                <w:color w:val="auto"/>
              </w:rPr>
              <w:t>(62,292)</w:t>
            </w:r>
          </w:p>
        </w:tc>
        <w:tc>
          <w:tcPr>
            <w:tcW w:w="920" w:type="dxa"/>
            <w:vAlign w:val="bottom"/>
          </w:tcPr>
          <w:p>
            <w:pPr>
              <w:jc w:val="center"/>
              <w:spacing w:after="0"/>
              <w:rPr>
                <w:sz w:val="20"/>
                <w:szCs w:val="20"/>
                <w:color w:val="auto"/>
              </w:rPr>
            </w:pPr>
            <w:r>
              <w:rPr>
                <w:rFonts w:ascii="Arial" w:cs="Arial" w:eastAsia="Arial" w:hAnsi="Arial"/>
                <w:sz w:val="8"/>
                <w:szCs w:val="8"/>
                <w:color w:val="auto"/>
              </w:rPr>
              <w:t>(57,093)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(55,223)</w:t>
            </w:r>
          </w:p>
        </w:tc>
        <w:tc>
          <w:tcPr>
            <w:tcW w:w="1180" w:type="dxa"/>
            <w:vAlign w:val="bottom"/>
          </w:tcPr>
          <w:p>
            <w:pPr>
              <w:jc w:val="center"/>
              <w:ind w:right="238"/>
              <w:spacing w:after="0"/>
              <w:rPr>
                <w:sz w:val="20"/>
                <w:szCs w:val="20"/>
                <w:color w:val="auto"/>
              </w:rPr>
            </w:pPr>
            <w:r>
              <w:rPr>
                <w:rFonts w:ascii="Arial" w:cs="Arial" w:eastAsia="Arial" w:hAnsi="Arial"/>
                <w:sz w:val="8"/>
                <w:szCs w:val="8"/>
                <w:color w:val="auto"/>
              </w:rPr>
              <w:t>-3.3%</w:t>
            </w:r>
          </w:p>
        </w:tc>
        <w:tc>
          <w:tcPr>
            <w:tcW w:w="700" w:type="dxa"/>
            <w:vAlign w:val="bottom"/>
            <w:tcBorders>
              <w:right w:val="single" w:sz="8" w:color="auto"/>
            </w:tcBorders>
          </w:tcPr>
          <w:p>
            <w:pPr>
              <w:jc w:val="center"/>
              <w:ind w:right="238"/>
              <w:spacing w:after="0"/>
              <w:rPr>
                <w:sz w:val="20"/>
                <w:szCs w:val="20"/>
                <w:color w:val="auto"/>
              </w:rPr>
            </w:pPr>
            <w:r>
              <w:rPr>
                <w:rFonts w:ascii="Arial" w:cs="Arial" w:eastAsia="Arial" w:hAnsi="Arial"/>
                <w:sz w:val="8"/>
                <w:szCs w:val="8"/>
                <w:color w:val="auto"/>
              </w:rPr>
              <w:t>-11.3%</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(178,795)</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(165,841)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-7.2%</w:t>
            </w:r>
          </w:p>
        </w:tc>
      </w:tr>
      <w:tr>
        <w:trPr>
          <w:trHeight w:val="114"/>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Total expenses</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(1,786,119)</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(1,917,677)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(2,001,086)</w:t>
            </w:r>
          </w:p>
        </w:tc>
        <w:tc>
          <w:tcPr>
            <w:tcW w:w="1180" w:type="dxa"/>
            <w:vAlign w:val="bottom"/>
          </w:tcPr>
          <w:p>
            <w:pPr>
              <w:jc w:val="center"/>
              <w:ind w:right="218"/>
              <w:spacing w:after="0"/>
              <w:rPr>
                <w:sz w:val="20"/>
                <w:szCs w:val="20"/>
                <w:color w:val="auto"/>
              </w:rPr>
            </w:pPr>
            <w:r>
              <w:rPr>
                <w:rFonts w:ascii="Arial" w:cs="Arial" w:eastAsia="Arial" w:hAnsi="Arial"/>
                <w:sz w:val="8"/>
                <w:szCs w:val="8"/>
                <w:b w:val="1"/>
                <w:bCs w:val="1"/>
                <w:color w:val="auto"/>
              </w:rPr>
              <w:t>4.3%</w:t>
            </w:r>
          </w:p>
        </w:tc>
        <w:tc>
          <w:tcPr>
            <w:tcW w:w="700" w:type="dxa"/>
            <w:vAlign w:val="bottom"/>
            <w:tcBorders>
              <w:right w:val="single" w:sz="8" w:color="auto"/>
            </w:tcBorders>
          </w:tcPr>
          <w:p>
            <w:pPr>
              <w:jc w:val="center"/>
              <w:ind w:right="258"/>
              <w:spacing w:after="0"/>
              <w:rPr>
                <w:sz w:val="20"/>
                <w:szCs w:val="20"/>
                <w:color w:val="auto"/>
              </w:rPr>
            </w:pPr>
            <w:r>
              <w:rPr>
                <w:rFonts w:ascii="Arial" w:cs="Arial" w:eastAsia="Arial" w:hAnsi="Arial"/>
                <w:sz w:val="8"/>
                <w:szCs w:val="8"/>
                <w:b w:val="1"/>
                <w:bCs w:val="1"/>
                <w:color w:val="auto"/>
              </w:rPr>
              <w:t>12.0%</w:t>
            </w:r>
          </w:p>
        </w:tc>
        <w:tc>
          <w:tcPr>
            <w:tcW w:w="740" w:type="dxa"/>
            <w:vAlign w:val="bottom"/>
          </w:tcPr>
          <w:p>
            <w:pPr>
              <w:jc w:val="center"/>
              <w:ind w:left="118"/>
              <w:spacing w:after="0"/>
              <w:rPr>
                <w:sz w:val="20"/>
                <w:szCs w:val="20"/>
                <w:color w:val="auto"/>
              </w:rPr>
            </w:pPr>
            <w:r>
              <w:rPr>
                <w:rFonts w:ascii="Arial" w:cs="Arial" w:eastAsia="Arial" w:hAnsi="Arial"/>
                <w:sz w:val="8"/>
                <w:szCs w:val="8"/>
                <w:b w:val="1"/>
                <w:bCs w:val="1"/>
                <w:color w:val="auto"/>
              </w:rPr>
              <w:t>(5,144,637)</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(5,748,700)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11.7%</w:t>
            </w:r>
          </w:p>
        </w:tc>
      </w:tr>
      <w:tr>
        <w:trPr>
          <w:trHeight w:val="216"/>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Profit before income tax</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1,878,364</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2,330,716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2,180,807</w:t>
            </w:r>
          </w:p>
        </w:tc>
        <w:tc>
          <w:tcPr>
            <w:tcW w:w="1180" w:type="dxa"/>
            <w:vAlign w:val="bottom"/>
          </w:tcPr>
          <w:p>
            <w:pPr>
              <w:jc w:val="center"/>
              <w:ind w:right="238"/>
              <w:spacing w:after="0"/>
              <w:rPr>
                <w:sz w:val="20"/>
                <w:szCs w:val="20"/>
                <w:color w:val="auto"/>
              </w:rPr>
            </w:pPr>
            <w:r>
              <w:rPr>
                <w:rFonts w:ascii="Arial" w:cs="Arial" w:eastAsia="Arial" w:hAnsi="Arial"/>
                <w:sz w:val="8"/>
                <w:szCs w:val="8"/>
                <w:b w:val="1"/>
                <w:bCs w:val="1"/>
                <w:color w:val="auto"/>
              </w:rPr>
              <w:t>-6.4%</w:t>
            </w:r>
          </w:p>
        </w:tc>
        <w:tc>
          <w:tcPr>
            <w:tcW w:w="700" w:type="dxa"/>
            <w:vAlign w:val="bottom"/>
            <w:tcBorders>
              <w:right w:val="single" w:sz="8" w:color="auto"/>
            </w:tcBorders>
          </w:tcPr>
          <w:p>
            <w:pPr>
              <w:jc w:val="center"/>
              <w:ind w:right="258"/>
              <w:spacing w:after="0"/>
              <w:rPr>
                <w:sz w:val="20"/>
                <w:szCs w:val="20"/>
                <w:color w:val="auto"/>
              </w:rPr>
            </w:pPr>
            <w:r>
              <w:rPr>
                <w:rFonts w:ascii="Arial" w:cs="Arial" w:eastAsia="Arial" w:hAnsi="Arial"/>
                <w:sz w:val="8"/>
                <w:szCs w:val="8"/>
                <w:b w:val="1"/>
                <w:bCs w:val="1"/>
                <w:color w:val="auto"/>
              </w:rPr>
              <w:t>16.1%</w:t>
            </w:r>
          </w:p>
        </w:tc>
        <w:tc>
          <w:tcPr>
            <w:tcW w:w="740" w:type="dxa"/>
            <w:vAlign w:val="bottom"/>
          </w:tcPr>
          <w:p>
            <w:pPr>
              <w:jc w:val="center"/>
              <w:ind w:left="138"/>
              <w:spacing w:after="0"/>
              <w:rPr>
                <w:sz w:val="20"/>
                <w:szCs w:val="20"/>
                <w:color w:val="auto"/>
              </w:rPr>
            </w:pPr>
            <w:r>
              <w:rPr>
                <w:rFonts w:ascii="Arial" w:cs="Arial" w:eastAsia="Arial" w:hAnsi="Arial"/>
                <w:sz w:val="8"/>
                <w:szCs w:val="8"/>
                <w:b w:val="1"/>
                <w:bCs w:val="1"/>
                <w:color w:val="auto"/>
              </w:rPr>
              <w:t>5,372,570</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6,643,368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23.7%</w:t>
            </w:r>
          </w:p>
        </w:tc>
      </w:tr>
      <w:tr>
        <w:trPr>
          <w:trHeight w:val="212"/>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Income tax</w:t>
            </w:r>
          </w:p>
        </w:tc>
        <w:tc>
          <w:tcPr>
            <w:tcW w:w="920" w:type="dxa"/>
            <w:vAlign w:val="bottom"/>
          </w:tcPr>
          <w:p>
            <w:pPr>
              <w:jc w:val="center"/>
              <w:spacing w:after="0"/>
              <w:rPr>
                <w:sz w:val="20"/>
                <w:szCs w:val="20"/>
                <w:color w:val="auto"/>
              </w:rPr>
            </w:pPr>
            <w:r>
              <w:rPr>
                <w:rFonts w:ascii="Arial" w:cs="Arial" w:eastAsia="Arial" w:hAnsi="Arial"/>
                <w:sz w:val="8"/>
                <w:szCs w:val="8"/>
                <w:color w:val="auto"/>
              </w:rPr>
              <w:t>(472,791)</w:t>
            </w:r>
          </w:p>
        </w:tc>
        <w:tc>
          <w:tcPr>
            <w:tcW w:w="920" w:type="dxa"/>
            <w:vAlign w:val="bottom"/>
          </w:tcPr>
          <w:p>
            <w:pPr>
              <w:jc w:val="center"/>
              <w:spacing w:after="0"/>
              <w:rPr>
                <w:sz w:val="20"/>
                <w:szCs w:val="20"/>
                <w:color w:val="auto"/>
              </w:rPr>
            </w:pPr>
            <w:r>
              <w:rPr>
                <w:rFonts w:ascii="Arial" w:cs="Arial" w:eastAsia="Arial" w:hAnsi="Arial"/>
                <w:sz w:val="8"/>
                <w:szCs w:val="8"/>
                <w:color w:val="auto"/>
              </w:rPr>
              <w:t>(576,345)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(577,612)</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0.2%</w:t>
            </w:r>
          </w:p>
        </w:tc>
        <w:tc>
          <w:tcPr>
            <w:tcW w:w="700" w:type="dxa"/>
            <w:vAlign w:val="bottom"/>
            <w:tcBorders>
              <w:right w:val="single" w:sz="8" w:color="auto"/>
            </w:tcBorders>
          </w:tcPr>
          <w:p>
            <w:pPr>
              <w:jc w:val="center"/>
              <w:ind w:right="258"/>
              <w:spacing w:after="0"/>
              <w:rPr>
                <w:sz w:val="20"/>
                <w:szCs w:val="20"/>
                <w:color w:val="auto"/>
              </w:rPr>
            </w:pPr>
            <w:r>
              <w:rPr>
                <w:rFonts w:ascii="Arial" w:cs="Arial" w:eastAsia="Arial" w:hAnsi="Arial"/>
                <w:sz w:val="8"/>
                <w:szCs w:val="8"/>
                <w:color w:val="auto"/>
              </w:rPr>
              <w:t>22.2%</w:t>
            </w:r>
          </w:p>
        </w:tc>
        <w:tc>
          <w:tcPr>
            <w:tcW w:w="740" w:type="dxa"/>
            <w:vAlign w:val="bottom"/>
          </w:tcPr>
          <w:p>
            <w:pPr>
              <w:jc w:val="center"/>
              <w:ind w:left="118"/>
              <w:spacing w:after="0"/>
              <w:rPr>
                <w:sz w:val="20"/>
                <w:szCs w:val="20"/>
                <w:color w:val="auto"/>
              </w:rPr>
            </w:pPr>
            <w:r>
              <w:rPr>
                <w:rFonts w:ascii="Arial" w:cs="Arial" w:eastAsia="Arial" w:hAnsi="Arial"/>
                <w:sz w:val="8"/>
                <w:szCs w:val="8"/>
                <w:color w:val="auto"/>
              </w:rPr>
              <w:t>(1,335,341)</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(1,703,419)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27.6%</w:t>
            </w:r>
          </w:p>
        </w:tc>
      </w:tr>
      <w:tr>
        <w:trPr>
          <w:trHeight w:val="214"/>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Net profit</w:t>
            </w:r>
          </w:p>
        </w:tc>
        <w:tc>
          <w:tcPr>
            <w:tcW w:w="920" w:type="dxa"/>
            <w:vAlign w:val="bottom"/>
          </w:tcPr>
          <w:p>
            <w:pPr>
              <w:jc w:val="center"/>
              <w:spacing w:after="0"/>
              <w:rPr>
                <w:sz w:val="20"/>
                <w:szCs w:val="20"/>
                <w:color w:val="auto"/>
              </w:rPr>
            </w:pPr>
            <w:r>
              <w:rPr>
                <w:rFonts w:ascii="Arial" w:cs="Arial" w:eastAsia="Arial" w:hAnsi="Arial"/>
                <w:sz w:val="8"/>
                <w:szCs w:val="8"/>
                <w:color w:val="auto"/>
              </w:rPr>
              <w:t>1,405,573</w:t>
            </w:r>
          </w:p>
        </w:tc>
        <w:tc>
          <w:tcPr>
            <w:tcW w:w="920" w:type="dxa"/>
            <w:vAlign w:val="bottom"/>
          </w:tcPr>
          <w:p>
            <w:pPr>
              <w:jc w:val="center"/>
              <w:spacing w:after="0"/>
              <w:rPr>
                <w:sz w:val="20"/>
                <w:szCs w:val="20"/>
                <w:color w:val="auto"/>
              </w:rPr>
            </w:pPr>
            <w:r>
              <w:rPr>
                <w:rFonts w:ascii="Arial" w:cs="Arial" w:eastAsia="Arial" w:hAnsi="Arial"/>
                <w:sz w:val="8"/>
                <w:szCs w:val="8"/>
                <w:color w:val="auto"/>
              </w:rPr>
              <w:t>1,754,371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1,603,195</w:t>
            </w:r>
          </w:p>
        </w:tc>
        <w:tc>
          <w:tcPr>
            <w:tcW w:w="1180" w:type="dxa"/>
            <w:vAlign w:val="bottom"/>
          </w:tcPr>
          <w:p>
            <w:pPr>
              <w:jc w:val="center"/>
              <w:ind w:right="238"/>
              <w:spacing w:after="0"/>
              <w:rPr>
                <w:sz w:val="20"/>
                <w:szCs w:val="20"/>
                <w:color w:val="auto"/>
              </w:rPr>
            </w:pPr>
            <w:r>
              <w:rPr>
                <w:rFonts w:ascii="Arial" w:cs="Arial" w:eastAsia="Arial" w:hAnsi="Arial"/>
                <w:sz w:val="8"/>
                <w:szCs w:val="8"/>
                <w:color w:val="auto"/>
              </w:rPr>
              <w:t>-8.6%</w:t>
            </w:r>
          </w:p>
        </w:tc>
        <w:tc>
          <w:tcPr>
            <w:tcW w:w="700" w:type="dxa"/>
            <w:vAlign w:val="bottom"/>
            <w:tcBorders>
              <w:right w:val="single" w:sz="8" w:color="auto"/>
            </w:tcBorders>
          </w:tcPr>
          <w:p>
            <w:pPr>
              <w:jc w:val="center"/>
              <w:ind w:right="258"/>
              <w:spacing w:after="0"/>
              <w:rPr>
                <w:sz w:val="20"/>
                <w:szCs w:val="20"/>
                <w:color w:val="auto"/>
              </w:rPr>
            </w:pPr>
            <w:r>
              <w:rPr>
                <w:rFonts w:ascii="Arial" w:cs="Arial" w:eastAsia="Arial" w:hAnsi="Arial"/>
                <w:sz w:val="8"/>
                <w:szCs w:val="8"/>
                <w:color w:val="auto"/>
              </w:rPr>
              <w:t>14.1%</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4,037,229</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4,939,949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22.4%</w:t>
            </w:r>
          </w:p>
        </w:tc>
      </w:tr>
      <w:tr>
        <w:trPr>
          <w:trHeight w:val="10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Non-controlling interest</w:t>
            </w:r>
          </w:p>
        </w:tc>
        <w:tc>
          <w:tcPr>
            <w:tcW w:w="920" w:type="dxa"/>
            <w:vAlign w:val="bottom"/>
          </w:tcPr>
          <w:p>
            <w:pPr>
              <w:jc w:val="center"/>
              <w:spacing w:after="0"/>
              <w:rPr>
                <w:sz w:val="20"/>
                <w:szCs w:val="20"/>
                <w:color w:val="auto"/>
              </w:rPr>
            </w:pPr>
            <w:r>
              <w:rPr>
                <w:rFonts w:ascii="Arial" w:cs="Arial" w:eastAsia="Arial" w:hAnsi="Arial"/>
                <w:sz w:val="8"/>
                <w:szCs w:val="8"/>
                <w:color w:val="auto"/>
              </w:rPr>
              <w:t>(3,172)</w:t>
            </w:r>
          </w:p>
        </w:tc>
        <w:tc>
          <w:tcPr>
            <w:tcW w:w="920" w:type="dxa"/>
            <w:vAlign w:val="bottom"/>
          </w:tcPr>
          <w:p>
            <w:pPr>
              <w:jc w:val="center"/>
              <w:spacing w:after="0"/>
              <w:rPr>
                <w:sz w:val="20"/>
                <w:szCs w:val="20"/>
                <w:color w:val="auto"/>
              </w:rPr>
            </w:pPr>
            <w:r>
              <w:rPr>
                <w:rFonts w:ascii="Arial" w:cs="Arial" w:eastAsia="Arial" w:hAnsi="Arial"/>
                <w:sz w:val="8"/>
                <w:szCs w:val="8"/>
                <w:color w:val="auto"/>
              </w:rPr>
              <w:t>(5,135)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(6,114)</w:t>
            </w:r>
          </w:p>
        </w:tc>
        <w:tc>
          <w:tcPr>
            <w:tcW w:w="1180" w:type="dxa"/>
            <w:vAlign w:val="bottom"/>
          </w:tcPr>
          <w:p>
            <w:pPr>
              <w:jc w:val="center"/>
              <w:ind w:right="218"/>
              <w:spacing w:after="0"/>
              <w:rPr>
                <w:sz w:val="20"/>
                <w:szCs w:val="20"/>
                <w:color w:val="auto"/>
              </w:rPr>
            </w:pPr>
            <w:r>
              <w:rPr>
                <w:rFonts w:ascii="Arial" w:cs="Arial" w:eastAsia="Arial" w:hAnsi="Arial"/>
                <w:sz w:val="8"/>
                <w:szCs w:val="8"/>
                <w:color w:val="auto"/>
              </w:rPr>
              <w:t>19.1%</w:t>
            </w:r>
          </w:p>
        </w:tc>
        <w:tc>
          <w:tcPr>
            <w:tcW w:w="700" w:type="dxa"/>
            <w:vAlign w:val="bottom"/>
            <w:tcBorders>
              <w:right w:val="single" w:sz="8" w:color="auto"/>
            </w:tcBorders>
          </w:tcPr>
          <w:p>
            <w:pPr>
              <w:jc w:val="center"/>
              <w:ind w:right="258"/>
              <w:spacing w:after="0"/>
              <w:rPr>
                <w:sz w:val="20"/>
                <w:szCs w:val="20"/>
                <w:color w:val="auto"/>
              </w:rPr>
            </w:pPr>
            <w:r>
              <w:rPr>
                <w:rFonts w:ascii="Arial" w:cs="Arial" w:eastAsia="Arial" w:hAnsi="Arial"/>
                <w:sz w:val="8"/>
                <w:szCs w:val="8"/>
                <w:color w:val="auto"/>
              </w:rPr>
              <w:t>92.7%</w:t>
            </w:r>
          </w:p>
        </w:tc>
        <w:tc>
          <w:tcPr>
            <w:tcW w:w="740" w:type="dxa"/>
            <w:vAlign w:val="bottom"/>
          </w:tcPr>
          <w:p>
            <w:pPr>
              <w:jc w:val="center"/>
              <w:ind w:left="138"/>
              <w:spacing w:after="0"/>
              <w:rPr>
                <w:sz w:val="20"/>
                <w:szCs w:val="20"/>
                <w:color w:val="auto"/>
              </w:rPr>
            </w:pPr>
            <w:r>
              <w:rPr>
                <w:rFonts w:ascii="Arial" w:cs="Arial" w:eastAsia="Arial" w:hAnsi="Arial"/>
                <w:sz w:val="8"/>
                <w:szCs w:val="8"/>
                <w:color w:val="auto"/>
              </w:rPr>
              <w:t>(9,551)</w:t>
            </w:r>
          </w:p>
        </w:tc>
        <w:tc>
          <w:tcPr>
            <w:tcW w:w="1160" w:type="dxa"/>
            <w:vAlign w:val="bottom"/>
            <w:tcBorders>
              <w:right w:val="single" w:sz="8" w:color="auto"/>
            </w:tcBorders>
          </w:tcPr>
          <w:p>
            <w:pPr>
              <w:jc w:val="center"/>
              <w:ind w:left="118"/>
              <w:spacing w:after="0"/>
              <w:rPr>
                <w:sz w:val="20"/>
                <w:szCs w:val="20"/>
                <w:color w:val="auto"/>
              </w:rPr>
            </w:pPr>
            <w:r>
              <w:rPr>
                <w:rFonts w:ascii="Arial" w:cs="Arial" w:eastAsia="Arial" w:hAnsi="Arial"/>
                <w:sz w:val="8"/>
                <w:szCs w:val="8"/>
                <w:color w:val="auto"/>
              </w:rPr>
              <w:t>(15,970)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67.2%</w:t>
            </w:r>
          </w:p>
        </w:tc>
      </w:tr>
      <w:tr>
        <w:trPr>
          <w:trHeight w:val="108"/>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Net profit attributable to BCP Consolidated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1,402,401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1,749,236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1,597,081</w:t>
            </w:r>
          </w:p>
        </w:tc>
        <w:tc>
          <w:tcPr>
            <w:tcW w:w="1180" w:type="dxa"/>
            <w:vAlign w:val="bottom"/>
            <w:tcBorders>
              <w:bottom w:val="single" w:sz="8" w:color="auto"/>
            </w:tcBorders>
          </w:tcPr>
          <w:p>
            <w:pPr>
              <w:jc w:val="center"/>
              <w:ind w:right="238"/>
              <w:spacing w:after="0"/>
              <w:rPr>
                <w:sz w:val="20"/>
                <w:szCs w:val="20"/>
                <w:color w:val="auto"/>
              </w:rPr>
            </w:pPr>
            <w:r>
              <w:rPr>
                <w:rFonts w:ascii="Arial" w:cs="Arial" w:eastAsia="Arial" w:hAnsi="Arial"/>
                <w:sz w:val="8"/>
                <w:szCs w:val="8"/>
                <w:b w:val="1"/>
                <w:bCs w:val="1"/>
                <w:color w:val="auto"/>
              </w:rPr>
              <w:t>-8.7%</w:t>
            </w:r>
          </w:p>
        </w:tc>
        <w:tc>
          <w:tcPr>
            <w:tcW w:w="700" w:type="dxa"/>
            <w:vAlign w:val="bottom"/>
            <w:tcBorders>
              <w:bottom w:val="single" w:sz="8" w:color="auto"/>
              <w:right w:val="single" w:sz="8" w:color="auto"/>
            </w:tcBorders>
          </w:tcPr>
          <w:p>
            <w:pPr>
              <w:jc w:val="center"/>
              <w:ind w:right="258"/>
              <w:spacing w:after="0"/>
              <w:rPr>
                <w:sz w:val="20"/>
                <w:szCs w:val="20"/>
                <w:color w:val="auto"/>
              </w:rPr>
            </w:pPr>
            <w:r>
              <w:rPr>
                <w:rFonts w:ascii="Arial" w:cs="Arial" w:eastAsia="Arial" w:hAnsi="Arial"/>
                <w:sz w:val="8"/>
                <w:szCs w:val="8"/>
                <w:b w:val="1"/>
                <w:bCs w:val="1"/>
                <w:color w:val="auto"/>
              </w:rPr>
              <w:t>13.9%</w:t>
            </w:r>
          </w:p>
        </w:tc>
        <w:tc>
          <w:tcPr>
            <w:tcW w:w="740" w:type="dxa"/>
            <w:vAlign w:val="bottom"/>
            <w:tcBorders>
              <w:bottom w:val="single" w:sz="8" w:color="auto"/>
            </w:tcBorders>
          </w:tcPr>
          <w:p>
            <w:pPr>
              <w:jc w:val="center"/>
              <w:ind w:left="138"/>
              <w:spacing w:after="0"/>
              <w:rPr>
                <w:sz w:val="20"/>
                <w:szCs w:val="20"/>
                <w:color w:val="auto"/>
              </w:rPr>
            </w:pPr>
            <w:r>
              <w:rPr>
                <w:rFonts w:ascii="Arial" w:cs="Arial" w:eastAsia="Arial" w:hAnsi="Arial"/>
                <w:sz w:val="8"/>
                <w:szCs w:val="8"/>
                <w:b w:val="1"/>
                <w:bCs w:val="1"/>
                <w:color w:val="auto"/>
              </w:rPr>
              <w:t>4,027,678</w:t>
            </w:r>
          </w:p>
        </w:tc>
        <w:tc>
          <w:tcPr>
            <w:tcW w:w="116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8"/>
                <w:szCs w:val="8"/>
                <w:b w:val="1"/>
                <w:bCs w:val="1"/>
                <w:color w:val="auto"/>
              </w:rPr>
              <w:t>4,923,979</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22.3%</w:t>
            </w:r>
          </w:p>
        </w:tc>
      </w:tr>
    </w:tbl>
    <w:p>
      <w:pPr>
        <w:spacing w:after="0" w:line="156" w:lineRule="exact"/>
        <w:rPr>
          <w:sz w:val="20"/>
          <w:szCs w:val="20"/>
          <w:color w:val="auto"/>
        </w:rPr>
      </w:pPr>
    </w:p>
    <w:p>
      <w:pPr>
        <w:ind w:left="1320" w:hanging="162"/>
        <w:spacing w:after="0"/>
        <w:tabs>
          <w:tab w:leader="none" w:pos="1320" w:val="left"/>
        </w:tabs>
        <w:numPr>
          <w:ilvl w:val="0"/>
          <w:numId w:val="55"/>
        </w:numPr>
        <w:rPr>
          <w:rFonts w:ascii="Arial" w:cs="Arial" w:eastAsia="Arial" w:hAnsi="Arial"/>
          <w:sz w:val="11"/>
          <w:szCs w:val="11"/>
          <w:color w:val="auto"/>
        </w:rPr>
      </w:pPr>
      <w:r>
        <w:rPr>
          <w:rFonts w:ascii="Arial" w:cs="Arial" w:eastAsia="Arial" w:hAnsi="Arial"/>
          <w:sz w:val="11"/>
          <w:szCs w:val="11"/>
          <w:color w:val="auto"/>
        </w:rPr>
        <w:t>Financing expenses related to lease agreements are included according to the application of IFRS 16.</w:t>
      </w:r>
    </w:p>
    <w:p>
      <w:pPr>
        <w:spacing w:after="0" w:line="15" w:lineRule="exact"/>
        <w:rPr>
          <w:rFonts w:ascii="Arial" w:cs="Arial" w:eastAsia="Arial" w:hAnsi="Arial"/>
          <w:sz w:val="11"/>
          <w:szCs w:val="11"/>
          <w:color w:val="auto"/>
        </w:rPr>
      </w:pPr>
    </w:p>
    <w:p>
      <w:pPr>
        <w:ind w:left="1320" w:hanging="162"/>
        <w:spacing w:after="0"/>
        <w:tabs>
          <w:tab w:leader="none" w:pos="1320" w:val="left"/>
        </w:tabs>
        <w:numPr>
          <w:ilvl w:val="0"/>
          <w:numId w:val="55"/>
        </w:numPr>
        <w:rPr>
          <w:rFonts w:ascii="Arial" w:cs="Arial" w:eastAsia="Arial" w:hAnsi="Arial"/>
          <w:sz w:val="11"/>
          <w:szCs w:val="11"/>
          <w:color w:val="auto"/>
        </w:rPr>
      </w:pPr>
      <w:r>
        <w:rPr>
          <w:rFonts w:ascii="Arial" w:cs="Arial" w:eastAsia="Arial" w:hAnsi="Arial"/>
          <w:sz w:val="11"/>
          <w:szCs w:val="11"/>
          <w:color w:val="auto"/>
        </w:rPr>
        <w:t>The effect of the application of IFRS 16 is included, which corresponds to a greater depreciation for the asset for right-of-use".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Financial Indicators</w:t>
      </w:r>
    </w:p>
    <w:p>
      <w:pPr>
        <w:spacing w:after="0" w:line="9" w:lineRule="exact"/>
        <w:rPr>
          <w:sz w:val="20"/>
          <w:szCs w:val="20"/>
          <w:color w:val="auto"/>
        </w:rPr>
      </w:pPr>
    </w:p>
    <w:tbl>
      <w:tblPr>
        <w:tblLayout w:type="fixed"/>
        <w:tblInd w:w="550" w:type="dxa"/>
        <w:tblCellMar>
          <w:top w:w="0" w:type="dxa"/>
          <w:left w:w="0" w:type="dxa"/>
          <w:bottom w:w="0" w:type="dxa"/>
          <w:right w:w="0" w:type="dxa"/>
        </w:tblCellMar>
      </w:tblPr>
      <w:tr>
        <w:trPr>
          <w:trHeight w:val="147"/>
        </w:trPr>
        <w:tc>
          <w:tcPr>
            <w:tcW w:w="4700" w:type="dxa"/>
            <w:vAlign w:val="bottom"/>
            <w:tcBorders>
              <w:top w:val="single" w:sz="8" w:color="auto"/>
              <w:left w:val="single" w:sz="8" w:color="auto"/>
              <w:right w:val="single" w:sz="8" w:color="auto"/>
            </w:tcBorders>
            <w:shd w:val="clear" w:color="auto" w:fill="33CCCC"/>
          </w:tcPr>
          <w:p>
            <w:pPr>
              <w:spacing w:after="0"/>
              <w:rPr>
                <w:sz w:val="12"/>
                <w:szCs w:val="12"/>
                <w:color w:val="auto"/>
              </w:rPr>
            </w:pPr>
          </w:p>
        </w:tc>
        <w:tc>
          <w:tcPr>
            <w:tcW w:w="920" w:type="dxa"/>
            <w:vAlign w:val="bottom"/>
            <w:tcBorders>
              <w:top w:val="single" w:sz="8" w:color="auto"/>
            </w:tcBorders>
            <w:shd w:val="clear" w:color="auto" w:fill="33CCCC"/>
          </w:tcPr>
          <w:p>
            <w:pPr>
              <w:spacing w:after="0"/>
              <w:rPr>
                <w:sz w:val="12"/>
                <w:szCs w:val="12"/>
                <w:color w:val="auto"/>
              </w:rPr>
            </w:pPr>
          </w:p>
        </w:tc>
        <w:tc>
          <w:tcPr>
            <w:tcW w:w="940" w:type="dxa"/>
            <w:vAlign w:val="bottom"/>
            <w:tcBorders>
              <w:top w:val="single" w:sz="8" w:color="auto"/>
            </w:tcBorders>
            <w:shd w:val="clear" w:color="auto" w:fill="33CCCC"/>
          </w:tcPr>
          <w:p>
            <w:pPr>
              <w:ind w:left="260"/>
              <w:spacing w:after="0"/>
              <w:rPr>
                <w:sz w:val="20"/>
                <w:szCs w:val="20"/>
                <w:color w:val="auto"/>
              </w:rPr>
            </w:pPr>
            <w:r>
              <w:rPr>
                <w:rFonts w:ascii="Arial" w:cs="Arial" w:eastAsia="Arial" w:hAnsi="Arial"/>
                <w:sz w:val="12"/>
                <w:szCs w:val="12"/>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12"/>
                <w:szCs w:val="12"/>
                <w:color w:val="auto"/>
              </w:rPr>
            </w:pPr>
          </w:p>
        </w:tc>
        <w:tc>
          <w:tcPr>
            <w:tcW w:w="700" w:type="dxa"/>
            <w:vAlign w:val="bottom"/>
            <w:tcBorders>
              <w:top w:val="single" w:sz="8" w:color="auto"/>
            </w:tcBorders>
            <w:shd w:val="clear" w:color="auto" w:fill="33CCCC"/>
          </w:tcPr>
          <w:p>
            <w:pPr>
              <w:spacing w:after="0"/>
              <w:rPr>
                <w:sz w:val="12"/>
                <w:szCs w:val="12"/>
                <w:color w:val="auto"/>
              </w:rPr>
            </w:pPr>
          </w:p>
        </w:tc>
        <w:tc>
          <w:tcPr>
            <w:tcW w:w="1180" w:type="dxa"/>
            <w:vAlign w:val="bottom"/>
            <w:tcBorders>
              <w:top w:val="single" w:sz="8" w:color="auto"/>
              <w:right w:val="single" w:sz="8" w:color="auto"/>
            </w:tcBorders>
            <w:shd w:val="clear" w:color="auto" w:fill="33CCCC"/>
          </w:tcPr>
          <w:p>
            <w:pPr>
              <w:spacing w:after="0"/>
              <w:rPr>
                <w:sz w:val="20"/>
                <w:szCs w:val="20"/>
                <w:color w:val="auto"/>
              </w:rPr>
            </w:pPr>
            <w:r>
              <w:rPr>
                <w:rFonts w:ascii="Arial" w:cs="Arial" w:eastAsia="Arial" w:hAnsi="Arial"/>
                <w:sz w:val="12"/>
                <w:szCs w:val="12"/>
                <w:b w:val="1"/>
                <w:bCs w:val="1"/>
                <w:color w:val="FFFFFF"/>
              </w:rPr>
              <w:t>Change</w:t>
            </w:r>
          </w:p>
        </w:tc>
      </w:tr>
      <w:tr>
        <w:trPr>
          <w:trHeight w:val="157"/>
        </w:trPr>
        <w:tc>
          <w:tcPr>
            <w:tcW w:w="4700" w:type="dxa"/>
            <w:vAlign w:val="bottom"/>
            <w:tcBorders>
              <w:left w:val="single" w:sz="8" w:color="auto"/>
              <w:bottom w:val="single" w:sz="8" w:color="auto"/>
              <w:right w:val="single" w:sz="8" w:color="auto"/>
            </w:tcBorders>
            <w:shd w:val="clear" w:color="auto" w:fill="33CCCC"/>
          </w:tcPr>
          <w:p>
            <w:pPr>
              <w:spacing w:after="0"/>
              <w:rPr>
                <w:sz w:val="13"/>
                <w:szCs w:val="13"/>
                <w:color w:val="auto"/>
              </w:rPr>
            </w:pP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3Q24</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2Q25</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3Q25</w:t>
            </w:r>
          </w:p>
        </w:tc>
        <w:tc>
          <w:tcPr>
            <w:tcW w:w="700" w:type="dxa"/>
            <w:vAlign w:val="bottom"/>
            <w:tcBorders>
              <w:bottom w:val="single" w:sz="8" w:color="auto"/>
            </w:tcBorders>
            <w:shd w:val="clear" w:color="auto" w:fill="33CCCC"/>
          </w:tcPr>
          <w:p>
            <w:pPr>
              <w:jc w:val="center"/>
              <w:ind w:left="140"/>
              <w:spacing w:after="0"/>
              <w:rPr>
                <w:sz w:val="20"/>
                <w:szCs w:val="20"/>
                <w:color w:val="auto"/>
              </w:rPr>
            </w:pPr>
            <w:r>
              <w:rPr>
                <w:rFonts w:ascii="Arial" w:cs="Arial" w:eastAsia="Arial" w:hAnsi="Arial"/>
                <w:sz w:val="12"/>
                <w:szCs w:val="12"/>
                <w:b w:val="1"/>
                <w:bCs w:val="1"/>
                <w:color w:val="FFFFFF"/>
                <w:w w:val="99"/>
              </w:rPr>
              <w:t>QoQ</w:t>
            </w:r>
          </w:p>
        </w:tc>
        <w:tc>
          <w:tcPr>
            <w:tcW w:w="1180" w:type="dxa"/>
            <w:vAlign w:val="bottom"/>
            <w:tcBorders>
              <w:bottom w:val="single" w:sz="8" w:color="auto"/>
              <w:right w:val="single" w:sz="8" w:color="auto"/>
            </w:tcBorders>
            <w:shd w:val="clear" w:color="auto" w:fill="33CCCC"/>
          </w:tcPr>
          <w:p>
            <w:pPr>
              <w:jc w:val="center"/>
              <w:ind w:left="140"/>
              <w:spacing w:after="0"/>
              <w:rPr>
                <w:sz w:val="20"/>
                <w:szCs w:val="20"/>
                <w:color w:val="auto"/>
              </w:rPr>
            </w:pPr>
            <w:r>
              <w:rPr>
                <w:rFonts w:ascii="Arial" w:cs="Arial" w:eastAsia="Arial" w:hAnsi="Arial"/>
                <w:sz w:val="12"/>
                <w:szCs w:val="12"/>
                <w:b w:val="1"/>
                <w:bCs w:val="1"/>
                <w:color w:val="FFFFFF"/>
                <w:w w:val="94"/>
              </w:rPr>
              <w:t>YoY</w:t>
            </w:r>
          </w:p>
        </w:tc>
      </w:tr>
      <w:tr>
        <w:trPr>
          <w:trHeight w:val="137"/>
        </w:trPr>
        <w:tc>
          <w:tcPr>
            <w:tcW w:w="4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Profitability</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r>
      <w:tr>
        <w:trPr>
          <w:trHeight w:val="156"/>
        </w:trPr>
        <w:tc>
          <w:tcPr>
            <w:tcW w:w="470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8"/>
                <w:szCs w:val="18"/>
                <w:color w:val="auto"/>
                <w:vertAlign w:val="subscript"/>
              </w:rPr>
              <w:t>ROAA</w:t>
            </w:r>
            <w:r>
              <w:rPr>
                <w:rFonts w:ascii="Arial" w:cs="Arial" w:eastAsia="Arial" w:hAnsi="Arial"/>
                <w:sz w:val="8"/>
                <w:szCs w:val="8"/>
                <w:color w:val="auto"/>
              </w:rPr>
              <w:t xml:space="preserve"> (1)(2)</w:t>
            </w:r>
          </w:p>
        </w:tc>
        <w:tc>
          <w:tcPr>
            <w:tcW w:w="920" w:type="dxa"/>
            <w:vAlign w:val="bottom"/>
          </w:tcPr>
          <w:p>
            <w:pPr>
              <w:jc w:val="center"/>
              <w:spacing w:after="0"/>
              <w:rPr>
                <w:sz w:val="20"/>
                <w:szCs w:val="20"/>
                <w:color w:val="auto"/>
              </w:rPr>
            </w:pPr>
            <w:r>
              <w:rPr>
                <w:rFonts w:ascii="Arial" w:cs="Arial" w:eastAsia="Arial" w:hAnsi="Arial"/>
                <w:sz w:val="12"/>
                <w:szCs w:val="12"/>
                <w:color w:val="auto"/>
              </w:rPr>
              <w:t>2.8%</w:t>
            </w:r>
          </w:p>
        </w:tc>
        <w:tc>
          <w:tcPr>
            <w:tcW w:w="940" w:type="dxa"/>
            <w:vAlign w:val="bottom"/>
          </w:tcPr>
          <w:p>
            <w:pPr>
              <w:jc w:val="center"/>
              <w:spacing w:after="0"/>
              <w:rPr>
                <w:sz w:val="20"/>
                <w:szCs w:val="20"/>
                <w:color w:val="auto"/>
              </w:rPr>
            </w:pPr>
            <w:r>
              <w:rPr>
                <w:rFonts w:ascii="Arial" w:cs="Arial" w:eastAsia="Arial" w:hAnsi="Arial"/>
                <w:sz w:val="12"/>
                <w:szCs w:val="12"/>
                <w:color w:val="auto"/>
                <w:w w:val="94"/>
              </w:rPr>
              <w:t>3.4%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3.1%</w:t>
            </w: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9"/>
              </w:rPr>
              <w:t>-29 bps</w:t>
            </w:r>
          </w:p>
        </w:tc>
        <w:tc>
          <w:tcPr>
            <w:tcW w:w="118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32 bps</w:t>
            </w:r>
          </w:p>
        </w:tc>
      </w:tr>
      <w:tr>
        <w:trPr>
          <w:trHeight w:val="156"/>
        </w:trPr>
        <w:tc>
          <w:tcPr>
            <w:tcW w:w="470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8"/>
                <w:szCs w:val="18"/>
                <w:color w:val="auto"/>
                <w:vertAlign w:val="subscript"/>
              </w:rPr>
              <w:t>ROAE</w:t>
            </w:r>
            <w:r>
              <w:rPr>
                <w:rFonts w:ascii="Arial" w:cs="Arial" w:eastAsia="Arial" w:hAnsi="Arial"/>
                <w:sz w:val="8"/>
                <w:szCs w:val="8"/>
                <w:color w:val="auto"/>
              </w:rPr>
              <w:t xml:space="preserve"> (1)(2)</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22.9%</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29.3%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24.9%</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w w:val="98"/>
              </w:rPr>
              <w:t>-449 bps</w:t>
            </w:r>
          </w:p>
        </w:tc>
        <w:tc>
          <w:tcPr>
            <w:tcW w:w="1180" w:type="dxa"/>
            <w:vAlign w:val="bottom"/>
            <w:tcBorders>
              <w:right w:val="single" w:sz="8" w:color="auto"/>
            </w:tcBorders>
          </w:tcPr>
          <w:p>
            <w:pPr>
              <w:jc w:val="center"/>
              <w:ind w:left="140"/>
              <w:spacing w:after="0"/>
              <w:rPr>
                <w:sz w:val="20"/>
                <w:szCs w:val="20"/>
                <w:color w:val="auto"/>
              </w:rPr>
            </w:pPr>
            <w:r>
              <w:rPr>
                <w:rFonts w:ascii="Arial" w:cs="Arial" w:eastAsia="Arial" w:hAnsi="Arial"/>
                <w:sz w:val="12"/>
                <w:szCs w:val="12"/>
                <w:color w:val="auto"/>
                <w:w w:val="98"/>
              </w:rPr>
              <w:t>195 bps</w:t>
            </w:r>
          </w:p>
        </w:tc>
      </w:tr>
      <w:tr>
        <w:trPr>
          <w:trHeight w:val="156"/>
        </w:trPr>
        <w:tc>
          <w:tcPr>
            <w:tcW w:w="470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8"/>
                <w:szCs w:val="18"/>
                <w:color w:val="auto"/>
                <w:vertAlign w:val="superscript"/>
              </w:rPr>
              <w:t>(1)(2)</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6.84%</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6.73%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6.89%</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w w:val="94"/>
              </w:rPr>
              <w:t>16 bps</w:t>
            </w:r>
          </w:p>
        </w:tc>
        <w:tc>
          <w:tcPr>
            <w:tcW w:w="118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5"/>
              </w:rPr>
              <w:t>5 bps</w:t>
            </w:r>
          </w:p>
        </w:tc>
      </w:tr>
      <w:tr>
        <w:trPr>
          <w:trHeight w:val="156"/>
        </w:trPr>
        <w:tc>
          <w:tcPr>
            <w:tcW w:w="470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1"/>
                <w:szCs w:val="11"/>
                <w:color w:val="auto"/>
              </w:rPr>
              <w:t xml:space="preserve">Risk-adjusted Net interest margin  </w:t>
            </w:r>
            <w:r>
              <w:rPr>
                <w:rFonts w:ascii="Arial" w:cs="Arial" w:eastAsia="Arial" w:hAnsi="Arial"/>
                <w:sz w:val="18"/>
                <w:szCs w:val="18"/>
                <w:color w:val="auto"/>
                <w:vertAlign w:val="superscript"/>
              </w:rPr>
              <w:t>(1)(2)</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5.13%</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5.67%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5.76%</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rPr>
              <w:t>9 bps</w:t>
            </w:r>
          </w:p>
        </w:tc>
        <w:tc>
          <w:tcPr>
            <w:tcW w:w="118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63 bps</w:t>
            </w:r>
          </w:p>
        </w:tc>
      </w:tr>
      <w:tr>
        <w:trPr>
          <w:trHeight w:val="255"/>
        </w:trPr>
        <w:tc>
          <w:tcPr>
            <w:tcW w:w="4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 xml:space="preserve">Funding cost </w:t>
            </w:r>
            <w:r>
              <w:rPr>
                <w:rFonts w:ascii="Arial" w:cs="Arial" w:eastAsia="Arial" w:hAnsi="Arial"/>
                <w:sz w:val="19"/>
                <w:szCs w:val="19"/>
                <w:color w:val="auto"/>
                <w:vertAlign w:val="superscript"/>
              </w:rPr>
              <w:t>(1)(2)(3)</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2.43%</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2.19%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2.13%</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rPr>
              <w:t>-6 bps</w:t>
            </w:r>
          </w:p>
        </w:tc>
        <w:tc>
          <w:tcPr>
            <w:tcW w:w="118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-30 bps</w:t>
            </w:r>
          </w:p>
        </w:tc>
      </w:tr>
      <w:tr>
        <w:trPr>
          <w:trHeight w:val="223"/>
        </w:trPr>
        <w:tc>
          <w:tcPr>
            <w:tcW w:w="4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Loan portfolio quality</w:t>
            </w: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156"/>
        </w:trPr>
        <w:tc>
          <w:tcPr>
            <w:tcW w:w="4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Internal overdue ratio</w:t>
            </w:r>
          </w:p>
        </w:tc>
        <w:tc>
          <w:tcPr>
            <w:tcW w:w="920" w:type="dxa"/>
            <w:vAlign w:val="bottom"/>
          </w:tcPr>
          <w:p>
            <w:pPr>
              <w:jc w:val="center"/>
              <w:spacing w:after="0"/>
              <w:rPr>
                <w:sz w:val="20"/>
                <w:szCs w:val="20"/>
                <w:color w:val="auto"/>
              </w:rPr>
            </w:pPr>
            <w:r>
              <w:rPr>
                <w:rFonts w:ascii="Arial" w:cs="Arial" w:eastAsia="Arial" w:hAnsi="Arial"/>
                <w:sz w:val="12"/>
                <w:szCs w:val="12"/>
                <w:color w:val="auto"/>
              </w:rPr>
              <w:t>4.4%</w:t>
            </w:r>
          </w:p>
        </w:tc>
        <w:tc>
          <w:tcPr>
            <w:tcW w:w="940" w:type="dxa"/>
            <w:vAlign w:val="bottom"/>
          </w:tcPr>
          <w:p>
            <w:pPr>
              <w:jc w:val="center"/>
              <w:spacing w:after="0"/>
              <w:rPr>
                <w:sz w:val="20"/>
                <w:szCs w:val="20"/>
                <w:color w:val="auto"/>
              </w:rPr>
            </w:pPr>
            <w:r>
              <w:rPr>
                <w:rFonts w:ascii="Arial" w:cs="Arial" w:eastAsia="Arial" w:hAnsi="Arial"/>
                <w:sz w:val="12"/>
                <w:szCs w:val="12"/>
                <w:color w:val="auto"/>
                <w:w w:val="94"/>
              </w:rPr>
              <w:t>3.6%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3.5%</w:t>
            </w: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9"/>
              </w:rPr>
              <w:t>-15 bps</w:t>
            </w:r>
          </w:p>
        </w:tc>
        <w:tc>
          <w:tcPr>
            <w:tcW w:w="118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-93 bps</w:t>
            </w:r>
          </w:p>
        </w:tc>
      </w:tr>
      <w:tr>
        <w:trPr>
          <w:trHeight w:val="156"/>
        </w:trPr>
        <w:tc>
          <w:tcPr>
            <w:tcW w:w="4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NPL ratio</w:t>
            </w:r>
          </w:p>
        </w:tc>
        <w:tc>
          <w:tcPr>
            <w:tcW w:w="920" w:type="dxa"/>
            <w:vAlign w:val="bottom"/>
          </w:tcPr>
          <w:p>
            <w:pPr>
              <w:jc w:val="center"/>
              <w:spacing w:after="0"/>
              <w:rPr>
                <w:sz w:val="20"/>
                <w:szCs w:val="20"/>
                <w:color w:val="auto"/>
              </w:rPr>
            </w:pPr>
            <w:r>
              <w:rPr>
                <w:rFonts w:ascii="Arial" w:cs="Arial" w:eastAsia="Arial" w:hAnsi="Arial"/>
                <w:sz w:val="12"/>
                <w:szCs w:val="12"/>
                <w:color w:val="auto"/>
              </w:rPr>
              <w:t>6.1%</w:t>
            </w:r>
          </w:p>
        </w:tc>
        <w:tc>
          <w:tcPr>
            <w:tcW w:w="940" w:type="dxa"/>
            <w:vAlign w:val="bottom"/>
          </w:tcPr>
          <w:p>
            <w:pPr>
              <w:jc w:val="center"/>
              <w:spacing w:after="0"/>
              <w:rPr>
                <w:sz w:val="20"/>
                <w:szCs w:val="20"/>
                <w:color w:val="auto"/>
              </w:rPr>
            </w:pPr>
            <w:r>
              <w:rPr>
                <w:rFonts w:ascii="Arial" w:cs="Arial" w:eastAsia="Arial" w:hAnsi="Arial"/>
                <w:sz w:val="12"/>
                <w:szCs w:val="12"/>
                <w:color w:val="auto"/>
                <w:w w:val="94"/>
              </w:rPr>
              <w:t>5.0%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4.9%</w:t>
            </w: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9"/>
              </w:rPr>
              <w:t>-15 bps</w:t>
            </w:r>
          </w:p>
        </w:tc>
        <w:tc>
          <w:tcPr>
            <w:tcW w:w="1180" w:type="dxa"/>
            <w:vAlign w:val="bottom"/>
            <w:tcBorders>
              <w:right w:val="single" w:sz="8" w:color="auto"/>
            </w:tcBorders>
          </w:tcPr>
          <w:p>
            <w:pPr>
              <w:jc w:val="center"/>
              <w:ind w:left="140"/>
              <w:spacing w:after="0"/>
              <w:rPr>
                <w:sz w:val="20"/>
                <w:szCs w:val="20"/>
                <w:color w:val="auto"/>
              </w:rPr>
            </w:pPr>
            <w:r>
              <w:rPr>
                <w:rFonts w:ascii="Arial" w:cs="Arial" w:eastAsia="Arial" w:hAnsi="Arial"/>
                <w:sz w:val="12"/>
                <w:szCs w:val="12"/>
                <w:color w:val="auto"/>
                <w:w w:val="98"/>
              </w:rPr>
              <w:t>-128 bps</w:t>
            </w:r>
          </w:p>
        </w:tc>
      </w:tr>
      <w:tr>
        <w:trPr>
          <w:trHeight w:val="156"/>
        </w:trPr>
        <w:tc>
          <w:tcPr>
            <w:tcW w:w="4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Coverage ratio of IOLs</w:t>
            </w:r>
          </w:p>
        </w:tc>
        <w:tc>
          <w:tcPr>
            <w:tcW w:w="920" w:type="dxa"/>
            <w:vAlign w:val="bottom"/>
          </w:tcPr>
          <w:p>
            <w:pPr>
              <w:jc w:val="center"/>
              <w:spacing w:after="0"/>
              <w:rPr>
                <w:sz w:val="20"/>
                <w:szCs w:val="20"/>
                <w:color w:val="auto"/>
              </w:rPr>
            </w:pPr>
            <w:r>
              <w:rPr>
                <w:rFonts w:ascii="Arial" w:cs="Arial" w:eastAsia="Arial" w:hAnsi="Arial"/>
                <w:sz w:val="12"/>
                <w:szCs w:val="12"/>
                <w:color w:val="auto"/>
                <w:w w:val="98"/>
              </w:rPr>
              <w:t>136.2%</w:t>
            </w:r>
          </w:p>
        </w:tc>
        <w:tc>
          <w:tcPr>
            <w:tcW w:w="940" w:type="dxa"/>
            <w:vAlign w:val="bottom"/>
          </w:tcPr>
          <w:p>
            <w:pPr>
              <w:jc w:val="center"/>
              <w:spacing w:after="0"/>
              <w:rPr>
                <w:sz w:val="20"/>
                <w:szCs w:val="20"/>
                <w:color w:val="auto"/>
              </w:rPr>
            </w:pPr>
            <w:r>
              <w:rPr>
                <w:rFonts w:ascii="Arial" w:cs="Arial" w:eastAsia="Arial" w:hAnsi="Arial"/>
                <w:sz w:val="12"/>
                <w:szCs w:val="12"/>
                <w:color w:val="auto"/>
              </w:rPr>
              <w:t>152.5%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155.7%</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w w:val="98"/>
              </w:rPr>
              <w:t>321 bps</w:t>
            </w:r>
          </w:p>
        </w:tc>
        <w:tc>
          <w:tcPr>
            <w:tcW w:w="1180" w:type="dxa"/>
            <w:vAlign w:val="bottom"/>
            <w:tcBorders>
              <w:right w:val="single" w:sz="8" w:color="auto"/>
            </w:tcBorders>
          </w:tcPr>
          <w:p>
            <w:pPr>
              <w:jc w:val="center"/>
              <w:ind w:left="140"/>
              <w:spacing w:after="0"/>
              <w:rPr>
                <w:sz w:val="20"/>
                <w:szCs w:val="20"/>
                <w:color w:val="auto"/>
              </w:rPr>
            </w:pPr>
            <w:r>
              <w:rPr>
                <w:rFonts w:ascii="Arial" w:cs="Arial" w:eastAsia="Arial" w:hAnsi="Arial"/>
                <w:sz w:val="12"/>
                <w:szCs w:val="12"/>
                <w:color w:val="auto"/>
              </w:rPr>
              <w:t>1950 bps</w:t>
            </w:r>
          </w:p>
        </w:tc>
      </w:tr>
      <w:tr>
        <w:trPr>
          <w:trHeight w:val="146"/>
        </w:trPr>
        <w:tc>
          <w:tcPr>
            <w:tcW w:w="4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Coverage ratio of NPLs</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97.4%</w:t>
            </w:r>
          </w:p>
        </w:tc>
        <w:tc>
          <w:tcPr>
            <w:tcW w:w="940" w:type="dxa"/>
            <w:vAlign w:val="bottom"/>
          </w:tcPr>
          <w:p>
            <w:pPr>
              <w:jc w:val="center"/>
              <w:spacing w:after="0"/>
              <w:rPr>
                <w:sz w:val="20"/>
                <w:szCs w:val="20"/>
                <w:color w:val="auto"/>
              </w:rPr>
            </w:pPr>
            <w:r>
              <w:rPr>
                <w:rFonts w:ascii="Arial" w:cs="Arial" w:eastAsia="Arial" w:hAnsi="Arial"/>
                <w:sz w:val="12"/>
                <w:szCs w:val="12"/>
                <w:color w:val="auto"/>
              </w:rPr>
              <w:t>109.8%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110.9%</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w w:val="98"/>
              </w:rPr>
              <w:t>102 bps</w:t>
            </w:r>
          </w:p>
        </w:tc>
        <w:tc>
          <w:tcPr>
            <w:tcW w:w="1180" w:type="dxa"/>
            <w:vAlign w:val="bottom"/>
            <w:tcBorders>
              <w:right w:val="single" w:sz="8" w:color="auto"/>
            </w:tcBorders>
          </w:tcPr>
          <w:p>
            <w:pPr>
              <w:jc w:val="center"/>
              <w:ind w:left="140"/>
              <w:spacing w:after="0"/>
              <w:rPr>
                <w:sz w:val="20"/>
                <w:szCs w:val="20"/>
                <w:color w:val="auto"/>
              </w:rPr>
            </w:pPr>
            <w:r>
              <w:rPr>
                <w:rFonts w:ascii="Arial" w:cs="Arial" w:eastAsia="Arial" w:hAnsi="Arial"/>
                <w:sz w:val="12"/>
                <w:szCs w:val="12"/>
                <w:color w:val="auto"/>
              </w:rPr>
              <w:t>1341 bps</w:t>
            </w:r>
          </w:p>
        </w:tc>
      </w:tr>
      <w:tr>
        <w:trPr>
          <w:trHeight w:val="255"/>
        </w:trPr>
        <w:tc>
          <w:tcPr>
            <w:tcW w:w="4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 xml:space="preserve">Cost of risk </w:t>
            </w:r>
            <w:r>
              <w:rPr>
                <w:rFonts w:ascii="Arial" w:cs="Arial" w:eastAsia="Arial" w:hAnsi="Arial"/>
                <w:sz w:val="19"/>
                <w:szCs w:val="19"/>
                <w:color w:val="auto"/>
                <w:vertAlign w:val="superscript"/>
              </w:rPr>
              <w:t>(4)</w:t>
            </w:r>
          </w:p>
        </w:tc>
        <w:tc>
          <w:tcPr>
            <w:tcW w:w="920" w:type="dxa"/>
            <w:vAlign w:val="bottom"/>
          </w:tcPr>
          <w:p>
            <w:pPr>
              <w:jc w:val="center"/>
              <w:spacing w:after="0"/>
              <w:rPr>
                <w:sz w:val="20"/>
                <w:szCs w:val="20"/>
                <w:color w:val="auto"/>
              </w:rPr>
            </w:pPr>
            <w:r>
              <w:rPr>
                <w:rFonts w:ascii="Arial" w:cs="Arial" w:eastAsia="Arial" w:hAnsi="Arial"/>
                <w:sz w:val="12"/>
                <w:szCs w:val="12"/>
                <w:color w:val="auto"/>
              </w:rPr>
              <w:t>2.5%</w:t>
            </w:r>
          </w:p>
        </w:tc>
        <w:tc>
          <w:tcPr>
            <w:tcW w:w="940" w:type="dxa"/>
            <w:vAlign w:val="bottom"/>
          </w:tcPr>
          <w:p>
            <w:pPr>
              <w:jc w:val="center"/>
              <w:spacing w:after="0"/>
              <w:rPr>
                <w:sz w:val="20"/>
                <w:szCs w:val="20"/>
                <w:color w:val="auto"/>
              </w:rPr>
            </w:pPr>
            <w:r>
              <w:rPr>
                <w:rFonts w:ascii="Arial" w:cs="Arial" w:eastAsia="Arial" w:hAnsi="Arial"/>
                <w:sz w:val="12"/>
                <w:szCs w:val="12"/>
                <w:color w:val="auto"/>
                <w:w w:val="94"/>
              </w:rPr>
              <w:t>1.6%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1.7%</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rPr>
              <w:t>7 bps</w:t>
            </w:r>
          </w:p>
        </w:tc>
        <w:tc>
          <w:tcPr>
            <w:tcW w:w="118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-85 bps</w:t>
            </w:r>
          </w:p>
        </w:tc>
      </w:tr>
      <w:tr>
        <w:trPr>
          <w:trHeight w:val="213"/>
        </w:trPr>
        <w:tc>
          <w:tcPr>
            <w:tcW w:w="4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Operating efficiency</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156"/>
        </w:trPr>
        <w:tc>
          <w:tcPr>
            <w:tcW w:w="470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1"/>
                <w:szCs w:val="11"/>
                <w:color w:val="auto"/>
              </w:rPr>
              <w:t xml:space="preserve">Operating expenses / Total income </w:t>
            </w:r>
            <w:r>
              <w:rPr>
                <w:rFonts w:ascii="Arial" w:cs="Arial" w:eastAsia="Arial" w:hAnsi="Arial"/>
                <w:sz w:val="18"/>
                <w:szCs w:val="18"/>
                <w:color w:val="auto"/>
                <w:vertAlign w:val="superscript"/>
              </w:rPr>
              <w:t>(5)</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38.8%</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40.2%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41.3%</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w w:val="98"/>
              </w:rPr>
              <w:t>107 bps</w:t>
            </w:r>
          </w:p>
        </w:tc>
        <w:tc>
          <w:tcPr>
            <w:tcW w:w="1180" w:type="dxa"/>
            <w:vAlign w:val="bottom"/>
            <w:tcBorders>
              <w:right w:val="single" w:sz="8" w:color="auto"/>
            </w:tcBorders>
          </w:tcPr>
          <w:p>
            <w:pPr>
              <w:jc w:val="center"/>
              <w:ind w:left="140"/>
              <w:spacing w:after="0"/>
              <w:rPr>
                <w:sz w:val="20"/>
                <w:szCs w:val="20"/>
                <w:color w:val="auto"/>
              </w:rPr>
            </w:pPr>
            <w:r>
              <w:rPr>
                <w:rFonts w:ascii="Arial" w:cs="Arial" w:eastAsia="Arial" w:hAnsi="Arial"/>
                <w:sz w:val="12"/>
                <w:szCs w:val="12"/>
                <w:color w:val="auto"/>
                <w:w w:val="98"/>
              </w:rPr>
              <w:t>254 bps</w:t>
            </w:r>
          </w:p>
        </w:tc>
      </w:tr>
      <w:tr>
        <w:trPr>
          <w:trHeight w:val="167"/>
        </w:trPr>
        <w:tc>
          <w:tcPr>
            <w:tcW w:w="4700" w:type="dxa"/>
            <w:vAlign w:val="bottom"/>
            <w:tcBorders>
              <w:left w:val="single" w:sz="8" w:color="auto"/>
              <w:bottom w:val="single" w:sz="8" w:color="auto"/>
              <w:right w:val="single" w:sz="8" w:color="auto"/>
            </w:tcBorders>
          </w:tcPr>
          <w:p>
            <w:pPr>
              <w:ind w:left="160"/>
              <w:spacing w:after="0" w:line="167" w:lineRule="exact"/>
              <w:rPr>
                <w:sz w:val="20"/>
                <w:szCs w:val="20"/>
                <w:color w:val="auto"/>
              </w:rPr>
            </w:pPr>
            <w:r>
              <w:rPr>
                <w:rFonts w:ascii="Arial" w:cs="Arial" w:eastAsia="Arial" w:hAnsi="Arial"/>
                <w:sz w:val="12"/>
                <w:szCs w:val="12"/>
                <w:color w:val="auto"/>
              </w:rPr>
              <w:t xml:space="preserve">Operating expenses / Total average assets </w:t>
            </w:r>
            <w:r>
              <w:rPr>
                <w:rFonts w:ascii="Arial" w:cs="Arial" w:eastAsia="Arial" w:hAnsi="Arial"/>
                <w:sz w:val="19"/>
                <w:szCs w:val="19"/>
                <w:color w:val="auto"/>
                <w:vertAlign w:val="superscript"/>
              </w:rPr>
              <w:t>(1)(2)(5)</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3.4%</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3.6%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3.7%</w:t>
            </w:r>
          </w:p>
        </w:tc>
        <w:tc>
          <w:tcPr>
            <w:tcW w:w="70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color w:val="auto"/>
                <w:w w:val="94"/>
              </w:rPr>
              <w:t>17 bps</w:t>
            </w:r>
          </w:p>
        </w:tc>
        <w:tc>
          <w:tcPr>
            <w:tcW w:w="1180" w:type="dxa"/>
            <w:vAlign w:val="bottom"/>
            <w:tcBorders>
              <w:bottom w:val="single" w:sz="8" w:color="auto"/>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37 bps</w:t>
            </w:r>
          </w:p>
        </w:tc>
      </w:tr>
    </w:tbl>
    <w:p>
      <w:pPr>
        <w:spacing w:after="0" w:line="132" w:lineRule="exact"/>
        <w:rPr>
          <w:sz w:val="20"/>
          <w:szCs w:val="20"/>
          <w:color w:val="auto"/>
        </w:rPr>
      </w:pPr>
    </w:p>
    <w:p>
      <w:pPr>
        <w:ind w:left="740" w:hanging="158"/>
        <w:spacing w:after="0"/>
        <w:tabs>
          <w:tab w:leader="none" w:pos="74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Ratios are annualized.</w:t>
      </w:r>
    </w:p>
    <w:p>
      <w:pPr>
        <w:spacing w:after="0" w:line="15" w:lineRule="exact"/>
        <w:rPr>
          <w:rFonts w:ascii="Arial" w:cs="Arial" w:eastAsia="Arial" w:hAnsi="Arial"/>
          <w:sz w:val="11"/>
          <w:szCs w:val="11"/>
          <w:color w:val="auto"/>
        </w:rPr>
      </w:pPr>
    </w:p>
    <w:p>
      <w:pPr>
        <w:ind w:left="740" w:hanging="158"/>
        <w:spacing w:after="0"/>
        <w:tabs>
          <w:tab w:leader="none" w:pos="740" w:val="left"/>
        </w:tabs>
        <w:numPr>
          <w:ilvl w:val="0"/>
          <w:numId w:val="56"/>
        </w:numPr>
        <w:rPr>
          <w:rFonts w:ascii="Arial" w:cs="Arial" w:eastAsia="Arial" w:hAnsi="Arial"/>
          <w:sz w:val="11"/>
          <w:szCs w:val="11"/>
          <w:color w:val="auto"/>
        </w:rPr>
      </w:pPr>
      <w:r>
        <w:rPr>
          <w:rFonts w:ascii="Arial" w:cs="Arial" w:eastAsia="Arial" w:hAnsi="Arial"/>
          <w:sz w:val="11"/>
          <w:szCs w:val="11"/>
          <w:color w:val="auto"/>
        </w:rPr>
        <w:t>Averages are determined as the average of period-beginning and period-ending balances.</w:t>
      </w:r>
    </w:p>
    <w:p>
      <w:pPr>
        <w:spacing w:after="0" w:line="5" w:lineRule="exact"/>
        <w:rPr>
          <w:rFonts w:ascii="Arial" w:cs="Arial" w:eastAsia="Arial" w:hAnsi="Arial"/>
          <w:sz w:val="11"/>
          <w:szCs w:val="11"/>
          <w:color w:val="auto"/>
        </w:rPr>
      </w:pPr>
    </w:p>
    <w:p>
      <w:pPr>
        <w:ind w:left="580" w:right="120" w:firstLine="2"/>
        <w:spacing w:after="0" w:line="250" w:lineRule="auto"/>
        <w:tabs>
          <w:tab w:leader="none" w:pos="742" w:val="left"/>
        </w:tabs>
        <w:numPr>
          <w:ilvl w:val="0"/>
          <w:numId w:val="56"/>
        </w:numPr>
        <w:rPr>
          <w:rFonts w:ascii="Arial" w:cs="Arial" w:eastAsia="Arial" w:hAnsi="Arial"/>
          <w:sz w:val="11"/>
          <w:szCs w:val="11"/>
          <w:color w:val="auto"/>
        </w:rPr>
      </w:pPr>
      <w:r>
        <w:rPr>
          <w:rFonts w:ascii="Arial" w:cs="Arial" w:eastAsia="Arial" w:hAnsi="Arial"/>
          <w:sz w:val="11"/>
          <w:szCs w:val="11"/>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740" w:hanging="158"/>
        <w:spacing w:after="0"/>
        <w:tabs>
          <w:tab w:leader="none" w:pos="740" w:val="left"/>
        </w:tabs>
        <w:numPr>
          <w:ilvl w:val="0"/>
          <w:numId w:val="56"/>
        </w:numPr>
        <w:rPr>
          <w:rFonts w:ascii="Arial" w:cs="Arial" w:eastAsia="Arial" w:hAnsi="Arial"/>
          <w:sz w:val="11"/>
          <w:szCs w:val="11"/>
          <w:color w:val="auto"/>
        </w:rPr>
      </w:pPr>
      <w:r>
        <w:rPr>
          <w:rFonts w:ascii="Arial" w:cs="Arial" w:eastAsia="Arial" w:hAnsi="Arial"/>
          <w:sz w:val="11"/>
          <w:szCs w:val="11"/>
          <w:color w:val="auto"/>
        </w:rPr>
        <w:t>Cost of risk: Annualized provision for loan losses / Average total loans.</w:t>
      </w:r>
    </w:p>
    <w:p>
      <w:pPr>
        <w:spacing w:after="0" w:line="5" w:lineRule="exact"/>
        <w:rPr>
          <w:rFonts w:ascii="Arial" w:cs="Arial" w:eastAsia="Arial" w:hAnsi="Arial"/>
          <w:sz w:val="11"/>
          <w:szCs w:val="11"/>
          <w:color w:val="auto"/>
        </w:rPr>
      </w:pPr>
    </w:p>
    <w:p>
      <w:pPr>
        <w:ind w:left="580" w:right="200" w:firstLine="2"/>
        <w:spacing w:after="0" w:line="261" w:lineRule="auto"/>
        <w:tabs>
          <w:tab w:leader="none" w:pos="742" w:val="left"/>
        </w:tabs>
        <w:numPr>
          <w:ilvl w:val="0"/>
          <w:numId w:val="56"/>
        </w:numPr>
        <w:rPr>
          <w:rFonts w:ascii="Arial" w:cs="Arial" w:eastAsia="Arial" w:hAnsi="Arial"/>
          <w:sz w:val="11"/>
          <w:szCs w:val="11"/>
          <w:color w:val="auto"/>
        </w:rPr>
      </w:pPr>
      <w:r>
        <w:rPr>
          <w:rFonts w:ascii="Arial" w:cs="Arial" w:eastAsia="Arial" w:hAnsi="Arial"/>
          <w:sz w:val="11"/>
          <w:szCs w:val="11"/>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802005</wp:posOffset>
            </wp:positionV>
            <wp:extent cx="6638925"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638925" cy="15240"/>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100965</wp:posOffset>
            </wp:positionV>
            <wp:extent cx="6532245" cy="6096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532245" cy="609600"/>
                    </a:xfrm>
                    <a:prstGeom prst="rect">
                      <a:avLst/>
                    </a:prstGeom>
                    <a:noFill/>
                  </pic:spPr>
                </pic:pic>
              </a:graphicData>
            </a:graphic>
          </wp:anchor>
        </w:drawing>
      </w:r>
    </w:p>
    <w:p>
      <w:pPr>
        <w:sectPr>
          <w:pgSz w:w="11900" w:h="16840" w:orient="portrait"/>
          <w:cols w:equalWidth="0" w:num="1">
            <w:col w:w="10460"/>
          </w:cols>
          <w:pgMar w:left="660" w:top="931" w:right="780" w:bottom="1440" w:gutter="0" w:footer="0" w:header="0"/>
        </w:sectPr>
      </w:pPr>
    </w:p>
    <w:bookmarkStart w:id="64" w:name="page65"/>
    <w:bookmarkEnd w:id="64"/>
    <w:p>
      <w:pPr>
        <w:ind w:left="2520"/>
        <w:spacing w:after="0"/>
        <w:tabs>
          <w:tab w:leader="none" w:pos="2760" w:val="left"/>
          <w:tab w:leader="none" w:pos="81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638925" cy="662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63892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638925" cy="2057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63892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12.7.4. BCP Stand-alone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Financial Position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5780" w:type="dxa"/>
            <w:vAlign w:val="bottom"/>
            <w:tcBorders>
              <w:top w:val="single" w:sz="8" w:color="auto"/>
              <w:left w:val="single" w:sz="8" w:color="auto"/>
              <w:right w:val="single" w:sz="8" w:color="auto"/>
            </w:tcBorders>
            <w:shd w:val="clear" w:color="auto" w:fill="33CCCC"/>
          </w:tcPr>
          <w:p>
            <w:pPr>
              <w:spacing w:after="0"/>
              <w:rPr>
                <w:sz w:val="12"/>
                <w:szCs w:val="12"/>
                <w:color w:val="auto"/>
              </w:rPr>
            </w:pPr>
          </w:p>
        </w:tc>
        <w:tc>
          <w:tcPr>
            <w:tcW w:w="920" w:type="dxa"/>
            <w:vAlign w:val="bottom"/>
            <w:tcBorders>
              <w:top w:val="single" w:sz="8" w:color="auto"/>
            </w:tcBorders>
            <w:shd w:val="clear" w:color="auto" w:fill="33CCCC"/>
          </w:tcPr>
          <w:p>
            <w:pPr>
              <w:spacing w:after="0"/>
              <w:rPr>
                <w:sz w:val="12"/>
                <w:szCs w:val="12"/>
                <w:color w:val="auto"/>
              </w:rPr>
            </w:pPr>
          </w:p>
        </w:tc>
        <w:tc>
          <w:tcPr>
            <w:tcW w:w="94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4"/>
              </w:rPr>
              <w:t>As of</w:t>
            </w:r>
          </w:p>
        </w:tc>
        <w:tc>
          <w:tcPr>
            <w:tcW w:w="960" w:type="dxa"/>
            <w:vAlign w:val="bottom"/>
            <w:tcBorders>
              <w:top w:val="single" w:sz="8" w:color="auto"/>
              <w:right w:val="single" w:sz="8" w:color="auto"/>
            </w:tcBorders>
            <w:shd w:val="clear" w:color="auto" w:fill="33CCCC"/>
          </w:tcPr>
          <w:p>
            <w:pPr>
              <w:spacing w:after="0"/>
              <w:rPr>
                <w:sz w:val="12"/>
                <w:szCs w:val="12"/>
                <w:color w:val="auto"/>
              </w:rPr>
            </w:pPr>
          </w:p>
        </w:tc>
        <w:tc>
          <w:tcPr>
            <w:tcW w:w="640" w:type="dxa"/>
            <w:vAlign w:val="bottom"/>
            <w:tcBorders>
              <w:top w:val="single" w:sz="8" w:color="auto"/>
            </w:tcBorders>
            <w:shd w:val="clear" w:color="auto" w:fill="33CCCC"/>
          </w:tcPr>
          <w:p>
            <w:pPr>
              <w:spacing w:after="0"/>
              <w:rPr>
                <w:sz w:val="12"/>
                <w:szCs w:val="12"/>
                <w:color w:val="auto"/>
              </w:rPr>
            </w:pPr>
          </w:p>
        </w:tc>
        <w:tc>
          <w:tcPr>
            <w:tcW w:w="1220" w:type="dxa"/>
            <w:vAlign w:val="bottom"/>
            <w:tcBorders>
              <w:top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 change</w:t>
            </w:r>
          </w:p>
        </w:tc>
      </w:tr>
      <w:tr>
        <w:trPr>
          <w:trHeight w:val="132"/>
        </w:trPr>
        <w:tc>
          <w:tcPr>
            <w:tcW w:w="578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92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11"/>
                <w:szCs w:val="11"/>
                <w:b w:val="1"/>
                <w:bCs w:val="1"/>
                <w:color w:val="FFFFFF"/>
              </w:rPr>
              <w:t>Sep 24</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Jun 25</w:t>
            </w:r>
          </w:p>
        </w:tc>
        <w:tc>
          <w:tcPr>
            <w:tcW w:w="960" w:type="dxa"/>
            <w:vAlign w:val="bottom"/>
            <w:tcBorders>
              <w:bottom w:val="single" w:sz="8" w:color="auto"/>
              <w:right w:val="single" w:sz="8" w:color="auto"/>
            </w:tcBorders>
            <w:shd w:val="clear" w:color="auto" w:fill="33CCCC"/>
          </w:tcPr>
          <w:p>
            <w:pPr>
              <w:ind w:left="300"/>
              <w:spacing w:after="0"/>
              <w:rPr>
                <w:sz w:val="20"/>
                <w:szCs w:val="20"/>
                <w:color w:val="auto"/>
              </w:rPr>
            </w:pPr>
            <w:r>
              <w:rPr>
                <w:rFonts w:ascii="Arial" w:cs="Arial" w:eastAsia="Arial" w:hAnsi="Arial"/>
                <w:sz w:val="11"/>
                <w:szCs w:val="11"/>
                <w:b w:val="1"/>
                <w:bCs w:val="1"/>
                <w:color w:val="FFFFFF"/>
              </w:rPr>
              <w:t>Sep 25</w:t>
            </w:r>
          </w:p>
        </w:tc>
        <w:tc>
          <w:tcPr>
            <w:tcW w:w="640" w:type="dxa"/>
            <w:vAlign w:val="bottom"/>
            <w:tcBorders>
              <w:bottom w:val="single" w:sz="8" w:color="auto"/>
            </w:tcBorders>
            <w:shd w:val="clear" w:color="auto" w:fill="33CCCC"/>
          </w:tcPr>
          <w:p>
            <w:pPr>
              <w:ind w:left="340"/>
              <w:spacing w:after="0"/>
              <w:rPr>
                <w:sz w:val="20"/>
                <w:szCs w:val="20"/>
                <w:color w:val="auto"/>
              </w:rPr>
            </w:pPr>
            <w:r>
              <w:rPr>
                <w:rFonts w:ascii="Arial" w:cs="Arial" w:eastAsia="Arial" w:hAnsi="Arial"/>
                <w:sz w:val="11"/>
                <w:szCs w:val="11"/>
                <w:b w:val="1"/>
                <w:bCs w:val="1"/>
                <w:color w:val="FFFFFF"/>
              </w:rPr>
              <w:t>QoQ</w:t>
            </w:r>
          </w:p>
        </w:tc>
        <w:tc>
          <w:tcPr>
            <w:tcW w:w="1220" w:type="dxa"/>
            <w:vAlign w:val="bottom"/>
            <w:tcBorders>
              <w:bottom w:val="single" w:sz="8" w:color="auto"/>
              <w:right w:val="single" w:sz="8" w:color="auto"/>
            </w:tcBorders>
            <w:shd w:val="clear" w:color="auto" w:fill="33CCCC"/>
          </w:tcPr>
          <w:p>
            <w:pPr>
              <w:ind w:left="640"/>
              <w:spacing w:after="0"/>
              <w:rPr>
                <w:sz w:val="20"/>
                <w:szCs w:val="20"/>
                <w:color w:val="auto"/>
              </w:rPr>
            </w:pPr>
            <w:r>
              <w:rPr>
                <w:rFonts w:ascii="Arial" w:cs="Arial" w:eastAsia="Arial" w:hAnsi="Arial"/>
                <w:sz w:val="11"/>
                <w:szCs w:val="11"/>
                <w:b w:val="1"/>
                <w:bCs w:val="1"/>
                <w:color w:val="FFFFFF"/>
              </w:rPr>
              <w:t>YoY</w:t>
            </w:r>
          </w:p>
        </w:tc>
      </w:tr>
      <w:tr>
        <w:trPr>
          <w:trHeight w:val="124"/>
        </w:trPr>
        <w:tc>
          <w:tcPr>
            <w:tcW w:w="57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ASSETS</w:t>
            </w: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Cash and due from banks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r>
      <w:tr>
        <w:trPr>
          <w:trHeight w:val="132"/>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Non-interest bearing</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4,561,696</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5,338,286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4,968,923</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7"/>
              </w:rPr>
              <w:t>-6.9%</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8.9%</w:t>
            </w:r>
          </w:p>
        </w:tc>
      </w:tr>
      <w:tr>
        <w:trPr>
          <w:trHeight w:val="132"/>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Interest bearing</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35,307,925</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31,838,979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32,541,803</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2.2%</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-7.8%</w:t>
            </w:r>
          </w:p>
        </w:tc>
      </w:tr>
      <w:tr>
        <w:trPr>
          <w:trHeight w:val="148"/>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Total cash and due from banks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39,869,621</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37,177,265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37,510,726</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0.9%</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7"/>
              </w:rPr>
              <w:t>-5.9%</w:t>
            </w:r>
          </w:p>
        </w:tc>
      </w:tr>
      <w:tr>
        <w:trPr>
          <w:trHeight w:val="264"/>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Cash collateral, reverse repurchase agreements and securities borrowing</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5"/>
              </w:rPr>
              <w:t>622,399</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5"/>
              </w:rPr>
              <w:t>574,653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1,211,354</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6"/>
              </w:rPr>
              <w:t>110.8%</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94.6%</w:t>
            </w:r>
          </w:p>
        </w:tc>
      </w:tr>
      <w:tr>
        <w:trPr>
          <w:trHeight w:val="2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Fair value through profit or loss investments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5"/>
              </w:rPr>
              <w:t>704,968</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5"/>
              </w:rPr>
              <w:t>617,368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368,478</w:t>
            </w:r>
          </w:p>
        </w:tc>
        <w:tc>
          <w:tcPr>
            <w:tcW w:w="640" w:type="dxa"/>
            <w:vAlign w:val="bottom"/>
          </w:tcPr>
          <w:p>
            <w:pPr>
              <w:jc w:val="center"/>
              <w:ind w:left="206"/>
              <w:spacing w:after="0"/>
              <w:rPr>
                <w:sz w:val="20"/>
                <w:szCs w:val="20"/>
                <w:color w:val="auto"/>
              </w:rPr>
            </w:pPr>
            <w:r>
              <w:rPr>
                <w:rFonts w:ascii="Arial" w:cs="Arial" w:eastAsia="Arial" w:hAnsi="Arial"/>
                <w:sz w:val="11"/>
                <w:szCs w:val="11"/>
                <w:b w:val="1"/>
                <w:bCs w:val="1"/>
                <w:color w:val="auto"/>
                <w:w w:val="97"/>
              </w:rPr>
              <w:t>-40.3%</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7"/>
              </w:rPr>
              <w:t>-47.7%</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Fair value through other comprehensive income investments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19,855,738</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19,097,277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19,479,618</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2.0%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7"/>
              </w:rPr>
              <w:t>-1.9%</w:t>
            </w:r>
          </w:p>
        </w:tc>
      </w:tr>
      <w:tr>
        <w:trPr>
          <w:trHeight w:val="1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Amortized cost investments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8,116,588</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8,169,062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8,025,196</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-1.8%</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7"/>
              </w:rPr>
              <w:t>-1.1%</w:t>
            </w:r>
          </w:p>
        </w:tc>
      </w:tr>
      <w:tr>
        <w:trPr>
          <w:trHeight w:val="2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Loans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117,687,023</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120,998,975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123,089,317</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1.7%</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4.6%</w:t>
            </w:r>
          </w:p>
        </w:tc>
      </w:tr>
      <w:tr>
        <w:trPr>
          <w:trHeight w:val="132"/>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Current</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112,874,488</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116,868,257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119,030,125</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1.8%</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5.5%</w:t>
            </w:r>
          </w:p>
        </w:tc>
      </w:tr>
      <w:tr>
        <w:trPr>
          <w:trHeight w:val="132"/>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Internal overdue loans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4,812,535</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4,130,718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4,059,192</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7"/>
              </w:rPr>
              <w:t>-1.7%</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-15.7%</w:t>
            </w:r>
          </w:p>
        </w:tc>
      </w:tr>
      <w:tr>
        <w:trPr>
          <w:trHeight w:val="132"/>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Less - allowance for loan losses</w:t>
            </w:r>
          </w:p>
        </w:tc>
        <w:tc>
          <w:tcPr>
            <w:tcW w:w="920" w:type="dxa"/>
            <w:vAlign w:val="bottom"/>
          </w:tcPr>
          <w:p>
            <w:pPr>
              <w:jc w:val="center"/>
              <w:spacing w:after="0"/>
              <w:rPr>
                <w:sz w:val="20"/>
                <w:szCs w:val="20"/>
                <w:color w:val="auto"/>
              </w:rPr>
            </w:pPr>
            <w:r>
              <w:rPr>
                <w:rFonts w:ascii="Arial" w:cs="Arial" w:eastAsia="Arial" w:hAnsi="Arial"/>
                <w:sz w:val="11"/>
                <w:szCs w:val="11"/>
                <w:color w:val="auto"/>
                <w:w w:val="99"/>
              </w:rPr>
              <w:t>(6,768,497)</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(6,418,672)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(6,378,494)</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7"/>
              </w:rPr>
              <w:t>-0.6%</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-5.8%</w:t>
            </w:r>
          </w:p>
        </w:tc>
      </w:tr>
      <w:tr>
        <w:trPr>
          <w:trHeight w:val="1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Loans, net</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110,918,526</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114,580,303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116,710,823</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1.9%</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5.2%</w:t>
            </w:r>
          </w:p>
        </w:tc>
      </w:tr>
      <w:tr>
        <w:trPr>
          <w:trHeight w:val="2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 xml:space="preserve">Property, furniture and equipment, net </w:t>
            </w:r>
            <w:r>
              <w:rPr>
                <w:rFonts w:ascii="Arial" w:cs="Arial" w:eastAsia="Arial" w:hAnsi="Arial"/>
                <w:sz w:val="19"/>
                <w:szCs w:val="19"/>
                <w:b w:val="1"/>
                <w:bCs w:val="1"/>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1,246,350</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1,395,819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1,358,608</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-2.7%</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9.0%</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Due from customers on acceptances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5"/>
              </w:rPr>
              <w:t>466,957</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5"/>
              </w:rPr>
              <w:t>559,370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553,851</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-1.0%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18.6%</w:t>
            </w:r>
          </w:p>
        </w:tc>
      </w:tr>
      <w:tr>
        <w:trPr>
          <w:trHeight w:val="119"/>
        </w:trPr>
        <w:tc>
          <w:tcPr>
            <w:tcW w:w="5780" w:type="dxa"/>
            <w:vAlign w:val="bottom"/>
            <w:tcBorders>
              <w:left w:val="single" w:sz="8" w:color="auto"/>
              <w:right w:val="single" w:sz="8" w:color="auto"/>
            </w:tcBorders>
          </w:tcPr>
          <w:p>
            <w:pPr>
              <w:ind w:left="20"/>
              <w:spacing w:after="0" w:line="119" w:lineRule="exact"/>
              <w:rPr>
                <w:sz w:val="20"/>
                <w:szCs w:val="20"/>
                <w:color w:val="auto"/>
              </w:rPr>
            </w:pPr>
            <w:r>
              <w:rPr>
                <w:rFonts w:ascii="Arial" w:cs="Arial" w:eastAsia="Arial" w:hAnsi="Arial"/>
                <w:sz w:val="11"/>
                <w:szCs w:val="11"/>
                <w:b w:val="1"/>
                <w:bCs w:val="1"/>
                <w:color w:val="auto"/>
              </w:rPr>
              <w:t>Investments in associates</w:t>
            </w:r>
          </w:p>
        </w:tc>
        <w:tc>
          <w:tcPr>
            <w:tcW w:w="9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2,682,807</w:t>
            </w: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2,478,728</w:t>
            </w:r>
          </w:p>
        </w:tc>
        <w:tc>
          <w:tcPr>
            <w:tcW w:w="96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1"/>
                <w:szCs w:val="11"/>
                <w:b w:val="1"/>
                <w:bCs w:val="1"/>
                <w:color w:val="auto"/>
                <w:w w:val="97"/>
              </w:rPr>
              <w:t>2,601,973</w:t>
            </w:r>
          </w:p>
        </w:tc>
        <w:tc>
          <w:tcPr>
            <w:tcW w:w="640" w:type="dxa"/>
            <w:vAlign w:val="bottom"/>
          </w:tcPr>
          <w:p>
            <w:pPr>
              <w:jc w:val="center"/>
              <w:ind w:left="186"/>
              <w:spacing w:after="0" w:line="119" w:lineRule="exact"/>
              <w:rPr>
                <w:sz w:val="20"/>
                <w:szCs w:val="20"/>
                <w:color w:val="auto"/>
              </w:rPr>
            </w:pPr>
            <w:r>
              <w:rPr>
                <w:rFonts w:ascii="Arial" w:cs="Arial" w:eastAsia="Arial" w:hAnsi="Arial"/>
                <w:sz w:val="11"/>
                <w:szCs w:val="11"/>
                <w:b w:val="1"/>
                <w:bCs w:val="1"/>
                <w:color w:val="auto"/>
                <w:w w:val="95"/>
              </w:rPr>
              <w:t>5.0%</w:t>
            </w:r>
          </w:p>
        </w:tc>
        <w:tc>
          <w:tcPr>
            <w:tcW w:w="1220" w:type="dxa"/>
            <w:vAlign w:val="bottom"/>
            <w:tcBorders>
              <w:right w:val="single" w:sz="8" w:color="auto"/>
            </w:tcBorders>
          </w:tcPr>
          <w:p>
            <w:pPr>
              <w:jc w:val="center"/>
              <w:ind w:left="206"/>
              <w:spacing w:after="0" w:line="119" w:lineRule="exact"/>
              <w:rPr>
                <w:sz w:val="20"/>
                <w:szCs w:val="20"/>
                <w:color w:val="auto"/>
              </w:rPr>
            </w:pPr>
            <w:r>
              <w:rPr>
                <w:rFonts w:ascii="Arial" w:cs="Arial" w:eastAsia="Arial" w:hAnsi="Arial"/>
                <w:sz w:val="11"/>
                <w:szCs w:val="11"/>
                <w:b w:val="1"/>
                <w:bCs w:val="1"/>
                <w:color w:val="auto"/>
                <w:w w:val="97"/>
              </w:rPr>
              <w:t>-3.0%</w:t>
            </w:r>
          </w:p>
        </w:tc>
      </w:tr>
      <w:tr>
        <w:trPr>
          <w:trHeight w:val="263"/>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 xml:space="preserve">Other assets </w:t>
            </w:r>
            <w:r>
              <w:rPr>
                <w:rFonts w:ascii="Arial" w:cs="Arial" w:eastAsia="Arial" w:hAnsi="Arial"/>
                <w:sz w:val="19"/>
                <w:szCs w:val="19"/>
                <w:b w:val="1"/>
                <w:bCs w:val="1"/>
                <w:color w:val="auto"/>
                <w:vertAlign w:val="superscript"/>
              </w:rPr>
              <w:t>(2)</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7,227,029</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6,772,832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7,675,404</w:t>
            </w:r>
          </w:p>
        </w:tc>
        <w:tc>
          <w:tcPr>
            <w:tcW w:w="640" w:type="dxa"/>
            <w:vAlign w:val="bottom"/>
          </w:tcPr>
          <w:p>
            <w:pPr>
              <w:jc w:val="center"/>
              <w:ind w:left="206"/>
              <w:spacing w:after="0"/>
              <w:rPr>
                <w:sz w:val="20"/>
                <w:szCs w:val="20"/>
                <w:color w:val="auto"/>
              </w:rPr>
            </w:pPr>
            <w:r>
              <w:rPr>
                <w:rFonts w:ascii="Arial" w:cs="Arial" w:eastAsia="Arial" w:hAnsi="Arial"/>
                <w:sz w:val="11"/>
                <w:szCs w:val="11"/>
                <w:b w:val="1"/>
                <w:bCs w:val="1"/>
                <w:color w:val="auto"/>
                <w:w w:val="96"/>
              </w:rPr>
              <w:t>13.3%</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6.2%</w:t>
            </w:r>
          </w:p>
        </w:tc>
      </w:tr>
      <w:tr>
        <w:trPr>
          <w:trHeight w:val="162"/>
        </w:trPr>
        <w:tc>
          <w:tcPr>
            <w:tcW w:w="5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Assets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191,710,983</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191,422,677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195,496,031</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2.1%</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2.0%</w:t>
            </w:r>
          </w:p>
        </w:tc>
      </w:tr>
      <w:tr>
        <w:trPr>
          <w:trHeight w:val="2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Liabilities and Equity</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Deposits and obligations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r>
      <w:tr>
        <w:trPr>
          <w:trHeight w:val="132"/>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Non-interest bearing</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45,296,819</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44,639,208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42,813,340</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7"/>
              </w:rPr>
              <w:t>-4.1%</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-5.5%</w:t>
            </w:r>
          </w:p>
        </w:tc>
      </w:tr>
      <w:tr>
        <w:trPr>
          <w:trHeight w:val="132"/>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Interest bearing</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85,282,102</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91,339,219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93,468,558</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2.3%</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9.6%</w:t>
            </w:r>
          </w:p>
        </w:tc>
      </w:tr>
      <w:tr>
        <w:trPr>
          <w:trHeight w:val="148"/>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Total deposits and obligations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130,578,921</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135,978,427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136,281,898</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0.2%</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4.4%</w:t>
            </w:r>
          </w:p>
        </w:tc>
      </w:tr>
      <w:tr>
        <w:trPr>
          <w:trHeight w:val="2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Payables from repurchase agreements and securities lending</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5,122,666</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5,227,145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6,850,850</w:t>
            </w:r>
          </w:p>
        </w:tc>
        <w:tc>
          <w:tcPr>
            <w:tcW w:w="640" w:type="dxa"/>
            <w:vAlign w:val="bottom"/>
          </w:tcPr>
          <w:p>
            <w:pPr>
              <w:jc w:val="center"/>
              <w:ind w:left="206"/>
              <w:spacing w:after="0"/>
              <w:rPr>
                <w:sz w:val="20"/>
                <w:szCs w:val="20"/>
                <w:color w:val="auto"/>
              </w:rPr>
            </w:pPr>
            <w:r>
              <w:rPr>
                <w:rFonts w:ascii="Arial" w:cs="Arial" w:eastAsia="Arial" w:hAnsi="Arial"/>
                <w:sz w:val="11"/>
                <w:szCs w:val="11"/>
                <w:b w:val="1"/>
                <w:bCs w:val="1"/>
                <w:color w:val="auto"/>
                <w:w w:val="96"/>
              </w:rPr>
              <w:t>31.1%</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33.7%</w:t>
            </w:r>
          </w:p>
        </w:tc>
      </w:tr>
      <w:tr>
        <w:trPr>
          <w:trHeight w:val="132"/>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BCRP instruments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4,289,860</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4,355,414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6,146,597</w:t>
            </w:r>
          </w:p>
        </w:tc>
        <w:tc>
          <w:tcPr>
            <w:tcW w:w="640" w:type="dxa"/>
            <w:vAlign w:val="bottom"/>
          </w:tcPr>
          <w:p>
            <w:pPr>
              <w:jc w:val="center"/>
              <w:ind w:left="206"/>
              <w:spacing w:after="0"/>
              <w:rPr>
                <w:sz w:val="20"/>
                <w:szCs w:val="20"/>
                <w:color w:val="auto"/>
              </w:rPr>
            </w:pPr>
            <w:r>
              <w:rPr>
                <w:rFonts w:ascii="Arial" w:cs="Arial" w:eastAsia="Arial" w:hAnsi="Arial"/>
                <w:sz w:val="11"/>
                <w:szCs w:val="11"/>
                <w:color w:val="auto"/>
                <w:w w:val="96"/>
              </w:rPr>
              <w:t>41.1%</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43.3%</w:t>
            </w:r>
          </w:p>
        </w:tc>
      </w:tr>
      <w:tr>
        <w:trPr>
          <w:trHeight w:val="142"/>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Repurchase agreements with third parties</w:t>
            </w:r>
          </w:p>
        </w:tc>
        <w:tc>
          <w:tcPr>
            <w:tcW w:w="920" w:type="dxa"/>
            <w:vAlign w:val="bottom"/>
          </w:tcPr>
          <w:p>
            <w:pPr>
              <w:jc w:val="center"/>
              <w:spacing w:after="0"/>
              <w:rPr>
                <w:sz w:val="20"/>
                <w:szCs w:val="20"/>
                <w:color w:val="auto"/>
              </w:rPr>
            </w:pPr>
            <w:r>
              <w:rPr>
                <w:rFonts w:ascii="Arial" w:cs="Arial" w:eastAsia="Arial" w:hAnsi="Arial"/>
                <w:sz w:val="11"/>
                <w:szCs w:val="11"/>
                <w:color w:val="auto"/>
                <w:w w:val="95"/>
              </w:rPr>
              <w:t>832,806</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871,731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704,253</w:t>
            </w:r>
          </w:p>
        </w:tc>
        <w:tc>
          <w:tcPr>
            <w:tcW w:w="640" w:type="dxa"/>
            <w:vAlign w:val="bottom"/>
          </w:tcPr>
          <w:p>
            <w:pPr>
              <w:jc w:val="center"/>
              <w:ind w:left="206"/>
              <w:spacing w:after="0"/>
              <w:rPr>
                <w:sz w:val="20"/>
                <w:szCs w:val="20"/>
                <w:color w:val="auto"/>
              </w:rPr>
            </w:pPr>
            <w:r>
              <w:rPr>
                <w:rFonts w:ascii="Arial" w:cs="Arial" w:eastAsia="Arial" w:hAnsi="Arial"/>
                <w:sz w:val="11"/>
                <w:szCs w:val="11"/>
                <w:color w:val="auto"/>
                <w:w w:val="97"/>
              </w:rPr>
              <w:t>-19.2%</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-15.4%</w:t>
            </w:r>
          </w:p>
        </w:tc>
      </w:tr>
      <w:tr>
        <w:trPr>
          <w:trHeight w:val="254"/>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Due to banks and correspondents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11,160,491</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8,935,346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8,904,033</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-0.4%</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7"/>
              </w:rPr>
              <w:t>-20.2%</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Bonds and notes issued</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13,045,879</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9,772,249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9,508,030</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-2.7%</w:t>
            </w:r>
          </w:p>
        </w:tc>
        <w:tc>
          <w:tcPr>
            <w:tcW w:w="122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7"/>
              </w:rPr>
              <w:t>-27.1%</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Due from customers on acceptances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5"/>
              </w:rPr>
              <w:t>466,957</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5"/>
              </w:rPr>
              <w:t>559,370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553,851</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-1.0%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18.6%</w:t>
            </w:r>
          </w:p>
        </w:tc>
      </w:tr>
      <w:tr>
        <w:trPr>
          <w:trHeight w:val="119"/>
        </w:trPr>
        <w:tc>
          <w:tcPr>
            <w:tcW w:w="5780" w:type="dxa"/>
            <w:vAlign w:val="bottom"/>
            <w:tcBorders>
              <w:left w:val="single" w:sz="8" w:color="auto"/>
              <w:right w:val="single" w:sz="8" w:color="auto"/>
            </w:tcBorders>
          </w:tcPr>
          <w:p>
            <w:pPr>
              <w:ind w:left="20"/>
              <w:spacing w:after="0" w:line="119" w:lineRule="exact"/>
              <w:rPr>
                <w:sz w:val="20"/>
                <w:szCs w:val="20"/>
                <w:color w:val="auto"/>
              </w:rPr>
            </w:pPr>
            <w:r>
              <w:rPr>
                <w:rFonts w:ascii="Arial" w:cs="Arial" w:eastAsia="Arial" w:hAnsi="Arial"/>
                <w:sz w:val="11"/>
                <w:szCs w:val="11"/>
                <w:b w:val="1"/>
                <w:bCs w:val="1"/>
                <w:color w:val="auto"/>
              </w:rPr>
              <w:t>Financial liabilities at fair value through profit or loss</w:t>
            </w:r>
          </w:p>
        </w:tc>
        <w:tc>
          <w:tcPr>
            <w:tcW w:w="9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354,562</w:t>
            </w: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387,867</w:t>
            </w:r>
          </w:p>
        </w:tc>
        <w:tc>
          <w:tcPr>
            <w:tcW w:w="96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1"/>
                <w:szCs w:val="11"/>
                <w:b w:val="1"/>
                <w:bCs w:val="1"/>
                <w:color w:val="auto"/>
                <w:w w:val="95"/>
              </w:rPr>
              <w:t>455,454</w:t>
            </w:r>
          </w:p>
        </w:tc>
        <w:tc>
          <w:tcPr>
            <w:tcW w:w="640" w:type="dxa"/>
            <w:vAlign w:val="bottom"/>
          </w:tcPr>
          <w:p>
            <w:pPr>
              <w:jc w:val="center"/>
              <w:ind w:left="206"/>
              <w:spacing w:after="0" w:line="119" w:lineRule="exact"/>
              <w:rPr>
                <w:sz w:val="20"/>
                <w:szCs w:val="20"/>
                <w:color w:val="auto"/>
              </w:rPr>
            </w:pPr>
            <w:r>
              <w:rPr>
                <w:rFonts w:ascii="Arial" w:cs="Arial" w:eastAsia="Arial" w:hAnsi="Arial"/>
                <w:sz w:val="11"/>
                <w:szCs w:val="11"/>
                <w:b w:val="1"/>
                <w:bCs w:val="1"/>
                <w:color w:val="auto"/>
                <w:w w:val="96"/>
              </w:rPr>
              <w:t>17.4%</w:t>
            </w:r>
          </w:p>
        </w:tc>
        <w:tc>
          <w:tcPr>
            <w:tcW w:w="1220" w:type="dxa"/>
            <w:vAlign w:val="bottom"/>
            <w:tcBorders>
              <w:right w:val="single" w:sz="8" w:color="auto"/>
            </w:tcBorders>
          </w:tcPr>
          <w:p>
            <w:pPr>
              <w:jc w:val="center"/>
              <w:ind w:left="206"/>
              <w:spacing w:after="0" w:line="119" w:lineRule="exact"/>
              <w:rPr>
                <w:sz w:val="20"/>
                <w:szCs w:val="20"/>
                <w:color w:val="auto"/>
              </w:rPr>
            </w:pPr>
            <w:r>
              <w:rPr>
                <w:rFonts w:ascii="Arial" w:cs="Arial" w:eastAsia="Arial" w:hAnsi="Arial"/>
                <w:sz w:val="11"/>
                <w:szCs w:val="11"/>
                <w:b w:val="1"/>
                <w:bCs w:val="1"/>
                <w:color w:val="auto"/>
              </w:rPr>
              <w:t>28.5%</w:t>
            </w:r>
          </w:p>
        </w:tc>
      </w:tr>
      <w:tr>
        <w:trPr>
          <w:trHeight w:val="145"/>
        </w:trPr>
        <w:tc>
          <w:tcPr>
            <w:tcW w:w="578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9"/>
                <w:szCs w:val="9"/>
                <w:b w:val="1"/>
                <w:bCs w:val="1"/>
                <w:color w:val="auto"/>
              </w:rPr>
              <w:t xml:space="preserve">Other liabilities </w:t>
            </w:r>
            <w:r>
              <w:rPr>
                <w:rFonts w:ascii="Arial" w:cs="Arial" w:eastAsia="Arial" w:hAnsi="Arial"/>
                <w:sz w:val="16"/>
                <w:szCs w:val="16"/>
                <w:b w:val="1"/>
                <w:bCs w:val="1"/>
                <w:color w:val="auto"/>
                <w:vertAlign w:val="superscript"/>
              </w:rPr>
              <w:t>(3)</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5,629,964</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5,766,446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6,326,130</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9.7%</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12.4%</w:t>
            </w:r>
          </w:p>
        </w:tc>
      </w:tr>
      <w:tr>
        <w:trPr>
          <w:trHeight w:val="148"/>
        </w:trPr>
        <w:tc>
          <w:tcPr>
            <w:tcW w:w="5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Liabilities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166,359,440</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166,626,850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168,880,246</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1.4%</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1.5%</w:t>
            </w:r>
          </w:p>
        </w:tc>
      </w:tr>
      <w:tr>
        <w:trPr>
          <w:trHeight w:val="380"/>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equity</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25,351,543</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24,795,827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26,615,785</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7.3%</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5.0%</w:t>
            </w:r>
          </w:p>
        </w:tc>
      </w:tr>
      <w:tr>
        <w:trPr>
          <w:trHeight w:val="132"/>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Capital stock</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12,679,794</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12,679,794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12,679,794</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0.0%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0.0%</w:t>
            </w:r>
          </w:p>
        </w:tc>
      </w:tr>
      <w:tr>
        <w:trPr>
          <w:trHeight w:val="132"/>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Reserves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6,372,468</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5,906,590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5,906,590</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0.0%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-7.3%</w:t>
            </w:r>
          </w:p>
        </w:tc>
      </w:tr>
      <w:tr>
        <w:trPr>
          <w:trHeight w:val="132"/>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Unrealized gains and losses</w:t>
            </w:r>
          </w:p>
        </w:tc>
        <w:tc>
          <w:tcPr>
            <w:tcW w:w="920" w:type="dxa"/>
            <w:vAlign w:val="bottom"/>
          </w:tcPr>
          <w:p>
            <w:pPr>
              <w:jc w:val="center"/>
              <w:spacing w:after="0"/>
              <w:rPr>
                <w:sz w:val="20"/>
                <w:szCs w:val="20"/>
                <w:color w:val="auto"/>
              </w:rPr>
            </w:pPr>
            <w:r>
              <w:rPr>
                <w:rFonts w:ascii="Arial" w:cs="Arial" w:eastAsia="Arial" w:hAnsi="Arial"/>
                <w:sz w:val="11"/>
                <w:szCs w:val="11"/>
                <w:color w:val="auto"/>
                <w:w w:val="95"/>
              </w:rPr>
              <w:t>222,730</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282,927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505,339</w:t>
            </w:r>
          </w:p>
        </w:tc>
        <w:tc>
          <w:tcPr>
            <w:tcW w:w="640" w:type="dxa"/>
            <w:vAlign w:val="bottom"/>
          </w:tcPr>
          <w:p>
            <w:pPr>
              <w:jc w:val="center"/>
              <w:ind w:left="206"/>
              <w:spacing w:after="0"/>
              <w:rPr>
                <w:sz w:val="20"/>
                <w:szCs w:val="20"/>
                <w:color w:val="auto"/>
              </w:rPr>
            </w:pPr>
            <w:r>
              <w:rPr>
                <w:rFonts w:ascii="Arial" w:cs="Arial" w:eastAsia="Arial" w:hAnsi="Arial"/>
                <w:sz w:val="11"/>
                <w:szCs w:val="11"/>
                <w:color w:val="auto"/>
                <w:w w:val="96"/>
              </w:rPr>
              <w:t>78.6%</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6"/>
              </w:rPr>
              <w:t>126.9%</w:t>
            </w:r>
          </w:p>
        </w:tc>
      </w:tr>
      <w:tr>
        <w:trPr>
          <w:trHeight w:val="142"/>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Retained earnings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6,076,551</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5,926,516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7,524,062</w:t>
            </w:r>
          </w:p>
        </w:tc>
        <w:tc>
          <w:tcPr>
            <w:tcW w:w="640" w:type="dxa"/>
            <w:vAlign w:val="bottom"/>
          </w:tcPr>
          <w:p>
            <w:pPr>
              <w:jc w:val="center"/>
              <w:ind w:left="206"/>
              <w:spacing w:after="0"/>
              <w:rPr>
                <w:sz w:val="20"/>
                <w:szCs w:val="20"/>
                <w:color w:val="auto"/>
              </w:rPr>
            </w:pPr>
            <w:r>
              <w:rPr>
                <w:rFonts w:ascii="Arial" w:cs="Arial" w:eastAsia="Arial" w:hAnsi="Arial"/>
                <w:sz w:val="11"/>
                <w:szCs w:val="11"/>
                <w:color w:val="auto"/>
                <w:w w:val="96"/>
              </w:rPr>
              <w:t>27.0%</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23.8%</w:t>
            </w:r>
          </w:p>
        </w:tc>
      </w:tr>
      <w:tr>
        <w:trPr>
          <w:trHeight w:val="402"/>
        </w:trPr>
        <w:tc>
          <w:tcPr>
            <w:tcW w:w="5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Net Equity</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25,351,543</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24,795,827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26,615,785</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7.3%</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5.0%</w:t>
            </w:r>
          </w:p>
        </w:tc>
      </w:tr>
      <w:tr>
        <w:trPr>
          <w:trHeight w:val="264"/>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liabilities and equity</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191,710,983</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191,422,677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195,496,031</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2.1%</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2.0%</w:t>
            </w:r>
          </w:p>
        </w:tc>
      </w:tr>
      <w:tr>
        <w:trPr>
          <w:trHeight w:val="248"/>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Off-balance sheet</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140,242,082</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135,664,961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143,063,117</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5.5%</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2.0%</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Total performance bonds, stand-by and L/Cs.</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19,593,247</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20,908,399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20,740,429</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7"/>
              </w:rPr>
              <w:t>-0.8%</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5.9%</w:t>
            </w:r>
          </w:p>
        </w:tc>
      </w:tr>
      <w:tr>
        <w:trPr>
          <w:trHeight w:val="13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Undrawn credit lines, advised but not committed</w:t>
            </w:r>
          </w:p>
        </w:tc>
        <w:tc>
          <w:tcPr>
            <w:tcW w:w="920" w:type="dxa"/>
            <w:vAlign w:val="bottom"/>
          </w:tcPr>
          <w:p>
            <w:pPr>
              <w:jc w:val="center"/>
              <w:spacing w:after="0"/>
              <w:rPr>
                <w:sz w:val="20"/>
                <w:szCs w:val="20"/>
                <w:color w:val="auto"/>
              </w:rPr>
            </w:pPr>
            <w:r>
              <w:rPr>
                <w:rFonts w:ascii="Arial" w:cs="Arial" w:eastAsia="Arial" w:hAnsi="Arial"/>
                <w:sz w:val="11"/>
                <w:szCs w:val="11"/>
                <w:color w:val="auto"/>
                <w:w w:val="98"/>
              </w:rPr>
              <w:t>75,257,883</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68,251,113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69,365,422</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1.6%</w:t>
            </w:r>
          </w:p>
        </w:tc>
        <w:tc>
          <w:tcPr>
            <w:tcW w:w="12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-7.8%</w:t>
            </w:r>
          </w:p>
        </w:tc>
      </w:tr>
      <w:tr>
        <w:trPr>
          <w:trHeight w:val="132"/>
        </w:trPr>
        <w:tc>
          <w:tcPr>
            <w:tcW w:w="5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Total derivatives (notional) and others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45,390,952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46,505,449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8"/>
              </w:rPr>
              <w:t>52,957,266</w:t>
            </w:r>
          </w:p>
        </w:tc>
        <w:tc>
          <w:tcPr>
            <w:tcW w:w="64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w w:val="96"/>
              </w:rPr>
              <w:t>13.9%</w:t>
            </w:r>
          </w:p>
        </w:tc>
        <w:tc>
          <w:tcPr>
            <w:tcW w:w="1220" w:type="dxa"/>
            <w:vAlign w:val="bottom"/>
            <w:tcBorders>
              <w:bottom w:val="single" w:sz="8" w:color="auto"/>
              <w:right w:val="single" w:sz="8" w:color="auto"/>
            </w:tcBorders>
          </w:tcPr>
          <w:p>
            <w:pPr>
              <w:jc w:val="center"/>
              <w:ind w:left="206"/>
              <w:spacing w:after="0"/>
              <w:rPr>
                <w:sz w:val="20"/>
                <w:szCs w:val="20"/>
                <w:color w:val="auto"/>
              </w:rPr>
            </w:pPr>
            <w:r>
              <w:rPr>
                <w:rFonts w:ascii="Arial" w:cs="Arial" w:eastAsia="Arial" w:hAnsi="Arial"/>
                <w:sz w:val="11"/>
                <w:szCs w:val="11"/>
                <w:color w:val="auto"/>
              </w:rPr>
              <w:t>16.7%</w:t>
            </w:r>
          </w:p>
        </w:tc>
      </w:tr>
    </w:tbl>
    <w:p>
      <w:pPr>
        <w:spacing w:after="0" w:line="180" w:lineRule="exact"/>
        <w:rPr>
          <w:sz w:val="20"/>
          <w:szCs w:val="20"/>
          <w:color w:val="auto"/>
        </w:rPr>
      </w:pPr>
    </w:p>
    <w:p>
      <w:pPr>
        <w:ind w:left="1180" w:hanging="166"/>
        <w:spacing w:after="0"/>
        <w:tabs>
          <w:tab w:leader="none" w:pos="11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Right of use asset of lease contracts is included by application of IFRS 16.</w:t>
      </w:r>
    </w:p>
    <w:p>
      <w:pPr>
        <w:spacing w:after="0" w:line="15" w:lineRule="exact"/>
        <w:rPr>
          <w:rFonts w:ascii="Arial" w:cs="Arial" w:eastAsia="Arial" w:hAnsi="Arial"/>
          <w:sz w:val="11"/>
          <w:szCs w:val="11"/>
          <w:color w:val="auto"/>
        </w:rPr>
      </w:pPr>
    </w:p>
    <w:p>
      <w:pPr>
        <w:ind w:left="1180" w:hanging="166"/>
        <w:spacing w:after="0"/>
        <w:tabs>
          <w:tab w:leader="none" w:pos="11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Mainly includes intangible assets, other receivable accounts, trading derivatives receivable accounts and tax credit.</w:t>
      </w:r>
    </w:p>
    <w:p>
      <w:pPr>
        <w:spacing w:after="0" w:line="5" w:lineRule="exact"/>
        <w:rPr>
          <w:rFonts w:ascii="Arial" w:cs="Arial" w:eastAsia="Arial" w:hAnsi="Arial"/>
          <w:sz w:val="11"/>
          <w:szCs w:val="11"/>
          <w:color w:val="auto"/>
        </w:rPr>
      </w:pPr>
    </w:p>
    <w:p>
      <w:pPr>
        <w:ind w:left="1180" w:hanging="166"/>
        <w:spacing w:after="0"/>
        <w:tabs>
          <w:tab w:leader="none" w:pos="11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Mainly includes other payable accounts, trading derivatives payable accounts and taxes for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812800</wp:posOffset>
            </wp:positionV>
            <wp:extent cx="663892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638925" cy="1524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111760</wp:posOffset>
            </wp:positionV>
            <wp:extent cx="6517005" cy="6096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517005" cy="609600"/>
                    </a:xfrm>
                    <a:prstGeom prst="rect">
                      <a:avLst/>
                    </a:prstGeom>
                    <a:noFill/>
                  </pic:spPr>
                </pic:pic>
              </a:graphicData>
            </a:graphic>
          </wp:anchor>
        </w:drawing>
      </w:r>
    </w:p>
    <w:p>
      <w:pPr>
        <w:sectPr>
          <w:pgSz w:w="11900" w:h="16840" w:orient="portrait"/>
          <w:cols w:equalWidth="0" w:num="1">
            <w:col w:w="10460"/>
          </w:cols>
          <w:pgMar w:left="660" w:top="931" w:right="780" w:bottom="1440" w:gutter="0" w:footer="0" w:header="0"/>
        </w:sectPr>
      </w:pPr>
    </w:p>
    <w:bookmarkStart w:id="65" w:name="page66"/>
    <w:bookmarkEnd w:id="65"/>
    <w:p>
      <w:pPr>
        <w:ind w:left="2520"/>
        <w:spacing w:after="0"/>
        <w:tabs>
          <w:tab w:leader="none" w:pos="2760" w:val="left"/>
          <w:tab w:leader="none" w:pos="81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638925" cy="662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63892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638925" cy="2057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63892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190"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Statement of Income</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(S/ Thousands, IFRS)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2960" w:type="dxa"/>
            <w:vAlign w:val="bottom"/>
            <w:tcBorders>
              <w:top w:val="single" w:sz="8" w:color="auto"/>
              <w:left w:val="single" w:sz="8" w:color="auto"/>
              <w:right w:val="single" w:sz="8" w:color="auto"/>
            </w:tcBorders>
            <w:shd w:val="clear" w:color="auto" w:fill="33CCCC"/>
          </w:tcPr>
          <w:p>
            <w:pPr>
              <w:spacing w:after="0"/>
              <w:rPr>
                <w:sz w:val="11"/>
                <w:szCs w:val="11"/>
                <w:color w:val="auto"/>
              </w:rPr>
            </w:pPr>
          </w:p>
        </w:tc>
        <w:tc>
          <w:tcPr>
            <w:tcW w:w="920" w:type="dxa"/>
            <w:vAlign w:val="bottom"/>
            <w:tcBorders>
              <w:top w:val="single" w:sz="8" w:color="auto"/>
            </w:tcBorders>
            <w:shd w:val="clear" w:color="auto" w:fill="33CCCC"/>
          </w:tcPr>
          <w:p>
            <w:pPr>
              <w:spacing w:after="0"/>
              <w:rPr>
                <w:sz w:val="11"/>
                <w:szCs w:val="11"/>
                <w:color w:val="auto"/>
              </w:rPr>
            </w:pPr>
          </w:p>
        </w:tc>
        <w:tc>
          <w:tcPr>
            <w:tcW w:w="920" w:type="dxa"/>
            <w:vAlign w:val="bottom"/>
            <w:tcBorders>
              <w:top w:val="single" w:sz="8" w:color="auto"/>
            </w:tcBorders>
            <w:shd w:val="clear" w:color="auto" w:fill="33CCCC"/>
          </w:tcPr>
          <w:p>
            <w:pPr>
              <w:ind w:left="300"/>
              <w:spacing w:after="0"/>
              <w:rPr>
                <w:sz w:val="20"/>
                <w:szCs w:val="20"/>
                <w:color w:val="auto"/>
              </w:rPr>
            </w:pPr>
            <w:r>
              <w:rPr>
                <w:rFonts w:ascii="Arial" w:cs="Arial" w:eastAsia="Arial" w:hAnsi="Arial"/>
                <w:sz w:val="10"/>
                <w:szCs w:val="10"/>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11"/>
                <w:szCs w:val="11"/>
                <w:color w:val="auto"/>
              </w:rPr>
            </w:pPr>
          </w:p>
        </w:tc>
        <w:tc>
          <w:tcPr>
            <w:tcW w:w="1200" w:type="dxa"/>
            <w:vAlign w:val="bottom"/>
            <w:tcBorders>
              <w:top w:val="single" w:sz="8" w:color="auto"/>
            </w:tcBorders>
            <w:shd w:val="clear" w:color="auto" w:fill="33CCCC"/>
          </w:tcPr>
          <w:p>
            <w:pPr>
              <w:ind w:left="700"/>
              <w:spacing w:after="0"/>
              <w:rPr>
                <w:sz w:val="20"/>
                <w:szCs w:val="20"/>
                <w:color w:val="auto"/>
              </w:rPr>
            </w:pPr>
            <w:r>
              <w:rPr>
                <w:rFonts w:ascii="Arial" w:cs="Arial" w:eastAsia="Arial" w:hAnsi="Arial"/>
                <w:sz w:val="10"/>
                <w:szCs w:val="10"/>
                <w:b w:val="1"/>
                <w:bCs w:val="1"/>
                <w:color w:val="FFFFFF"/>
                <w:w w:val="99"/>
              </w:rPr>
              <w:t>% Change</w:t>
            </w:r>
          </w:p>
        </w:tc>
        <w:tc>
          <w:tcPr>
            <w:tcW w:w="680" w:type="dxa"/>
            <w:vAlign w:val="bottom"/>
            <w:tcBorders>
              <w:top w:val="single" w:sz="8" w:color="auto"/>
              <w:right w:val="single" w:sz="8" w:color="auto"/>
            </w:tcBorders>
            <w:shd w:val="clear" w:color="auto" w:fill="33CCCC"/>
          </w:tcPr>
          <w:p>
            <w:pPr>
              <w:spacing w:after="0"/>
              <w:rPr>
                <w:sz w:val="11"/>
                <w:szCs w:val="11"/>
                <w:color w:val="auto"/>
              </w:rPr>
            </w:pPr>
          </w:p>
        </w:tc>
        <w:tc>
          <w:tcPr>
            <w:tcW w:w="760" w:type="dxa"/>
            <w:vAlign w:val="bottom"/>
            <w:tcBorders>
              <w:top w:val="single" w:sz="8" w:color="auto"/>
            </w:tcBorders>
            <w:shd w:val="clear" w:color="auto" w:fill="33CCCC"/>
          </w:tcPr>
          <w:p>
            <w:pPr>
              <w:spacing w:after="0"/>
              <w:rPr>
                <w:sz w:val="11"/>
                <w:szCs w:val="11"/>
                <w:color w:val="auto"/>
              </w:rPr>
            </w:pPr>
          </w:p>
        </w:tc>
        <w:tc>
          <w:tcPr>
            <w:tcW w:w="1140" w:type="dxa"/>
            <w:vAlign w:val="bottom"/>
            <w:tcBorders>
              <w:top w:val="single" w:sz="8" w:color="auto"/>
              <w:right w:val="single" w:sz="8" w:color="auto"/>
            </w:tcBorders>
            <w:shd w:val="clear" w:color="auto" w:fill="33CCCC"/>
          </w:tcPr>
          <w:p>
            <w:pPr>
              <w:ind w:left="60"/>
              <w:spacing w:after="0"/>
              <w:rPr>
                <w:sz w:val="20"/>
                <w:szCs w:val="20"/>
                <w:color w:val="auto"/>
              </w:rPr>
            </w:pPr>
            <w:r>
              <w:rPr>
                <w:rFonts w:ascii="Arial" w:cs="Arial" w:eastAsia="Arial" w:hAnsi="Arial"/>
                <w:sz w:val="10"/>
                <w:szCs w:val="10"/>
                <w:b w:val="1"/>
                <w:bCs w:val="1"/>
                <w:color w:val="FFFFFF"/>
              </w:rPr>
              <w:t>Up to</w:t>
            </w:r>
          </w:p>
        </w:tc>
        <w:tc>
          <w:tcPr>
            <w:tcW w:w="9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5"/>
              </w:rPr>
              <w:t>% Change</w:t>
            </w:r>
          </w:p>
        </w:tc>
      </w:tr>
      <w:tr>
        <w:trPr>
          <w:trHeight w:val="121"/>
        </w:trPr>
        <w:tc>
          <w:tcPr>
            <w:tcW w:w="2960" w:type="dxa"/>
            <w:vAlign w:val="bottom"/>
            <w:tcBorders>
              <w:left w:val="single" w:sz="8" w:color="auto"/>
              <w:bottom w:val="single" w:sz="8" w:color="auto"/>
              <w:right w:val="single" w:sz="8" w:color="auto"/>
            </w:tcBorders>
            <w:shd w:val="clear" w:color="auto" w:fill="33CCCC"/>
          </w:tcPr>
          <w:p>
            <w:pPr>
              <w:spacing w:after="0"/>
              <w:rPr>
                <w:sz w:val="10"/>
                <w:szCs w:val="10"/>
                <w:color w:val="auto"/>
              </w:rPr>
            </w:pP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7"/>
              </w:rPr>
              <w:t>3Q24</w:t>
            </w: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7"/>
              </w:rPr>
              <w:t>2Q25</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89"/>
              </w:rPr>
              <w:t>3Q25</w:t>
            </w:r>
          </w:p>
        </w:tc>
        <w:tc>
          <w:tcPr>
            <w:tcW w:w="1200" w:type="dxa"/>
            <w:vAlign w:val="bottom"/>
            <w:tcBorders>
              <w:bottom w:val="single" w:sz="8" w:color="auto"/>
            </w:tcBorders>
            <w:shd w:val="clear" w:color="auto" w:fill="33CCCC"/>
          </w:tcPr>
          <w:p>
            <w:pPr>
              <w:jc w:val="center"/>
              <w:ind w:right="232"/>
              <w:spacing w:after="0"/>
              <w:rPr>
                <w:sz w:val="20"/>
                <w:szCs w:val="20"/>
                <w:color w:val="auto"/>
              </w:rPr>
            </w:pPr>
            <w:r>
              <w:rPr>
                <w:rFonts w:ascii="Arial" w:cs="Arial" w:eastAsia="Arial" w:hAnsi="Arial"/>
                <w:sz w:val="10"/>
                <w:szCs w:val="10"/>
                <w:b w:val="1"/>
                <w:bCs w:val="1"/>
                <w:color w:val="FFFFFF"/>
                <w:w w:val="92"/>
              </w:rPr>
              <w:t>QoQ</w:t>
            </w:r>
          </w:p>
        </w:tc>
        <w:tc>
          <w:tcPr>
            <w:tcW w:w="680" w:type="dxa"/>
            <w:vAlign w:val="bottom"/>
            <w:tcBorders>
              <w:bottom w:val="single" w:sz="8" w:color="auto"/>
              <w:right w:val="single" w:sz="8" w:color="auto"/>
            </w:tcBorders>
            <w:shd w:val="clear" w:color="auto" w:fill="33CCCC"/>
          </w:tcPr>
          <w:p>
            <w:pPr>
              <w:ind w:left="100"/>
              <w:spacing w:after="0"/>
              <w:rPr>
                <w:sz w:val="20"/>
                <w:szCs w:val="20"/>
                <w:color w:val="auto"/>
              </w:rPr>
            </w:pPr>
            <w:r>
              <w:rPr>
                <w:rFonts w:ascii="Arial" w:cs="Arial" w:eastAsia="Arial" w:hAnsi="Arial"/>
                <w:sz w:val="10"/>
                <w:szCs w:val="10"/>
                <w:b w:val="1"/>
                <w:bCs w:val="1"/>
                <w:color w:val="FFFFFF"/>
              </w:rPr>
              <w:t>YoY</w:t>
            </w:r>
          </w:p>
        </w:tc>
        <w:tc>
          <w:tcPr>
            <w:tcW w:w="760" w:type="dxa"/>
            <w:vAlign w:val="bottom"/>
            <w:tcBorders>
              <w:bottom w:val="single" w:sz="8" w:color="auto"/>
            </w:tcBorders>
            <w:shd w:val="clear" w:color="auto" w:fill="33CCCC"/>
          </w:tcPr>
          <w:p>
            <w:pPr>
              <w:ind w:left="320"/>
              <w:spacing w:after="0"/>
              <w:rPr>
                <w:sz w:val="20"/>
                <w:szCs w:val="20"/>
                <w:color w:val="auto"/>
              </w:rPr>
            </w:pPr>
            <w:r>
              <w:rPr>
                <w:rFonts w:ascii="Arial" w:cs="Arial" w:eastAsia="Arial" w:hAnsi="Arial"/>
                <w:sz w:val="10"/>
                <w:szCs w:val="10"/>
                <w:b w:val="1"/>
                <w:bCs w:val="1"/>
                <w:color w:val="FFFFFF"/>
              </w:rPr>
              <w:t>Sep 24</w:t>
            </w:r>
          </w:p>
        </w:tc>
        <w:tc>
          <w:tcPr>
            <w:tcW w:w="1140" w:type="dxa"/>
            <w:vAlign w:val="bottom"/>
            <w:tcBorders>
              <w:bottom w:val="single" w:sz="8" w:color="auto"/>
              <w:right w:val="single" w:sz="8" w:color="auto"/>
            </w:tcBorders>
            <w:shd w:val="clear" w:color="auto" w:fill="33CCCC"/>
          </w:tcPr>
          <w:p>
            <w:pPr>
              <w:ind w:left="500"/>
              <w:spacing w:after="0"/>
              <w:rPr>
                <w:sz w:val="20"/>
                <w:szCs w:val="20"/>
                <w:color w:val="auto"/>
              </w:rPr>
            </w:pPr>
            <w:r>
              <w:rPr>
                <w:rFonts w:ascii="Arial" w:cs="Arial" w:eastAsia="Arial" w:hAnsi="Arial"/>
                <w:sz w:val="10"/>
                <w:szCs w:val="10"/>
                <w:b w:val="1"/>
                <w:bCs w:val="1"/>
                <w:color w:val="FFFFFF"/>
              </w:rPr>
              <w:t>Sep 25</w:t>
            </w:r>
          </w:p>
        </w:tc>
        <w:tc>
          <w:tcPr>
            <w:tcW w:w="9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6"/>
              </w:rPr>
              <w:t>Sep 25 / Sep 24</w:t>
            </w:r>
          </w:p>
        </w:tc>
      </w:tr>
      <w:tr>
        <w:trPr>
          <w:trHeight w:val="113"/>
        </w:trPr>
        <w:tc>
          <w:tcPr>
            <w:tcW w:w="2960" w:type="dxa"/>
            <w:vAlign w:val="bottom"/>
            <w:tcBorders>
              <w:left w:val="single" w:sz="8" w:color="auto"/>
              <w:right w:val="single" w:sz="8" w:color="auto"/>
            </w:tcBorders>
          </w:tcPr>
          <w:p>
            <w:pPr>
              <w:ind w:left="20"/>
              <w:spacing w:after="0" w:line="114" w:lineRule="exact"/>
              <w:rPr>
                <w:sz w:val="20"/>
                <w:szCs w:val="20"/>
                <w:color w:val="auto"/>
              </w:rPr>
            </w:pPr>
            <w:r>
              <w:rPr>
                <w:rFonts w:ascii="Arial" w:cs="Arial" w:eastAsia="Arial" w:hAnsi="Arial"/>
                <w:sz w:val="10"/>
                <w:szCs w:val="10"/>
                <w:b w:val="1"/>
                <w:bCs w:val="1"/>
                <w:color w:val="auto"/>
              </w:rPr>
              <w:t>Interest income and expense</w:t>
            </w: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r>
      <w:tr>
        <w:trPr>
          <w:trHeight w:val="107"/>
        </w:trPr>
        <w:tc>
          <w:tcPr>
            <w:tcW w:w="2960" w:type="dxa"/>
            <w:vAlign w:val="bottom"/>
            <w:tcBorders>
              <w:left w:val="single" w:sz="8" w:color="auto"/>
              <w:right w:val="single" w:sz="8" w:color="auto"/>
            </w:tcBorders>
          </w:tcPr>
          <w:p>
            <w:pPr>
              <w:ind w:left="160"/>
              <w:spacing w:after="0" w:line="107" w:lineRule="exact"/>
              <w:rPr>
                <w:sz w:val="20"/>
                <w:szCs w:val="20"/>
                <w:color w:val="auto"/>
              </w:rPr>
            </w:pPr>
            <w:r>
              <w:rPr>
                <w:rFonts w:ascii="Arial" w:cs="Arial" w:eastAsia="Arial" w:hAnsi="Arial"/>
                <w:sz w:val="10"/>
                <w:szCs w:val="10"/>
                <w:color w:val="auto"/>
              </w:rPr>
              <w:t>Interest and similar income</w:t>
            </w:r>
          </w:p>
        </w:tc>
        <w:tc>
          <w:tcPr>
            <w:tcW w:w="920" w:type="dxa"/>
            <w:vAlign w:val="bottom"/>
          </w:tcPr>
          <w:p>
            <w:pPr>
              <w:jc w:val="center"/>
              <w:spacing w:after="0" w:line="107" w:lineRule="exact"/>
              <w:rPr>
                <w:sz w:val="20"/>
                <w:szCs w:val="20"/>
                <w:color w:val="auto"/>
              </w:rPr>
            </w:pPr>
            <w:r>
              <w:rPr>
                <w:rFonts w:ascii="Arial" w:cs="Arial" w:eastAsia="Arial" w:hAnsi="Arial"/>
                <w:sz w:val="10"/>
                <w:szCs w:val="10"/>
                <w:color w:val="auto"/>
                <w:w w:val="94"/>
              </w:rPr>
              <w:t>3,616,878</w:t>
            </w:r>
          </w:p>
        </w:tc>
        <w:tc>
          <w:tcPr>
            <w:tcW w:w="920" w:type="dxa"/>
            <w:vAlign w:val="bottom"/>
          </w:tcPr>
          <w:p>
            <w:pPr>
              <w:jc w:val="center"/>
              <w:spacing w:after="0" w:line="107" w:lineRule="exact"/>
              <w:rPr>
                <w:sz w:val="20"/>
                <w:szCs w:val="20"/>
                <w:color w:val="auto"/>
              </w:rPr>
            </w:pPr>
            <w:r>
              <w:rPr>
                <w:rFonts w:ascii="Arial" w:cs="Arial" w:eastAsia="Arial" w:hAnsi="Arial"/>
                <w:sz w:val="10"/>
                <w:szCs w:val="10"/>
                <w:color w:val="auto"/>
                <w:w w:val="94"/>
              </w:rPr>
              <w:t>3,535,213</w:t>
            </w:r>
          </w:p>
        </w:tc>
        <w:tc>
          <w:tcPr>
            <w:tcW w:w="9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0"/>
                <w:szCs w:val="10"/>
                <w:color w:val="auto"/>
                <w:w w:val="94"/>
              </w:rPr>
              <w:t>3,570,917</w:t>
            </w:r>
          </w:p>
        </w:tc>
        <w:tc>
          <w:tcPr>
            <w:tcW w:w="1200" w:type="dxa"/>
            <w:vAlign w:val="bottom"/>
          </w:tcPr>
          <w:p>
            <w:pPr>
              <w:jc w:val="center"/>
              <w:ind w:right="252"/>
              <w:spacing w:after="0" w:line="107" w:lineRule="exact"/>
              <w:rPr>
                <w:sz w:val="20"/>
                <w:szCs w:val="20"/>
                <w:color w:val="auto"/>
              </w:rPr>
            </w:pPr>
            <w:r>
              <w:rPr>
                <w:rFonts w:ascii="Arial" w:cs="Arial" w:eastAsia="Arial" w:hAnsi="Arial"/>
                <w:sz w:val="10"/>
                <w:szCs w:val="10"/>
                <w:color w:val="auto"/>
                <w:w w:val="96"/>
              </w:rPr>
              <w:t>1.0%</w:t>
            </w:r>
          </w:p>
        </w:tc>
        <w:tc>
          <w:tcPr>
            <w:tcW w:w="680" w:type="dxa"/>
            <w:vAlign w:val="bottom"/>
            <w:tcBorders>
              <w:right w:val="single" w:sz="8" w:color="auto"/>
            </w:tcBorders>
          </w:tcPr>
          <w:p>
            <w:pPr>
              <w:jc w:val="center"/>
              <w:ind w:right="252"/>
              <w:spacing w:after="0" w:line="107" w:lineRule="exact"/>
              <w:rPr>
                <w:sz w:val="20"/>
                <w:szCs w:val="20"/>
                <w:color w:val="auto"/>
              </w:rPr>
            </w:pPr>
            <w:r>
              <w:rPr>
                <w:rFonts w:ascii="Arial" w:cs="Arial" w:eastAsia="Arial" w:hAnsi="Arial"/>
                <w:sz w:val="10"/>
                <w:szCs w:val="10"/>
                <w:color w:val="auto"/>
                <w:w w:val="99"/>
              </w:rPr>
              <w:t>-1.3%</w:t>
            </w:r>
          </w:p>
        </w:tc>
        <w:tc>
          <w:tcPr>
            <w:tcW w:w="760" w:type="dxa"/>
            <w:vAlign w:val="bottom"/>
          </w:tcPr>
          <w:p>
            <w:pPr>
              <w:jc w:val="center"/>
              <w:ind w:left="112"/>
              <w:spacing w:after="0" w:line="107" w:lineRule="exact"/>
              <w:rPr>
                <w:sz w:val="20"/>
                <w:szCs w:val="20"/>
                <w:color w:val="auto"/>
              </w:rPr>
            </w:pPr>
            <w:r>
              <w:rPr>
                <w:rFonts w:ascii="Arial" w:cs="Arial" w:eastAsia="Arial" w:hAnsi="Arial"/>
                <w:sz w:val="10"/>
                <w:szCs w:val="10"/>
                <w:color w:val="auto"/>
                <w:w w:val="95"/>
              </w:rPr>
              <w:t>10,705,542</w:t>
            </w:r>
          </w:p>
        </w:tc>
        <w:tc>
          <w:tcPr>
            <w:tcW w:w="1140" w:type="dxa"/>
            <w:vAlign w:val="bottom"/>
            <w:tcBorders>
              <w:right w:val="single" w:sz="8" w:color="auto"/>
            </w:tcBorders>
          </w:tcPr>
          <w:p>
            <w:pPr>
              <w:jc w:val="center"/>
              <w:ind w:left="112"/>
              <w:spacing w:after="0" w:line="107" w:lineRule="exact"/>
              <w:rPr>
                <w:sz w:val="20"/>
                <w:szCs w:val="20"/>
                <w:color w:val="auto"/>
              </w:rPr>
            </w:pPr>
            <w:r>
              <w:rPr>
                <w:rFonts w:ascii="Arial" w:cs="Arial" w:eastAsia="Arial" w:hAnsi="Arial"/>
                <w:sz w:val="10"/>
                <w:szCs w:val="10"/>
                <w:color w:val="auto"/>
                <w:w w:val="91"/>
              </w:rPr>
              <w:t>10,625,131</w:t>
            </w:r>
          </w:p>
        </w:tc>
        <w:tc>
          <w:tcPr>
            <w:tcW w:w="9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0"/>
                <w:szCs w:val="10"/>
                <w:color w:val="auto"/>
                <w:w w:val="99"/>
              </w:rPr>
              <w:t>-0.8%</w:t>
            </w:r>
          </w:p>
        </w:tc>
      </w:tr>
      <w:tr>
        <w:trPr>
          <w:trHeight w:val="131"/>
        </w:trPr>
        <w:tc>
          <w:tcPr>
            <w:tcW w:w="296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9"/>
                <w:szCs w:val="9"/>
                <w:color w:val="auto"/>
              </w:rPr>
              <w:t xml:space="preserve">Interest and similar expenses </w:t>
            </w:r>
            <w:r>
              <w:rPr>
                <w:rFonts w:ascii="Arial" w:cs="Arial" w:eastAsia="Arial" w:hAnsi="Arial"/>
                <w:sz w:val="15"/>
                <w:szCs w:val="15"/>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(856,286)</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(783,739)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(776,188)</w:t>
            </w:r>
          </w:p>
        </w:tc>
        <w:tc>
          <w:tcPr>
            <w:tcW w:w="1200" w:type="dxa"/>
            <w:vAlign w:val="bottom"/>
          </w:tcPr>
          <w:p>
            <w:pPr>
              <w:jc w:val="center"/>
              <w:ind w:right="232"/>
              <w:spacing w:after="0"/>
              <w:rPr>
                <w:sz w:val="20"/>
                <w:szCs w:val="20"/>
                <w:color w:val="auto"/>
              </w:rPr>
            </w:pPr>
            <w:r>
              <w:rPr>
                <w:rFonts w:ascii="Arial" w:cs="Arial" w:eastAsia="Arial" w:hAnsi="Arial"/>
                <w:sz w:val="10"/>
                <w:szCs w:val="10"/>
                <w:color w:val="auto"/>
                <w:w w:val="91"/>
              </w:rPr>
              <w:t>-1.0%</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9"/>
              </w:rPr>
              <w:t>-9.4%</w:t>
            </w:r>
          </w:p>
        </w:tc>
        <w:tc>
          <w:tcPr>
            <w:tcW w:w="760" w:type="dxa"/>
            <w:vAlign w:val="bottom"/>
          </w:tcPr>
          <w:p>
            <w:pPr>
              <w:jc w:val="center"/>
              <w:ind w:left="132"/>
              <w:spacing w:after="0"/>
              <w:rPr>
                <w:sz w:val="20"/>
                <w:szCs w:val="20"/>
                <w:color w:val="auto"/>
              </w:rPr>
            </w:pPr>
            <w:r>
              <w:rPr>
                <w:rFonts w:ascii="Arial" w:cs="Arial" w:eastAsia="Arial" w:hAnsi="Arial"/>
                <w:sz w:val="10"/>
                <w:szCs w:val="10"/>
                <w:color w:val="auto"/>
                <w:w w:val="97"/>
              </w:rPr>
              <w:t>(2,672,158)</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7"/>
              </w:rPr>
              <w:t>(2,374,392)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-11.1%</w:t>
            </w:r>
          </w:p>
        </w:tc>
      </w:tr>
      <w:tr>
        <w:trPr>
          <w:trHeight w:val="133"/>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b w:val="1"/>
                <w:bCs w:val="1"/>
                <w:color w:val="auto"/>
              </w:rPr>
              <w:t>Interest income and expense</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4"/>
              </w:rPr>
              <w:t>2,760,592</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4"/>
              </w:rPr>
              <w:t>2,751,474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2,794,729</w:t>
            </w:r>
          </w:p>
        </w:tc>
        <w:tc>
          <w:tcPr>
            <w:tcW w:w="1200" w:type="dxa"/>
            <w:vAlign w:val="bottom"/>
          </w:tcPr>
          <w:p>
            <w:pPr>
              <w:jc w:val="center"/>
              <w:ind w:right="252"/>
              <w:spacing w:after="0"/>
              <w:rPr>
                <w:sz w:val="20"/>
                <w:szCs w:val="20"/>
                <w:color w:val="auto"/>
              </w:rPr>
            </w:pPr>
            <w:r>
              <w:rPr>
                <w:rFonts w:ascii="Arial" w:cs="Arial" w:eastAsia="Arial" w:hAnsi="Arial"/>
                <w:sz w:val="10"/>
                <w:szCs w:val="10"/>
                <w:b w:val="1"/>
                <w:bCs w:val="1"/>
                <w:color w:val="auto"/>
                <w:w w:val="96"/>
              </w:rPr>
              <w:t>1.6%</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96"/>
              </w:rPr>
              <w:t>1.2%</w:t>
            </w:r>
          </w:p>
        </w:tc>
        <w:tc>
          <w:tcPr>
            <w:tcW w:w="760" w:type="dxa"/>
            <w:vAlign w:val="bottom"/>
          </w:tcPr>
          <w:p>
            <w:pPr>
              <w:jc w:val="center"/>
              <w:ind w:left="132"/>
              <w:spacing w:after="0"/>
              <w:rPr>
                <w:sz w:val="20"/>
                <w:szCs w:val="20"/>
                <w:color w:val="auto"/>
              </w:rPr>
            </w:pPr>
            <w:r>
              <w:rPr>
                <w:rFonts w:ascii="Arial" w:cs="Arial" w:eastAsia="Arial" w:hAnsi="Arial"/>
                <w:sz w:val="10"/>
                <w:szCs w:val="10"/>
                <w:b w:val="1"/>
                <w:bCs w:val="1"/>
                <w:color w:val="auto"/>
                <w:w w:val="94"/>
              </w:rPr>
              <w:t>8,033,384</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b w:val="1"/>
                <w:bCs w:val="1"/>
                <w:color w:val="auto"/>
                <w:w w:val="94"/>
              </w:rPr>
              <w:t>8,250,739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2.7%</w:t>
            </w:r>
          </w:p>
        </w:tc>
      </w:tr>
      <w:tr>
        <w:trPr>
          <w:trHeight w:val="229"/>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Provision for credit losses on loan portfolio</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(714,464)</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(441,020)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(484,000)</w:t>
            </w:r>
          </w:p>
        </w:tc>
        <w:tc>
          <w:tcPr>
            <w:tcW w:w="1200" w:type="dxa"/>
            <w:vAlign w:val="bottom"/>
          </w:tcPr>
          <w:p>
            <w:pPr>
              <w:jc w:val="center"/>
              <w:ind w:right="252"/>
              <w:spacing w:after="0"/>
              <w:rPr>
                <w:sz w:val="20"/>
                <w:szCs w:val="20"/>
                <w:color w:val="auto"/>
              </w:rPr>
            </w:pPr>
            <w:r>
              <w:rPr>
                <w:rFonts w:ascii="Arial" w:cs="Arial" w:eastAsia="Arial" w:hAnsi="Arial"/>
                <w:sz w:val="10"/>
                <w:szCs w:val="10"/>
                <w:color w:val="auto"/>
                <w:w w:val="96"/>
              </w:rPr>
              <w:t>9.7%</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4"/>
              </w:rPr>
              <w:t>-32.3%</w:t>
            </w:r>
          </w:p>
        </w:tc>
        <w:tc>
          <w:tcPr>
            <w:tcW w:w="760" w:type="dxa"/>
            <w:vAlign w:val="bottom"/>
          </w:tcPr>
          <w:p>
            <w:pPr>
              <w:jc w:val="center"/>
              <w:ind w:left="132"/>
              <w:spacing w:after="0"/>
              <w:rPr>
                <w:sz w:val="20"/>
                <w:szCs w:val="20"/>
                <w:color w:val="auto"/>
              </w:rPr>
            </w:pPr>
            <w:r>
              <w:rPr>
                <w:rFonts w:ascii="Arial" w:cs="Arial" w:eastAsia="Arial" w:hAnsi="Arial"/>
                <w:sz w:val="10"/>
                <w:szCs w:val="10"/>
                <w:color w:val="auto"/>
                <w:w w:val="97"/>
              </w:rPr>
              <w:t>(2,216,084)</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7"/>
              </w:rPr>
              <w:t>(1,392,022)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-37.2%</w:t>
            </w:r>
          </w:p>
        </w:tc>
      </w:tr>
      <w:tr>
        <w:trPr>
          <w:trHeight w:val="11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Recoveries of written-off loans</w:t>
            </w:r>
          </w:p>
        </w:tc>
        <w:tc>
          <w:tcPr>
            <w:tcW w:w="920" w:type="dxa"/>
            <w:vAlign w:val="bottom"/>
          </w:tcPr>
          <w:p>
            <w:pPr>
              <w:jc w:val="center"/>
              <w:spacing w:after="0"/>
              <w:rPr>
                <w:sz w:val="20"/>
                <w:szCs w:val="20"/>
                <w:color w:val="auto"/>
              </w:rPr>
            </w:pPr>
            <w:r>
              <w:rPr>
                <w:rFonts w:ascii="Arial" w:cs="Arial" w:eastAsia="Arial" w:hAnsi="Arial"/>
                <w:sz w:val="10"/>
                <w:szCs w:val="10"/>
                <w:color w:val="auto"/>
                <w:w w:val="97"/>
              </w:rPr>
              <w:t>79,057</w:t>
            </w:r>
          </w:p>
        </w:tc>
        <w:tc>
          <w:tcPr>
            <w:tcW w:w="920" w:type="dxa"/>
            <w:vAlign w:val="bottom"/>
          </w:tcPr>
          <w:p>
            <w:pPr>
              <w:jc w:val="center"/>
              <w:spacing w:after="0"/>
              <w:rPr>
                <w:sz w:val="20"/>
                <w:szCs w:val="20"/>
                <w:color w:val="auto"/>
              </w:rPr>
            </w:pPr>
            <w:r>
              <w:rPr>
                <w:rFonts w:ascii="Arial" w:cs="Arial" w:eastAsia="Arial" w:hAnsi="Arial"/>
                <w:sz w:val="10"/>
                <w:szCs w:val="10"/>
                <w:color w:val="auto"/>
                <w:w w:val="91"/>
              </w:rPr>
              <w:t>81,258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89,802</w:t>
            </w:r>
          </w:p>
        </w:tc>
        <w:tc>
          <w:tcPr>
            <w:tcW w:w="1200" w:type="dxa"/>
            <w:vAlign w:val="bottom"/>
          </w:tcPr>
          <w:p>
            <w:pPr>
              <w:jc w:val="center"/>
              <w:ind w:right="232"/>
              <w:spacing w:after="0"/>
              <w:rPr>
                <w:sz w:val="20"/>
                <w:szCs w:val="20"/>
                <w:color w:val="auto"/>
              </w:rPr>
            </w:pPr>
            <w:r>
              <w:rPr>
                <w:rFonts w:ascii="Arial" w:cs="Arial" w:eastAsia="Arial" w:hAnsi="Arial"/>
                <w:sz w:val="10"/>
                <w:szCs w:val="10"/>
                <w:color w:val="auto"/>
                <w:w w:val="98"/>
              </w:rPr>
              <w:t>10.5%</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1"/>
              </w:rPr>
              <w:t>13.6%</w:t>
            </w:r>
          </w:p>
        </w:tc>
        <w:tc>
          <w:tcPr>
            <w:tcW w:w="760" w:type="dxa"/>
            <w:vAlign w:val="bottom"/>
          </w:tcPr>
          <w:p>
            <w:pPr>
              <w:jc w:val="center"/>
              <w:ind w:left="132"/>
              <w:spacing w:after="0"/>
              <w:rPr>
                <w:sz w:val="20"/>
                <w:szCs w:val="20"/>
                <w:color w:val="auto"/>
              </w:rPr>
            </w:pPr>
            <w:r>
              <w:rPr>
                <w:rFonts w:ascii="Arial" w:cs="Arial" w:eastAsia="Arial" w:hAnsi="Arial"/>
                <w:sz w:val="10"/>
                <w:szCs w:val="10"/>
                <w:color w:val="auto"/>
                <w:w w:val="93"/>
              </w:rPr>
              <w:t>199,291</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3"/>
              </w:rPr>
              <w:t>255,899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28.4%</w:t>
            </w:r>
          </w:p>
        </w:tc>
      </w:tr>
      <w:tr>
        <w:trPr>
          <w:trHeight w:val="133"/>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w w:val="99"/>
              </w:rPr>
              <w:t>Provision for credit losses on loan portfolio, net of recoveries</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8"/>
              </w:rPr>
              <w:t>(635,407)</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3"/>
              </w:rPr>
              <w:t>(359,762)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(394,198)</w:t>
            </w:r>
          </w:p>
        </w:tc>
        <w:tc>
          <w:tcPr>
            <w:tcW w:w="1200" w:type="dxa"/>
            <w:vAlign w:val="bottom"/>
          </w:tcPr>
          <w:p>
            <w:pPr>
              <w:jc w:val="center"/>
              <w:ind w:right="252"/>
              <w:spacing w:after="0"/>
              <w:rPr>
                <w:sz w:val="20"/>
                <w:szCs w:val="20"/>
                <w:color w:val="auto"/>
              </w:rPr>
            </w:pPr>
            <w:r>
              <w:rPr>
                <w:rFonts w:ascii="Arial" w:cs="Arial" w:eastAsia="Arial" w:hAnsi="Arial"/>
                <w:sz w:val="10"/>
                <w:szCs w:val="10"/>
                <w:b w:val="1"/>
                <w:bCs w:val="1"/>
                <w:color w:val="auto"/>
                <w:w w:val="96"/>
              </w:rPr>
              <w:t>9.6%</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94"/>
              </w:rPr>
              <w:t>-38.0%</w:t>
            </w:r>
          </w:p>
        </w:tc>
        <w:tc>
          <w:tcPr>
            <w:tcW w:w="760" w:type="dxa"/>
            <w:vAlign w:val="bottom"/>
          </w:tcPr>
          <w:p>
            <w:pPr>
              <w:jc w:val="center"/>
              <w:ind w:left="132"/>
              <w:spacing w:after="0"/>
              <w:rPr>
                <w:sz w:val="20"/>
                <w:szCs w:val="20"/>
                <w:color w:val="auto"/>
              </w:rPr>
            </w:pPr>
            <w:r>
              <w:rPr>
                <w:rFonts w:ascii="Arial" w:cs="Arial" w:eastAsia="Arial" w:hAnsi="Arial"/>
                <w:sz w:val="10"/>
                <w:szCs w:val="10"/>
                <w:b w:val="1"/>
                <w:bCs w:val="1"/>
                <w:color w:val="auto"/>
                <w:w w:val="97"/>
              </w:rPr>
              <w:t>(2,016,793)</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b w:val="1"/>
                <w:bCs w:val="1"/>
                <w:color w:val="auto"/>
                <w:w w:val="97"/>
              </w:rPr>
              <w:t>(1,136,123)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-43.7%</w:t>
            </w:r>
          </w:p>
        </w:tc>
      </w:tr>
      <w:tr>
        <w:trPr>
          <w:trHeight w:val="227"/>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w w:val="99"/>
              </w:rPr>
              <w:t>Net interest, similar income and expenses, after provision for</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4"/>
              </w:rPr>
              <w:t>2,125,185</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4"/>
              </w:rPr>
              <w:t>2,391,712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2,400,531</w:t>
            </w:r>
          </w:p>
        </w:tc>
        <w:tc>
          <w:tcPr>
            <w:tcW w:w="1200" w:type="dxa"/>
            <w:vAlign w:val="bottom"/>
          </w:tcPr>
          <w:p>
            <w:pPr>
              <w:jc w:val="center"/>
              <w:ind w:right="252"/>
              <w:spacing w:after="0"/>
              <w:rPr>
                <w:sz w:val="20"/>
                <w:szCs w:val="20"/>
                <w:color w:val="auto"/>
              </w:rPr>
            </w:pPr>
            <w:r>
              <w:rPr>
                <w:rFonts w:ascii="Arial" w:cs="Arial" w:eastAsia="Arial" w:hAnsi="Arial"/>
                <w:sz w:val="10"/>
                <w:szCs w:val="10"/>
                <w:b w:val="1"/>
                <w:bCs w:val="1"/>
                <w:color w:val="auto"/>
                <w:w w:val="96"/>
              </w:rPr>
              <w:t>0.4%</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91"/>
              </w:rPr>
              <w:t>13.0%</w:t>
            </w:r>
          </w:p>
        </w:tc>
        <w:tc>
          <w:tcPr>
            <w:tcW w:w="760" w:type="dxa"/>
            <w:vAlign w:val="bottom"/>
          </w:tcPr>
          <w:p>
            <w:pPr>
              <w:jc w:val="center"/>
              <w:ind w:left="132"/>
              <w:spacing w:after="0"/>
              <w:rPr>
                <w:sz w:val="20"/>
                <w:szCs w:val="20"/>
                <w:color w:val="auto"/>
              </w:rPr>
            </w:pPr>
            <w:r>
              <w:rPr>
                <w:rFonts w:ascii="Arial" w:cs="Arial" w:eastAsia="Arial" w:hAnsi="Arial"/>
                <w:sz w:val="10"/>
                <w:szCs w:val="10"/>
                <w:b w:val="1"/>
                <w:bCs w:val="1"/>
                <w:color w:val="auto"/>
                <w:w w:val="94"/>
              </w:rPr>
              <w:t>6,016,591</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b w:val="1"/>
                <w:bCs w:val="1"/>
                <w:color w:val="auto"/>
                <w:w w:val="94"/>
              </w:rPr>
              <w:t>7,114,616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18.2%</w:t>
            </w:r>
          </w:p>
        </w:tc>
      </w:tr>
      <w:tr>
        <w:trPr>
          <w:trHeight w:val="133"/>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credit losses on loan portfolio</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229"/>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Other income</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r>
      <w:tr>
        <w:trPr>
          <w:trHeight w:val="120"/>
        </w:trPr>
        <w:tc>
          <w:tcPr>
            <w:tcW w:w="2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Fee income</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804,059</w:t>
            </w:r>
          </w:p>
        </w:tc>
        <w:tc>
          <w:tcPr>
            <w:tcW w:w="920" w:type="dxa"/>
            <w:vAlign w:val="bottom"/>
          </w:tcPr>
          <w:p>
            <w:pPr>
              <w:jc w:val="center"/>
              <w:spacing w:after="0"/>
              <w:rPr>
                <w:sz w:val="20"/>
                <w:szCs w:val="20"/>
                <w:color w:val="auto"/>
              </w:rPr>
            </w:pPr>
            <w:r>
              <w:rPr>
                <w:rFonts w:ascii="Arial" w:cs="Arial" w:eastAsia="Arial" w:hAnsi="Arial"/>
                <w:sz w:val="10"/>
                <w:szCs w:val="10"/>
                <w:color w:val="auto"/>
                <w:w w:val="99"/>
              </w:rPr>
              <w:t>853,720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873,187</w:t>
            </w:r>
          </w:p>
        </w:tc>
        <w:tc>
          <w:tcPr>
            <w:tcW w:w="1200" w:type="dxa"/>
            <w:vAlign w:val="bottom"/>
          </w:tcPr>
          <w:p>
            <w:pPr>
              <w:jc w:val="center"/>
              <w:ind w:right="252"/>
              <w:spacing w:after="0"/>
              <w:rPr>
                <w:sz w:val="20"/>
                <w:szCs w:val="20"/>
                <w:color w:val="auto"/>
              </w:rPr>
            </w:pPr>
            <w:r>
              <w:rPr>
                <w:rFonts w:ascii="Arial" w:cs="Arial" w:eastAsia="Arial" w:hAnsi="Arial"/>
                <w:sz w:val="10"/>
                <w:szCs w:val="10"/>
                <w:color w:val="auto"/>
                <w:w w:val="96"/>
              </w:rPr>
              <w:t>2.3%</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6"/>
              </w:rPr>
              <w:t>8.6%</w:t>
            </w:r>
          </w:p>
        </w:tc>
        <w:tc>
          <w:tcPr>
            <w:tcW w:w="760" w:type="dxa"/>
            <w:vAlign w:val="bottom"/>
          </w:tcPr>
          <w:p>
            <w:pPr>
              <w:jc w:val="center"/>
              <w:ind w:left="132"/>
              <w:spacing w:after="0"/>
              <w:rPr>
                <w:sz w:val="20"/>
                <w:szCs w:val="20"/>
                <w:color w:val="auto"/>
              </w:rPr>
            </w:pPr>
            <w:r>
              <w:rPr>
                <w:rFonts w:ascii="Arial" w:cs="Arial" w:eastAsia="Arial" w:hAnsi="Arial"/>
                <w:sz w:val="10"/>
                <w:szCs w:val="10"/>
                <w:color w:val="auto"/>
                <w:w w:val="94"/>
              </w:rPr>
              <w:t>2,251,041</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4"/>
              </w:rPr>
              <w:t>2,558,334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13.7%</w:t>
            </w: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Net gain on foreign exchange transactions</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297,478</w:t>
            </w:r>
          </w:p>
        </w:tc>
        <w:tc>
          <w:tcPr>
            <w:tcW w:w="920" w:type="dxa"/>
            <w:vAlign w:val="bottom"/>
          </w:tcPr>
          <w:p>
            <w:pPr>
              <w:jc w:val="center"/>
              <w:spacing w:after="0"/>
              <w:rPr>
                <w:sz w:val="20"/>
                <w:szCs w:val="20"/>
                <w:color w:val="auto"/>
              </w:rPr>
            </w:pPr>
            <w:r>
              <w:rPr>
                <w:rFonts w:ascii="Arial" w:cs="Arial" w:eastAsia="Arial" w:hAnsi="Arial"/>
                <w:sz w:val="10"/>
                <w:szCs w:val="10"/>
                <w:color w:val="auto"/>
                <w:w w:val="99"/>
              </w:rPr>
              <w:t>347,077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347,104</w:t>
            </w:r>
          </w:p>
        </w:tc>
        <w:tc>
          <w:tcPr>
            <w:tcW w:w="1200" w:type="dxa"/>
            <w:vAlign w:val="bottom"/>
          </w:tcPr>
          <w:p>
            <w:pPr>
              <w:jc w:val="center"/>
              <w:ind w:right="252"/>
              <w:spacing w:after="0"/>
              <w:rPr>
                <w:sz w:val="20"/>
                <w:szCs w:val="20"/>
                <w:color w:val="auto"/>
              </w:rPr>
            </w:pPr>
            <w:r>
              <w:rPr>
                <w:rFonts w:ascii="Arial" w:cs="Arial" w:eastAsia="Arial" w:hAnsi="Arial"/>
                <w:sz w:val="10"/>
                <w:szCs w:val="10"/>
                <w:color w:val="auto"/>
                <w:w w:val="96"/>
              </w:rPr>
              <w:t>0.0%</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1"/>
              </w:rPr>
              <w:t>16.7%</w:t>
            </w:r>
          </w:p>
        </w:tc>
        <w:tc>
          <w:tcPr>
            <w:tcW w:w="760" w:type="dxa"/>
            <w:vAlign w:val="bottom"/>
          </w:tcPr>
          <w:p>
            <w:pPr>
              <w:jc w:val="center"/>
              <w:ind w:left="132"/>
              <w:spacing w:after="0"/>
              <w:rPr>
                <w:sz w:val="20"/>
                <w:szCs w:val="20"/>
                <w:color w:val="auto"/>
              </w:rPr>
            </w:pPr>
            <w:r>
              <w:rPr>
                <w:rFonts w:ascii="Arial" w:cs="Arial" w:eastAsia="Arial" w:hAnsi="Arial"/>
                <w:sz w:val="10"/>
                <w:szCs w:val="10"/>
                <w:color w:val="auto"/>
                <w:w w:val="93"/>
              </w:rPr>
              <w:t>845,918</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3"/>
              </w:rPr>
              <w:t>997,874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18.0%</w:t>
            </w: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Net gain on securities</w:t>
            </w:r>
          </w:p>
        </w:tc>
        <w:tc>
          <w:tcPr>
            <w:tcW w:w="920" w:type="dxa"/>
            <w:vAlign w:val="bottom"/>
          </w:tcPr>
          <w:p>
            <w:pPr>
              <w:jc w:val="center"/>
              <w:spacing w:after="0"/>
              <w:rPr>
                <w:sz w:val="20"/>
                <w:szCs w:val="20"/>
                <w:color w:val="auto"/>
              </w:rPr>
            </w:pPr>
            <w:r>
              <w:rPr>
                <w:rFonts w:ascii="Arial" w:cs="Arial" w:eastAsia="Arial" w:hAnsi="Arial"/>
                <w:sz w:val="10"/>
                <w:szCs w:val="10"/>
                <w:color w:val="auto"/>
                <w:w w:val="97"/>
              </w:rPr>
              <w:t>73,084</w:t>
            </w:r>
          </w:p>
        </w:tc>
        <w:tc>
          <w:tcPr>
            <w:tcW w:w="920" w:type="dxa"/>
            <w:vAlign w:val="bottom"/>
          </w:tcPr>
          <w:p>
            <w:pPr>
              <w:jc w:val="center"/>
              <w:spacing w:after="0"/>
              <w:rPr>
                <w:sz w:val="20"/>
                <w:szCs w:val="20"/>
                <w:color w:val="auto"/>
              </w:rPr>
            </w:pPr>
            <w:r>
              <w:rPr>
                <w:rFonts w:ascii="Arial" w:cs="Arial" w:eastAsia="Arial" w:hAnsi="Arial"/>
                <w:sz w:val="10"/>
                <w:szCs w:val="10"/>
                <w:color w:val="auto"/>
                <w:w w:val="99"/>
              </w:rPr>
              <w:t>215,491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117,414</w:t>
            </w:r>
          </w:p>
        </w:tc>
        <w:tc>
          <w:tcPr>
            <w:tcW w:w="1200" w:type="dxa"/>
            <w:vAlign w:val="bottom"/>
          </w:tcPr>
          <w:p>
            <w:pPr>
              <w:jc w:val="center"/>
              <w:ind w:right="252"/>
              <w:spacing w:after="0"/>
              <w:rPr>
                <w:sz w:val="20"/>
                <w:szCs w:val="20"/>
                <w:color w:val="auto"/>
              </w:rPr>
            </w:pPr>
            <w:r>
              <w:rPr>
                <w:rFonts w:ascii="Arial" w:cs="Arial" w:eastAsia="Arial" w:hAnsi="Arial"/>
                <w:sz w:val="10"/>
                <w:szCs w:val="10"/>
                <w:color w:val="auto"/>
                <w:w w:val="94"/>
              </w:rPr>
              <w:t>-45.5%</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1"/>
              </w:rPr>
              <w:t>60.7%</w:t>
            </w:r>
          </w:p>
        </w:tc>
        <w:tc>
          <w:tcPr>
            <w:tcW w:w="760" w:type="dxa"/>
            <w:vAlign w:val="bottom"/>
          </w:tcPr>
          <w:p>
            <w:pPr>
              <w:jc w:val="center"/>
              <w:ind w:left="132"/>
              <w:spacing w:after="0"/>
              <w:rPr>
                <w:sz w:val="20"/>
                <w:szCs w:val="20"/>
                <w:color w:val="auto"/>
              </w:rPr>
            </w:pPr>
            <w:r>
              <w:rPr>
                <w:rFonts w:ascii="Arial" w:cs="Arial" w:eastAsia="Arial" w:hAnsi="Arial"/>
                <w:sz w:val="10"/>
                <w:szCs w:val="10"/>
                <w:color w:val="auto"/>
                <w:w w:val="93"/>
              </w:rPr>
              <w:t>217,145</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3"/>
              </w:rPr>
              <w:t>433,302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99.5%</w:t>
            </w: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Net gain (loss) from associates</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3,078</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1,352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1,137</w:t>
            </w:r>
          </w:p>
        </w:tc>
        <w:tc>
          <w:tcPr>
            <w:tcW w:w="1200" w:type="dxa"/>
            <w:vAlign w:val="bottom"/>
          </w:tcPr>
          <w:p>
            <w:pPr>
              <w:jc w:val="center"/>
              <w:ind w:right="252"/>
              <w:spacing w:after="0"/>
              <w:rPr>
                <w:sz w:val="20"/>
                <w:szCs w:val="20"/>
                <w:color w:val="auto"/>
              </w:rPr>
            </w:pPr>
            <w:r>
              <w:rPr>
                <w:rFonts w:ascii="Arial" w:cs="Arial" w:eastAsia="Arial" w:hAnsi="Arial"/>
                <w:sz w:val="10"/>
                <w:szCs w:val="10"/>
                <w:color w:val="auto"/>
                <w:w w:val="94"/>
              </w:rPr>
              <w:t>-15.9%</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4"/>
              </w:rPr>
              <w:t>-63.1%</w:t>
            </w:r>
          </w:p>
        </w:tc>
        <w:tc>
          <w:tcPr>
            <w:tcW w:w="760" w:type="dxa"/>
            <w:vAlign w:val="bottom"/>
          </w:tcPr>
          <w:p>
            <w:pPr>
              <w:jc w:val="center"/>
              <w:ind w:left="112"/>
              <w:spacing w:after="0"/>
              <w:rPr>
                <w:sz w:val="20"/>
                <w:szCs w:val="20"/>
                <w:color w:val="auto"/>
              </w:rPr>
            </w:pPr>
            <w:r>
              <w:rPr>
                <w:rFonts w:ascii="Arial" w:cs="Arial" w:eastAsia="Arial" w:hAnsi="Arial"/>
                <w:sz w:val="10"/>
                <w:szCs w:val="10"/>
                <w:color w:val="auto"/>
                <w:w w:val="95"/>
              </w:rPr>
              <w:t>5,190</w:t>
            </w:r>
          </w:p>
        </w:tc>
        <w:tc>
          <w:tcPr>
            <w:tcW w:w="1140" w:type="dxa"/>
            <w:vAlign w:val="bottom"/>
            <w:tcBorders>
              <w:right w:val="single" w:sz="8" w:color="auto"/>
            </w:tcBorders>
          </w:tcPr>
          <w:p>
            <w:pPr>
              <w:jc w:val="center"/>
              <w:ind w:left="132"/>
              <w:spacing w:after="0"/>
              <w:rPr>
                <w:sz w:val="20"/>
                <w:szCs w:val="20"/>
                <w:color w:val="auto"/>
              </w:rPr>
            </w:pPr>
            <w:r>
              <w:rPr>
                <w:rFonts w:ascii="Arial" w:cs="Arial" w:eastAsia="Arial" w:hAnsi="Arial"/>
                <w:sz w:val="10"/>
                <w:szCs w:val="10"/>
                <w:color w:val="auto"/>
                <w:w w:val="95"/>
              </w:rPr>
              <w:t>3,998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-23.0%</w:t>
            </w: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Net gain on derivatives held for trading</w:t>
            </w:r>
          </w:p>
        </w:tc>
        <w:tc>
          <w:tcPr>
            <w:tcW w:w="920" w:type="dxa"/>
            <w:vAlign w:val="bottom"/>
          </w:tcPr>
          <w:p>
            <w:pPr>
              <w:jc w:val="center"/>
              <w:spacing w:after="0"/>
              <w:rPr>
                <w:sz w:val="20"/>
                <w:szCs w:val="20"/>
                <w:color w:val="auto"/>
              </w:rPr>
            </w:pPr>
            <w:r>
              <w:rPr>
                <w:rFonts w:ascii="Arial" w:cs="Arial" w:eastAsia="Arial" w:hAnsi="Arial"/>
                <w:sz w:val="10"/>
                <w:szCs w:val="10"/>
                <w:color w:val="auto"/>
                <w:w w:val="97"/>
              </w:rPr>
              <w:t>13,899</w:t>
            </w:r>
          </w:p>
        </w:tc>
        <w:tc>
          <w:tcPr>
            <w:tcW w:w="920" w:type="dxa"/>
            <w:vAlign w:val="bottom"/>
          </w:tcPr>
          <w:p>
            <w:pPr>
              <w:jc w:val="center"/>
              <w:spacing w:after="0"/>
              <w:rPr>
                <w:sz w:val="20"/>
                <w:szCs w:val="20"/>
                <w:color w:val="auto"/>
              </w:rPr>
            </w:pPr>
            <w:r>
              <w:rPr>
                <w:rFonts w:ascii="Arial" w:cs="Arial" w:eastAsia="Arial" w:hAnsi="Arial"/>
                <w:sz w:val="10"/>
                <w:szCs w:val="10"/>
                <w:color w:val="auto"/>
                <w:w w:val="91"/>
              </w:rPr>
              <w:t>35,945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36,289</w:t>
            </w:r>
          </w:p>
        </w:tc>
        <w:tc>
          <w:tcPr>
            <w:tcW w:w="1200" w:type="dxa"/>
            <w:vAlign w:val="bottom"/>
          </w:tcPr>
          <w:p>
            <w:pPr>
              <w:jc w:val="center"/>
              <w:ind w:right="252"/>
              <w:spacing w:after="0"/>
              <w:rPr>
                <w:sz w:val="20"/>
                <w:szCs w:val="20"/>
                <w:color w:val="auto"/>
              </w:rPr>
            </w:pPr>
            <w:r>
              <w:rPr>
                <w:rFonts w:ascii="Arial" w:cs="Arial" w:eastAsia="Arial" w:hAnsi="Arial"/>
                <w:sz w:val="10"/>
                <w:szCs w:val="10"/>
                <w:color w:val="auto"/>
                <w:w w:val="96"/>
              </w:rPr>
              <w:t>1.0%</w:t>
            </w:r>
          </w:p>
        </w:tc>
        <w:tc>
          <w:tcPr>
            <w:tcW w:w="680" w:type="dxa"/>
            <w:vAlign w:val="bottom"/>
            <w:tcBorders>
              <w:right w:val="single" w:sz="8" w:color="auto"/>
            </w:tcBorders>
          </w:tcPr>
          <w:p>
            <w:pPr>
              <w:jc w:val="center"/>
              <w:ind w:right="232"/>
              <w:spacing w:after="0"/>
              <w:rPr>
                <w:sz w:val="20"/>
                <w:szCs w:val="20"/>
                <w:color w:val="auto"/>
              </w:rPr>
            </w:pPr>
            <w:r>
              <w:rPr>
                <w:rFonts w:ascii="Arial" w:cs="Arial" w:eastAsia="Arial" w:hAnsi="Arial"/>
                <w:sz w:val="10"/>
                <w:szCs w:val="10"/>
                <w:color w:val="auto"/>
                <w:w w:val="94"/>
              </w:rPr>
              <w:t>161.1%</w:t>
            </w:r>
          </w:p>
        </w:tc>
        <w:tc>
          <w:tcPr>
            <w:tcW w:w="760" w:type="dxa"/>
            <w:vAlign w:val="bottom"/>
          </w:tcPr>
          <w:p>
            <w:pPr>
              <w:jc w:val="center"/>
              <w:ind w:left="132"/>
              <w:spacing w:after="0"/>
              <w:rPr>
                <w:sz w:val="20"/>
                <w:szCs w:val="20"/>
                <w:color w:val="auto"/>
              </w:rPr>
            </w:pPr>
            <w:r>
              <w:rPr>
                <w:rFonts w:ascii="Arial" w:cs="Arial" w:eastAsia="Arial" w:hAnsi="Arial"/>
                <w:sz w:val="10"/>
                <w:szCs w:val="10"/>
                <w:color w:val="auto"/>
                <w:w w:val="97"/>
              </w:rPr>
              <w:t>49,775</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7"/>
              </w:rPr>
              <w:t>85,986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72.7%</w:t>
            </w:r>
          </w:p>
        </w:tc>
      </w:tr>
      <w:tr>
        <w:trPr>
          <w:trHeight w:val="11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Net loss (gain) from exchange differences</w:t>
            </w:r>
          </w:p>
        </w:tc>
        <w:tc>
          <w:tcPr>
            <w:tcW w:w="920" w:type="dxa"/>
            <w:vAlign w:val="bottom"/>
          </w:tcPr>
          <w:p>
            <w:pPr>
              <w:jc w:val="center"/>
              <w:spacing w:after="0"/>
              <w:rPr>
                <w:sz w:val="20"/>
                <w:szCs w:val="20"/>
                <w:color w:val="auto"/>
              </w:rPr>
            </w:pPr>
            <w:r>
              <w:rPr>
                <w:rFonts w:ascii="Arial" w:cs="Arial" w:eastAsia="Arial" w:hAnsi="Arial"/>
                <w:sz w:val="10"/>
                <w:szCs w:val="10"/>
                <w:color w:val="auto"/>
                <w:w w:val="96"/>
              </w:rPr>
              <w:t>(10,324)</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1,622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(4,779)</w:t>
            </w:r>
          </w:p>
        </w:tc>
        <w:tc>
          <w:tcPr>
            <w:tcW w:w="1200" w:type="dxa"/>
            <w:vAlign w:val="bottom"/>
          </w:tcPr>
          <w:p>
            <w:pPr>
              <w:jc w:val="center"/>
              <w:ind w:right="232"/>
              <w:spacing w:after="0"/>
              <w:rPr>
                <w:sz w:val="20"/>
                <w:szCs w:val="20"/>
                <w:color w:val="auto"/>
              </w:rPr>
            </w:pPr>
            <w:r>
              <w:rPr>
                <w:rFonts w:ascii="Arial" w:cs="Arial" w:eastAsia="Arial" w:hAnsi="Arial"/>
                <w:sz w:val="10"/>
                <w:szCs w:val="10"/>
                <w:color w:val="auto"/>
                <w:w w:val="95"/>
              </w:rPr>
              <w:t>n.a.</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4"/>
              </w:rPr>
              <w:t>-53.7%</w:t>
            </w:r>
          </w:p>
        </w:tc>
        <w:tc>
          <w:tcPr>
            <w:tcW w:w="760" w:type="dxa"/>
            <w:vAlign w:val="bottom"/>
          </w:tcPr>
          <w:p>
            <w:pPr>
              <w:jc w:val="center"/>
              <w:ind w:left="112"/>
              <w:spacing w:after="0"/>
              <w:rPr>
                <w:sz w:val="20"/>
                <w:szCs w:val="20"/>
                <w:color w:val="auto"/>
              </w:rPr>
            </w:pPr>
            <w:r>
              <w:rPr>
                <w:rFonts w:ascii="Arial" w:cs="Arial" w:eastAsia="Arial" w:hAnsi="Arial"/>
                <w:sz w:val="10"/>
                <w:szCs w:val="10"/>
                <w:color w:val="auto"/>
                <w:w w:val="95"/>
              </w:rPr>
              <w:t>4,773</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4"/>
              </w:rPr>
              <w:t>(1,608)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n.a.</w:t>
            </w: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Others</w:t>
            </w:r>
          </w:p>
        </w:tc>
        <w:tc>
          <w:tcPr>
            <w:tcW w:w="920" w:type="dxa"/>
            <w:vAlign w:val="bottom"/>
          </w:tcPr>
          <w:p>
            <w:pPr>
              <w:jc w:val="center"/>
              <w:spacing w:after="0"/>
              <w:rPr>
                <w:sz w:val="20"/>
                <w:szCs w:val="20"/>
                <w:color w:val="auto"/>
              </w:rPr>
            </w:pPr>
            <w:r>
              <w:rPr>
                <w:rFonts w:ascii="Arial" w:cs="Arial" w:eastAsia="Arial" w:hAnsi="Arial"/>
                <w:sz w:val="10"/>
                <w:szCs w:val="10"/>
                <w:color w:val="auto"/>
                <w:w w:val="97"/>
              </w:rPr>
              <w:t>18,406</w:t>
            </w:r>
          </w:p>
        </w:tc>
        <w:tc>
          <w:tcPr>
            <w:tcW w:w="920" w:type="dxa"/>
            <w:vAlign w:val="bottom"/>
          </w:tcPr>
          <w:p>
            <w:pPr>
              <w:jc w:val="center"/>
              <w:spacing w:after="0"/>
              <w:rPr>
                <w:sz w:val="20"/>
                <w:szCs w:val="20"/>
                <w:color w:val="auto"/>
              </w:rPr>
            </w:pPr>
            <w:r>
              <w:rPr>
                <w:rFonts w:ascii="Arial" w:cs="Arial" w:eastAsia="Arial" w:hAnsi="Arial"/>
                <w:sz w:val="10"/>
                <w:szCs w:val="10"/>
                <w:color w:val="auto"/>
                <w:w w:val="91"/>
              </w:rPr>
              <w:t>27,968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27,933</w:t>
            </w:r>
          </w:p>
        </w:tc>
        <w:tc>
          <w:tcPr>
            <w:tcW w:w="1200" w:type="dxa"/>
            <w:vAlign w:val="bottom"/>
          </w:tcPr>
          <w:p>
            <w:pPr>
              <w:jc w:val="center"/>
              <w:ind w:right="232"/>
              <w:spacing w:after="0"/>
              <w:rPr>
                <w:sz w:val="20"/>
                <w:szCs w:val="20"/>
                <w:color w:val="auto"/>
              </w:rPr>
            </w:pPr>
            <w:r>
              <w:rPr>
                <w:rFonts w:ascii="Arial" w:cs="Arial" w:eastAsia="Arial" w:hAnsi="Arial"/>
                <w:sz w:val="10"/>
                <w:szCs w:val="10"/>
                <w:color w:val="auto"/>
                <w:w w:val="91"/>
              </w:rPr>
              <w:t>-0.1%</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1"/>
              </w:rPr>
              <w:t>51.8%</w:t>
            </w:r>
          </w:p>
        </w:tc>
        <w:tc>
          <w:tcPr>
            <w:tcW w:w="760" w:type="dxa"/>
            <w:vAlign w:val="bottom"/>
          </w:tcPr>
          <w:p>
            <w:pPr>
              <w:jc w:val="center"/>
              <w:ind w:left="132"/>
              <w:spacing w:after="0"/>
              <w:rPr>
                <w:sz w:val="20"/>
                <w:szCs w:val="20"/>
                <w:color w:val="auto"/>
              </w:rPr>
            </w:pPr>
            <w:r>
              <w:rPr>
                <w:rFonts w:ascii="Arial" w:cs="Arial" w:eastAsia="Arial" w:hAnsi="Arial"/>
                <w:sz w:val="10"/>
                <w:szCs w:val="10"/>
                <w:b w:val="1"/>
                <w:bCs w:val="1"/>
                <w:color w:val="auto"/>
                <w:w w:val="93"/>
              </w:rPr>
              <w:t>135,047</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b w:val="1"/>
                <w:bCs w:val="1"/>
                <w:color w:val="auto"/>
                <w:w w:val="97"/>
              </w:rPr>
              <w:t>79,081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-41.4%</w:t>
            </w:r>
          </w:p>
        </w:tc>
      </w:tr>
      <w:tr>
        <w:trPr>
          <w:trHeight w:val="133"/>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Total other income</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4"/>
              </w:rPr>
              <w:t>1,199,680</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4"/>
              </w:rPr>
              <w:t>1,483,175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1,398,285</w:t>
            </w:r>
          </w:p>
        </w:tc>
        <w:tc>
          <w:tcPr>
            <w:tcW w:w="1200" w:type="dxa"/>
            <w:vAlign w:val="bottom"/>
          </w:tcPr>
          <w:p>
            <w:pPr>
              <w:jc w:val="center"/>
              <w:ind w:right="232"/>
              <w:spacing w:after="0"/>
              <w:rPr>
                <w:sz w:val="20"/>
                <w:szCs w:val="20"/>
                <w:color w:val="auto"/>
              </w:rPr>
            </w:pPr>
            <w:r>
              <w:rPr>
                <w:rFonts w:ascii="Arial" w:cs="Arial" w:eastAsia="Arial" w:hAnsi="Arial"/>
                <w:sz w:val="10"/>
                <w:szCs w:val="10"/>
                <w:b w:val="1"/>
                <w:bCs w:val="1"/>
                <w:color w:val="auto"/>
                <w:w w:val="91"/>
              </w:rPr>
              <w:t>-5.7%</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91"/>
              </w:rPr>
              <w:t>16.6%</w:t>
            </w:r>
          </w:p>
        </w:tc>
        <w:tc>
          <w:tcPr>
            <w:tcW w:w="760" w:type="dxa"/>
            <w:vAlign w:val="bottom"/>
          </w:tcPr>
          <w:p>
            <w:pPr>
              <w:jc w:val="center"/>
              <w:ind w:left="132"/>
              <w:spacing w:after="0"/>
              <w:rPr>
                <w:sz w:val="20"/>
                <w:szCs w:val="20"/>
                <w:color w:val="auto"/>
              </w:rPr>
            </w:pPr>
            <w:r>
              <w:rPr>
                <w:rFonts w:ascii="Arial" w:cs="Arial" w:eastAsia="Arial" w:hAnsi="Arial"/>
                <w:sz w:val="10"/>
                <w:szCs w:val="10"/>
                <w:color w:val="auto"/>
                <w:w w:val="94"/>
              </w:rPr>
              <w:t>3,508,889</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4"/>
              </w:rPr>
              <w:t>4,156,967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18.5%</w:t>
            </w:r>
          </w:p>
        </w:tc>
      </w:tr>
      <w:tr>
        <w:trPr>
          <w:trHeight w:val="229"/>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Total expenses</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r>
      <w:tr>
        <w:trPr>
          <w:trHeight w:val="120"/>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Salaries and employee benefits</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(640,392)</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(721,895)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(728,954)</w:t>
            </w:r>
          </w:p>
        </w:tc>
        <w:tc>
          <w:tcPr>
            <w:tcW w:w="1200" w:type="dxa"/>
            <w:vAlign w:val="bottom"/>
          </w:tcPr>
          <w:p>
            <w:pPr>
              <w:jc w:val="center"/>
              <w:ind w:right="252"/>
              <w:spacing w:after="0"/>
              <w:rPr>
                <w:sz w:val="20"/>
                <w:szCs w:val="20"/>
                <w:color w:val="auto"/>
              </w:rPr>
            </w:pPr>
            <w:r>
              <w:rPr>
                <w:rFonts w:ascii="Arial" w:cs="Arial" w:eastAsia="Arial" w:hAnsi="Arial"/>
                <w:sz w:val="10"/>
                <w:szCs w:val="10"/>
                <w:color w:val="auto"/>
                <w:w w:val="96"/>
              </w:rPr>
              <w:t>1.0%</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1"/>
              </w:rPr>
              <w:t>13.8%</w:t>
            </w:r>
          </w:p>
        </w:tc>
        <w:tc>
          <w:tcPr>
            <w:tcW w:w="760" w:type="dxa"/>
            <w:vAlign w:val="bottom"/>
          </w:tcPr>
          <w:p>
            <w:pPr>
              <w:jc w:val="center"/>
              <w:ind w:left="132"/>
              <w:spacing w:after="0"/>
              <w:rPr>
                <w:sz w:val="20"/>
                <w:szCs w:val="20"/>
                <w:color w:val="auto"/>
              </w:rPr>
            </w:pPr>
            <w:r>
              <w:rPr>
                <w:rFonts w:ascii="Arial" w:cs="Arial" w:eastAsia="Arial" w:hAnsi="Arial"/>
                <w:sz w:val="10"/>
                <w:szCs w:val="10"/>
                <w:color w:val="auto"/>
                <w:w w:val="97"/>
              </w:rPr>
              <w:t>(1,852,662)</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7"/>
              </w:rPr>
              <w:t>(2,196,784)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18.6%</w:t>
            </w:r>
          </w:p>
        </w:tc>
      </w:tr>
      <w:tr>
        <w:trPr>
          <w:trHeight w:val="107"/>
        </w:trPr>
        <w:tc>
          <w:tcPr>
            <w:tcW w:w="2960" w:type="dxa"/>
            <w:vAlign w:val="bottom"/>
            <w:tcBorders>
              <w:left w:val="single" w:sz="8" w:color="auto"/>
              <w:right w:val="single" w:sz="8" w:color="auto"/>
            </w:tcBorders>
          </w:tcPr>
          <w:p>
            <w:pPr>
              <w:ind w:left="160"/>
              <w:spacing w:after="0" w:line="107" w:lineRule="exact"/>
              <w:rPr>
                <w:sz w:val="20"/>
                <w:szCs w:val="20"/>
                <w:color w:val="auto"/>
              </w:rPr>
            </w:pPr>
            <w:r>
              <w:rPr>
                <w:rFonts w:ascii="Arial" w:cs="Arial" w:eastAsia="Arial" w:hAnsi="Arial"/>
                <w:sz w:val="10"/>
                <w:szCs w:val="10"/>
                <w:color w:val="auto"/>
              </w:rPr>
              <w:t>Administrative expenses</w:t>
            </w:r>
          </w:p>
        </w:tc>
        <w:tc>
          <w:tcPr>
            <w:tcW w:w="920" w:type="dxa"/>
            <w:vAlign w:val="bottom"/>
          </w:tcPr>
          <w:p>
            <w:pPr>
              <w:jc w:val="center"/>
              <w:spacing w:after="0" w:line="107" w:lineRule="exact"/>
              <w:rPr>
                <w:sz w:val="20"/>
                <w:szCs w:val="20"/>
                <w:color w:val="auto"/>
              </w:rPr>
            </w:pPr>
            <w:r>
              <w:rPr>
                <w:rFonts w:ascii="Arial" w:cs="Arial" w:eastAsia="Arial" w:hAnsi="Arial"/>
                <w:sz w:val="10"/>
                <w:szCs w:val="10"/>
                <w:color w:val="auto"/>
                <w:w w:val="98"/>
              </w:rPr>
              <w:t>(644,392)</w:t>
            </w:r>
          </w:p>
        </w:tc>
        <w:tc>
          <w:tcPr>
            <w:tcW w:w="920" w:type="dxa"/>
            <w:vAlign w:val="bottom"/>
          </w:tcPr>
          <w:p>
            <w:pPr>
              <w:jc w:val="center"/>
              <w:spacing w:after="0" w:line="107" w:lineRule="exact"/>
              <w:rPr>
                <w:sz w:val="20"/>
                <w:szCs w:val="20"/>
                <w:color w:val="auto"/>
              </w:rPr>
            </w:pPr>
            <w:r>
              <w:rPr>
                <w:rFonts w:ascii="Arial" w:cs="Arial" w:eastAsia="Arial" w:hAnsi="Arial"/>
                <w:sz w:val="10"/>
                <w:szCs w:val="10"/>
                <w:color w:val="auto"/>
                <w:w w:val="93"/>
              </w:rPr>
              <w:t>(655,997)</w:t>
            </w:r>
          </w:p>
        </w:tc>
        <w:tc>
          <w:tcPr>
            <w:tcW w:w="9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0"/>
                <w:szCs w:val="10"/>
                <w:color w:val="auto"/>
                <w:w w:val="93"/>
              </w:rPr>
              <w:t>(729,297)</w:t>
            </w:r>
          </w:p>
        </w:tc>
        <w:tc>
          <w:tcPr>
            <w:tcW w:w="1200" w:type="dxa"/>
            <w:vAlign w:val="bottom"/>
          </w:tcPr>
          <w:p>
            <w:pPr>
              <w:jc w:val="center"/>
              <w:ind w:right="232"/>
              <w:spacing w:after="0" w:line="107" w:lineRule="exact"/>
              <w:rPr>
                <w:sz w:val="20"/>
                <w:szCs w:val="20"/>
                <w:color w:val="auto"/>
              </w:rPr>
            </w:pPr>
            <w:r>
              <w:rPr>
                <w:rFonts w:ascii="Arial" w:cs="Arial" w:eastAsia="Arial" w:hAnsi="Arial"/>
                <w:sz w:val="10"/>
                <w:szCs w:val="10"/>
                <w:color w:val="auto"/>
                <w:w w:val="98"/>
              </w:rPr>
              <w:t>11.2%</w:t>
            </w:r>
          </w:p>
        </w:tc>
        <w:tc>
          <w:tcPr>
            <w:tcW w:w="680" w:type="dxa"/>
            <w:vAlign w:val="bottom"/>
            <w:tcBorders>
              <w:right w:val="single" w:sz="8" w:color="auto"/>
            </w:tcBorders>
          </w:tcPr>
          <w:p>
            <w:pPr>
              <w:jc w:val="center"/>
              <w:ind w:right="252"/>
              <w:spacing w:after="0" w:line="107" w:lineRule="exact"/>
              <w:rPr>
                <w:sz w:val="20"/>
                <w:szCs w:val="20"/>
                <w:color w:val="auto"/>
              </w:rPr>
            </w:pPr>
            <w:r>
              <w:rPr>
                <w:rFonts w:ascii="Arial" w:cs="Arial" w:eastAsia="Arial" w:hAnsi="Arial"/>
                <w:sz w:val="10"/>
                <w:szCs w:val="10"/>
                <w:color w:val="auto"/>
                <w:w w:val="91"/>
              </w:rPr>
              <w:t>13.2%</w:t>
            </w:r>
          </w:p>
        </w:tc>
        <w:tc>
          <w:tcPr>
            <w:tcW w:w="760" w:type="dxa"/>
            <w:vAlign w:val="bottom"/>
          </w:tcPr>
          <w:p>
            <w:pPr>
              <w:jc w:val="center"/>
              <w:ind w:left="132"/>
              <w:spacing w:after="0" w:line="107" w:lineRule="exact"/>
              <w:rPr>
                <w:sz w:val="20"/>
                <w:szCs w:val="20"/>
                <w:color w:val="auto"/>
              </w:rPr>
            </w:pPr>
            <w:r>
              <w:rPr>
                <w:rFonts w:ascii="Arial" w:cs="Arial" w:eastAsia="Arial" w:hAnsi="Arial"/>
                <w:sz w:val="10"/>
                <w:szCs w:val="10"/>
                <w:color w:val="auto"/>
                <w:w w:val="97"/>
              </w:rPr>
              <w:t>(1,837,459)</w:t>
            </w:r>
          </w:p>
        </w:tc>
        <w:tc>
          <w:tcPr>
            <w:tcW w:w="1140" w:type="dxa"/>
            <w:vAlign w:val="bottom"/>
            <w:tcBorders>
              <w:right w:val="single" w:sz="8" w:color="auto"/>
            </w:tcBorders>
          </w:tcPr>
          <w:p>
            <w:pPr>
              <w:jc w:val="center"/>
              <w:ind w:left="112"/>
              <w:spacing w:after="0" w:line="107" w:lineRule="exact"/>
              <w:rPr>
                <w:sz w:val="20"/>
                <w:szCs w:val="20"/>
                <w:color w:val="auto"/>
              </w:rPr>
            </w:pPr>
            <w:r>
              <w:rPr>
                <w:rFonts w:ascii="Arial" w:cs="Arial" w:eastAsia="Arial" w:hAnsi="Arial"/>
                <w:sz w:val="10"/>
                <w:szCs w:val="10"/>
                <w:color w:val="auto"/>
                <w:w w:val="97"/>
              </w:rPr>
              <w:t>(1,947,733)</w:t>
            </w:r>
          </w:p>
        </w:tc>
        <w:tc>
          <w:tcPr>
            <w:tcW w:w="9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0"/>
                <w:szCs w:val="10"/>
                <w:color w:val="auto"/>
                <w:w w:val="96"/>
              </w:rPr>
              <w:t>6.0%</w:t>
            </w:r>
          </w:p>
        </w:tc>
      </w:tr>
      <w:tr>
        <w:trPr>
          <w:trHeight w:val="131"/>
        </w:trPr>
        <w:tc>
          <w:tcPr>
            <w:tcW w:w="296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9"/>
                <w:szCs w:val="9"/>
                <w:color w:val="auto"/>
              </w:rPr>
              <w:t xml:space="preserve">Depreciation and amortization </w:t>
            </w:r>
            <w:r>
              <w:rPr>
                <w:rFonts w:ascii="Arial" w:cs="Arial" w:eastAsia="Arial" w:hAnsi="Arial"/>
                <w:sz w:val="15"/>
                <w:szCs w:val="15"/>
                <w:color w:val="auto"/>
                <w:vertAlign w:val="superscript"/>
              </w:rPr>
              <w:t>(2)</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(123,740)</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(152,670)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(158,769)</w:t>
            </w:r>
          </w:p>
        </w:tc>
        <w:tc>
          <w:tcPr>
            <w:tcW w:w="1200" w:type="dxa"/>
            <w:vAlign w:val="bottom"/>
          </w:tcPr>
          <w:p>
            <w:pPr>
              <w:jc w:val="center"/>
              <w:ind w:right="252"/>
              <w:spacing w:after="0"/>
              <w:rPr>
                <w:sz w:val="20"/>
                <w:szCs w:val="20"/>
                <w:color w:val="auto"/>
              </w:rPr>
            </w:pPr>
            <w:r>
              <w:rPr>
                <w:rFonts w:ascii="Arial" w:cs="Arial" w:eastAsia="Arial" w:hAnsi="Arial"/>
                <w:sz w:val="10"/>
                <w:szCs w:val="10"/>
                <w:color w:val="auto"/>
                <w:w w:val="96"/>
              </w:rPr>
              <w:t>4.0%</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1"/>
              </w:rPr>
              <w:t>28.3%</w:t>
            </w:r>
          </w:p>
        </w:tc>
        <w:tc>
          <w:tcPr>
            <w:tcW w:w="760" w:type="dxa"/>
            <w:vAlign w:val="bottom"/>
          </w:tcPr>
          <w:p>
            <w:pPr>
              <w:jc w:val="center"/>
              <w:ind w:left="132"/>
              <w:spacing w:after="0"/>
              <w:rPr>
                <w:sz w:val="20"/>
                <w:szCs w:val="20"/>
                <w:color w:val="auto"/>
              </w:rPr>
            </w:pPr>
            <w:r>
              <w:rPr>
                <w:rFonts w:ascii="Arial" w:cs="Arial" w:eastAsia="Arial" w:hAnsi="Arial"/>
                <w:sz w:val="10"/>
                <w:szCs w:val="10"/>
                <w:color w:val="auto"/>
                <w:w w:val="98"/>
              </w:rPr>
              <w:t>(359,984)</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8"/>
              </w:rPr>
              <w:t>(456,581)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26.8%</w:t>
            </w:r>
          </w:p>
        </w:tc>
      </w:tr>
      <w:tr>
        <w:trPr>
          <w:trHeight w:val="120"/>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Other expenses</w:t>
            </w:r>
          </w:p>
        </w:tc>
        <w:tc>
          <w:tcPr>
            <w:tcW w:w="920" w:type="dxa"/>
            <w:vAlign w:val="bottom"/>
          </w:tcPr>
          <w:p>
            <w:pPr>
              <w:jc w:val="center"/>
              <w:spacing w:after="0"/>
              <w:rPr>
                <w:sz w:val="20"/>
                <w:szCs w:val="20"/>
                <w:color w:val="auto"/>
              </w:rPr>
            </w:pPr>
            <w:r>
              <w:rPr>
                <w:rFonts w:ascii="Arial" w:cs="Arial" w:eastAsia="Arial" w:hAnsi="Arial"/>
                <w:sz w:val="10"/>
                <w:szCs w:val="10"/>
                <w:color w:val="auto"/>
                <w:w w:val="96"/>
              </w:rPr>
              <w:t>(57,047)</w:t>
            </w:r>
          </w:p>
        </w:tc>
        <w:tc>
          <w:tcPr>
            <w:tcW w:w="920" w:type="dxa"/>
            <w:vAlign w:val="bottom"/>
          </w:tcPr>
          <w:p>
            <w:pPr>
              <w:jc w:val="center"/>
              <w:spacing w:after="0"/>
              <w:rPr>
                <w:sz w:val="20"/>
                <w:szCs w:val="20"/>
                <w:color w:val="auto"/>
              </w:rPr>
            </w:pPr>
            <w:r>
              <w:rPr>
                <w:rFonts w:ascii="Arial" w:cs="Arial" w:eastAsia="Arial" w:hAnsi="Arial"/>
                <w:sz w:val="10"/>
                <w:szCs w:val="10"/>
                <w:color w:val="auto"/>
                <w:w w:val="96"/>
              </w:rPr>
              <w:t>(51,591)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(49,126)</w:t>
            </w:r>
          </w:p>
        </w:tc>
        <w:tc>
          <w:tcPr>
            <w:tcW w:w="1200" w:type="dxa"/>
            <w:vAlign w:val="bottom"/>
          </w:tcPr>
          <w:p>
            <w:pPr>
              <w:jc w:val="center"/>
              <w:ind w:right="232"/>
              <w:spacing w:after="0"/>
              <w:rPr>
                <w:sz w:val="20"/>
                <w:szCs w:val="20"/>
                <w:color w:val="auto"/>
              </w:rPr>
            </w:pPr>
            <w:r>
              <w:rPr>
                <w:rFonts w:ascii="Arial" w:cs="Arial" w:eastAsia="Arial" w:hAnsi="Arial"/>
                <w:sz w:val="10"/>
                <w:szCs w:val="10"/>
                <w:color w:val="auto"/>
                <w:w w:val="91"/>
              </w:rPr>
              <w:t>-4.8%</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4"/>
              </w:rPr>
              <w:t>-13.9%</w:t>
            </w:r>
          </w:p>
        </w:tc>
        <w:tc>
          <w:tcPr>
            <w:tcW w:w="760" w:type="dxa"/>
            <w:vAlign w:val="bottom"/>
          </w:tcPr>
          <w:p>
            <w:pPr>
              <w:jc w:val="center"/>
              <w:ind w:left="132"/>
              <w:spacing w:after="0"/>
              <w:rPr>
                <w:sz w:val="20"/>
                <w:szCs w:val="20"/>
                <w:color w:val="auto"/>
              </w:rPr>
            </w:pPr>
            <w:r>
              <w:rPr>
                <w:rFonts w:ascii="Arial" w:cs="Arial" w:eastAsia="Arial" w:hAnsi="Arial"/>
                <w:sz w:val="10"/>
                <w:szCs w:val="10"/>
                <w:b w:val="1"/>
                <w:bCs w:val="1"/>
                <w:color w:val="auto"/>
                <w:w w:val="98"/>
              </w:rPr>
              <w:t>(160,644)</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b w:val="1"/>
                <w:bCs w:val="1"/>
                <w:color w:val="auto"/>
                <w:w w:val="98"/>
              </w:rPr>
              <w:t>(149,070)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-7.2%</w:t>
            </w:r>
          </w:p>
        </w:tc>
      </w:tr>
      <w:tr>
        <w:trPr>
          <w:trHeight w:val="133"/>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Total expenses</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7"/>
              </w:rPr>
              <w:t>(1,465,571)</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3"/>
              </w:rPr>
              <w:t>(1,582,153)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(1,666,146)</w:t>
            </w:r>
          </w:p>
        </w:tc>
        <w:tc>
          <w:tcPr>
            <w:tcW w:w="1200" w:type="dxa"/>
            <w:vAlign w:val="bottom"/>
          </w:tcPr>
          <w:p>
            <w:pPr>
              <w:jc w:val="center"/>
              <w:ind w:right="252"/>
              <w:spacing w:after="0"/>
              <w:rPr>
                <w:sz w:val="20"/>
                <w:szCs w:val="20"/>
                <w:color w:val="auto"/>
              </w:rPr>
            </w:pPr>
            <w:r>
              <w:rPr>
                <w:rFonts w:ascii="Arial" w:cs="Arial" w:eastAsia="Arial" w:hAnsi="Arial"/>
                <w:sz w:val="10"/>
                <w:szCs w:val="10"/>
                <w:b w:val="1"/>
                <w:bCs w:val="1"/>
                <w:color w:val="auto"/>
                <w:w w:val="96"/>
              </w:rPr>
              <w:t>5.3%</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91"/>
              </w:rPr>
              <w:t>13.7%</w:t>
            </w:r>
          </w:p>
        </w:tc>
        <w:tc>
          <w:tcPr>
            <w:tcW w:w="760" w:type="dxa"/>
            <w:vAlign w:val="bottom"/>
          </w:tcPr>
          <w:p>
            <w:pPr>
              <w:jc w:val="center"/>
              <w:ind w:left="132"/>
              <w:spacing w:after="0"/>
              <w:rPr>
                <w:sz w:val="20"/>
                <w:szCs w:val="20"/>
                <w:color w:val="auto"/>
              </w:rPr>
            </w:pPr>
            <w:r>
              <w:rPr>
                <w:rFonts w:ascii="Arial" w:cs="Arial" w:eastAsia="Arial" w:hAnsi="Arial"/>
                <w:sz w:val="10"/>
                <w:szCs w:val="10"/>
                <w:b w:val="1"/>
                <w:bCs w:val="1"/>
                <w:color w:val="auto"/>
                <w:w w:val="97"/>
              </w:rPr>
              <w:t>(4,210,749)</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b w:val="1"/>
                <w:bCs w:val="1"/>
                <w:color w:val="auto"/>
                <w:w w:val="97"/>
              </w:rPr>
              <w:t>(4,750,168)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12.8%</w:t>
            </w:r>
          </w:p>
        </w:tc>
      </w:tr>
      <w:tr>
        <w:trPr>
          <w:trHeight w:val="229"/>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Profit before income tax</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4"/>
              </w:rPr>
              <w:t>1,859,294</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4"/>
              </w:rPr>
              <w:t>2,292,734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2,132,670</w:t>
            </w:r>
          </w:p>
        </w:tc>
        <w:tc>
          <w:tcPr>
            <w:tcW w:w="1200" w:type="dxa"/>
            <w:vAlign w:val="bottom"/>
          </w:tcPr>
          <w:p>
            <w:pPr>
              <w:jc w:val="center"/>
              <w:ind w:right="232"/>
              <w:spacing w:after="0"/>
              <w:rPr>
                <w:sz w:val="20"/>
                <w:szCs w:val="20"/>
                <w:color w:val="auto"/>
              </w:rPr>
            </w:pPr>
            <w:r>
              <w:rPr>
                <w:rFonts w:ascii="Arial" w:cs="Arial" w:eastAsia="Arial" w:hAnsi="Arial"/>
                <w:sz w:val="10"/>
                <w:szCs w:val="10"/>
                <w:b w:val="1"/>
                <w:bCs w:val="1"/>
                <w:color w:val="auto"/>
                <w:w w:val="91"/>
              </w:rPr>
              <w:t>-7.0%</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91"/>
              </w:rPr>
              <w:t>14.7%</w:t>
            </w:r>
          </w:p>
        </w:tc>
        <w:tc>
          <w:tcPr>
            <w:tcW w:w="760" w:type="dxa"/>
            <w:vAlign w:val="bottom"/>
          </w:tcPr>
          <w:p>
            <w:pPr>
              <w:jc w:val="center"/>
              <w:ind w:left="132"/>
              <w:spacing w:after="0"/>
              <w:rPr>
                <w:sz w:val="20"/>
                <w:szCs w:val="20"/>
                <w:color w:val="auto"/>
              </w:rPr>
            </w:pPr>
            <w:r>
              <w:rPr>
                <w:rFonts w:ascii="Arial" w:cs="Arial" w:eastAsia="Arial" w:hAnsi="Arial"/>
                <w:sz w:val="10"/>
                <w:szCs w:val="10"/>
                <w:color w:val="auto"/>
                <w:w w:val="94"/>
              </w:rPr>
              <w:t>5,314,731</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4"/>
              </w:rPr>
              <w:t>6,521,415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22.7%</w:t>
            </w:r>
          </w:p>
        </w:tc>
      </w:tr>
      <w:tr>
        <w:trPr>
          <w:trHeight w:val="11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Income tax</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(456,956)</w:t>
            </w:r>
          </w:p>
        </w:tc>
        <w:tc>
          <w:tcPr>
            <w:tcW w:w="920" w:type="dxa"/>
            <w:vAlign w:val="bottom"/>
          </w:tcPr>
          <w:p>
            <w:pPr>
              <w:jc w:val="center"/>
              <w:spacing w:after="0"/>
              <w:rPr>
                <w:sz w:val="20"/>
                <w:szCs w:val="20"/>
                <w:color w:val="auto"/>
              </w:rPr>
            </w:pPr>
            <w:r>
              <w:rPr>
                <w:rFonts w:ascii="Arial" w:cs="Arial" w:eastAsia="Arial" w:hAnsi="Arial"/>
                <w:sz w:val="10"/>
                <w:szCs w:val="10"/>
                <w:color w:val="auto"/>
                <w:w w:val="93"/>
              </w:rPr>
              <w:t>(542,848)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(535,124)</w:t>
            </w:r>
          </w:p>
        </w:tc>
        <w:tc>
          <w:tcPr>
            <w:tcW w:w="1200" w:type="dxa"/>
            <w:vAlign w:val="bottom"/>
          </w:tcPr>
          <w:p>
            <w:pPr>
              <w:jc w:val="center"/>
              <w:ind w:right="232"/>
              <w:spacing w:after="0"/>
              <w:rPr>
                <w:sz w:val="20"/>
                <w:szCs w:val="20"/>
                <w:color w:val="auto"/>
              </w:rPr>
            </w:pPr>
            <w:r>
              <w:rPr>
                <w:rFonts w:ascii="Arial" w:cs="Arial" w:eastAsia="Arial" w:hAnsi="Arial"/>
                <w:sz w:val="10"/>
                <w:szCs w:val="10"/>
                <w:color w:val="auto"/>
                <w:w w:val="91"/>
              </w:rPr>
              <w:t>-1.4%</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1"/>
              </w:rPr>
              <w:t>17.1%</w:t>
            </w:r>
          </w:p>
        </w:tc>
        <w:tc>
          <w:tcPr>
            <w:tcW w:w="760" w:type="dxa"/>
            <w:vAlign w:val="bottom"/>
          </w:tcPr>
          <w:p>
            <w:pPr>
              <w:jc w:val="center"/>
              <w:ind w:left="132"/>
              <w:spacing w:after="0"/>
              <w:rPr>
                <w:sz w:val="20"/>
                <w:szCs w:val="20"/>
                <w:color w:val="auto"/>
              </w:rPr>
            </w:pPr>
            <w:r>
              <w:rPr>
                <w:rFonts w:ascii="Arial" w:cs="Arial" w:eastAsia="Arial" w:hAnsi="Arial"/>
                <w:sz w:val="10"/>
                <w:szCs w:val="10"/>
                <w:color w:val="auto"/>
                <w:w w:val="97"/>
              </w:rPr>
              <w:t>(1,285,796)</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7"/>
              </w:rPr>
              <w:t>(1,595,713)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24.1%</w:t>
            </w:r>
          </w:p>
        </w:tc>
      </w:tr>
      <w:tr>
        <w:trPr>
          <w:trHeight w:val="122"/>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profit</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1,402,338</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1,749,886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1,597,546</w:t>
            </w:r>
          </w:p>
        </w:tc>
        <w:tc>
          <w:tcPr>
            <w:tcW w:w="1200" w:type="dxa"/>
            <w:vAlign w:val="bottom"/>
          </w:tcPr>
          <w:p>
            <w:pPr>
              <w:jc w:val="center"/>
              <w:ind w:right="232"/>
              <w:spacing w:after="0"/>
              <w:rPr>
                <w:sz w:val="20"/>
                <w:szCs w:val="20"/>
                <w:color w:val="auto"/>
              </w:rPr>
            </w:pPr>
            <w:r>
              <w:rPr>
                <w:rFonts w:ascii="Arial" w:cs="Arial" w:eastAsia="Arial" w:hAnsi="Arial"/>
                <w:sz w:val="10"/>
                <w:szCs w:val="10"/>
                <w:color w:val="auto"/>
                <w:w w:val="91"/>
              </w:rPr>
              <w:t>-8.7%</w:t>
            </w:r>
          </w:p>
        </w:tc>
        <w:tc>
          <w:tcPr>
            <w:tcW w:w="680" w:type="dxa"/>
            <w:vAlign w:val="bottom"/>
            <w:tcBorders>
              <w:right w:val="single" w:sz="8" w:color="auto"/>
            </w:tcBorders>
          </w:tcPr>
          <w:p>
            <w:pPr>
              <w:jc w:val="center"/>
              <w:ind w:right="252"/>
              <w:spacing w:after="0"/>
              <w:rPr>
                <w:sz w:val="20"/>
                <w:szCs w:val="20"/>
                <w:color w:val="auto"/>
              </w:rPr>
            </w:pPr>
            <w:r>
              <w:rPr>
                <w:rFonts w:ascii="Arial" w:cs="Arial" w:eastAsia="Arial" w:hAnsi="Arial"/>
                <w:sz w:val="10"/>
                <w:szCs w:val="10"/>
                <w:color w:val="auto"/>
                <w:w w:val="91"/>
              </w:rPr>
              <w:t>13.9%</w:t>
            </w:r>
          </w:p>
        </w:tc>
        <w:tc>
          <w:tcPr>
            <w:tcW w:w="760" w:type="dxa"/>
            <w:vAlign w:val="bottom"/>
          </w:tcPr>
          <w:p>
            <w:pPr>
              <w:jc w:val="center"/>
              <w:ind w:left="132"/>
              <w:spacing w:after="0"/>
              <w:rPr>
                <w:sz w:val="20"/>
                <w:szCs w:val="20"/>
                <w:color w:val="auto"/>
              </w:rPr>
            </w:pPr>
            <w:r>
              <w:rPr>
                <w:rFonts w:ascii="Arial" w:cs="Arial" w:eastAsia="Arial" w:hAnsi="Arial"/>
                <w:sz w:val="10"/>
                <w:szCs w:val="10"/>
                <w:color w:val="auto"/>
                <w:w w:val="94"/>
              </w:rPr>
              <w:t>4,028,935</w:t>
            </w:r>
          </w:p>
        </w:tc>
        <w:tc>
          <w:tcPr>
            <w:tcW w:w="1140" w:type="dxa"/>
            <w:vAlign w:val="bottom"/>
            <w:tcBorders>
              <w:right w:val="single" w:sz="8" w:color="auto"/>
            </w:tcBorders>
          </w:tcPr>
          <w:p>
            <w:pPr>
              <w:jc w:val="center"/>
              <w:ind w:left="112"/>
              <w:spacing w:after="0"/>
              <w:rPr>
                <w:sz w:val="20"/>
                <w:szCs w:val="20"/>
                <w:color w:val="auto"/>
              </w:rPr>
            </w:pPr>
            <w:r>
              <w:rPr>
                <w:rFonts w:ascii="Arial" w:cs="Arial" w:eastAsia="Arial" w:hAnsi="Arial"/>
                <w:sz w:val="10"/>
                <w:szCs w:val="10"/>
                <w:color w:val="auto"/>
                <w:w w:val="94"/>
              </w:rPr>
              <w:t>4,925,702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22.3%</w:t>
            </w:r>
          </w:p>
        </w:tc>
      </w:tr>
      <w:tr>
        <w:trPr>
          <w:trHeight w:val="118"/>
        </w:trPr>
        <w:tc>
          <w:tcPr>
            <w:tcW w:w="2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Non-controlling interest</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r>
      <w:tr>
        <w:trPr>
          <w:trHeight w:val="121"/>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profit attributable to BCP</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1,402,338</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1,749,886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1,597,546</w:t>
            </w:r>
          </w:p>
        </w:tc>
        <w:tc>
          <w:tcPr>
            <w:tcW w:w="1200" w:type="dxa"/>
            <w:vAlign w:val="bottom"/>
            <w:tcBorders>
              <w:bottom w:val="single" w:sz="8" w:color="auto"/>
            </w:tcBorders>
          </w:tcPr>
          <w:p>
            <w:pPr>
              <w:jc w:val="center"/>
              <w:ind w:right="232"/>
              <w:spacing w:after="0"/>
              <w:rPr>
                <w:sz w:val="20"/>
                <w:szCs w:val="20"/>
                <w:color w:val="auto"/>
              </w:rPr>
            </w:pPr>
            <w:r>
              <w:rPr>
                <w:rFonts w:ascii="Arial" w:cs="Arial" w:eastAsia="Arial" w:hAnsi="Arial"/>
                <w:sz w:val="10"/>
                <w:szCs w:val="10"/>
                <w:b w:val="1"/>
                <w:bCs w:val="1"/>
                <w:color w:val="auto"/>
                <w:w w:val="91"/>
              </w:rPr>
              <w:t>-8.7%</w:t>
            </w:r>
          </w:p>
        </w:tc>
        <w:tc>
          <w:tcPr>
            <w:tcW w:w="680" w:type="dxa"/>
            <w:vAlign w:val="bottom"/>
            <w:tcBorders>
              <w:bottom w:val="single" w:sz="8" w:color="auto"/>
              <w:right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91"/>
              </w:rPr>
              <w:t>13.9%</w:t>
            </w:r>
          </w:p>
        </w:tc>
        <w:tc>
          <w:tcPr>
            <w:tcW w:w="76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b w:val="1"/>
                <w:bCs w:val="1"/>
                <w:color w:val="auto"/>
                <w:w w:val="94"/>
              </w:rPr>
              <w:t>4,028,935</w:t>
            </w:r>
          </w:p>
        </w:tc>
        <w:tc>
          <w:tcPr>
            <w:tcW w:w="1140" w:type="dxa"/>
            <w:vAlign w:val="bottom"/>
            <w:tcBorders>
              <w:bottom w:val="single" w:sz="8" w:color="auto"/>
              <w:right w:val="single" w:sz="8" w:color="auto"/>
            </w:tcBorders>
          </w:tcPr>
          <w:p>
            <w:pPr>
              <w:jc w:val="center"/>
              <w:ind w:left="112"/>
              <w:spacing w:after="0"/>
              <w:rPr>
                <w:sz w:val="20"/>
                <w:szCs w:val="20"/>
                <w:color w:val="auto"/>
              </w:rPr>
            </w:pPr>
            <w:r>
              <w:rPr>
                <w:rFonts w:ascii="Arial" w:cs="Arial" w:eastAsia="Arial" w:hAnsi="Arial"/>
                <w:sz w:val="10"/>
                <w:szCs w:val="10"/>
                <w:b w:val="1"/>
                <w:bCs w:val="1"/>
                <w:color w:val="auto"/>
                <w:w w:val="94"/>
              </w:rPr>
              <w:t>4,925,702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22.3%</w:t>
            </w:r>
          </w:p>
        </w:tc>
      </w:tr>
    </w:tbl>
    <w:p>
      <w:pPr>
        <w:spacing w:after="0" w:line="132" w:lineRule="exact"/>
        <w:rPr>
          <w:sz w:val="20"/>
          <w:szCs w:val="20"/>
          <w:color w:val="auto"/>
        </w:rPr>
      </w:pPr>
    </w:p>
    <w:p>
      <w:pPr>
        <w:ind w:left="1320" w:hanging="162"/>
        <w:spacing w:after="0"/>
        <w:tabs>
          <w:tab w:leader="none" w:pos="13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Financing expenses related to lease agreements are included according to the application of IFRS 16.</w:t>
      </w:r>
    </w:p>
    <w:p>
      <w:pPr>
        <w:spacing w:after="0" w:line="15" w:lineRule="exact"/>
        <w:rPr>
          <w:rFonts w:ascii="Arial" w:cs="Arial" w:eastAsia="Arial" w:hAnsi="Arial"/>
          <w:sz w:val="11"/>
          <w:szCs w:val="11"/>
          <w:color w:val="auto"/>
        </w:rPr>
      </w:pPr>
    </w:p>
    <w:p>
      <w:pPr>
        <w:ind w:left="1320" w:hanging="162"/>
        <w:spacing w:after="0"/>
        <w:tabs>
          <w:tab w:leader="none" w:pos="13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The effect of the application of IFRS 16 is included, which corresponds to a greater depreciation for the asset for right-of-use".</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Selected Financial Indicators</w:t>
      </w:r>
    </w:p>
    <w:p>
      <w:pPr>
        <w:spacing w:after="0" w:line="169" w:lineRule="exact"/>
        <w:rPr>
          <w:sz w:val="20"/>
          <w:szCs w:val="20"/>
          <w:color w:val="auto"/>
        </w:rPr>
      </w:pPr>
    </w:p>
    <w:tbl>
      <w:tblPr>
        <w:tblLayout w:type="fixed"/>
        <w:tblInd w:w="550" w:type="dxa"/>
        <w:tblCellMar>
          <w:top w:w="0" w:type="dxa"/>
          <w:left w:w="0" w:type="dxa"/>
          <w:bottom w:w="0" w:type="dxa"/>
          <w:right w:w="0" w:type="dxa"/>
        </w:tblCellMar>
      </w:tblPr>
      <w:tr>
        <w:trPr>
          <w:trHeight w:val="168"/>
        </w:trPr>
        <w:tc>
          <w:tcPr>
            <w:tcW w:w="4700" w:type="dxa"/>
            <w:vAlign w:val="bottom"/>
            <w:tcBorders>
              <w:top w:val="single" w:sz="8" w:color="auto"/>
              <w:left w:val="single" w:sz="8" w:color="auto"/>
              <w:right w:val="single" w:sz="8" w:color="auto"/>
            </w:tcBorders>
            <w:shd w:val="clear" w:color="auto" w:fill="33CCCC"/>
          </w:tcPr>
          <w:p>
            <w:pPr>
              <w:spacing w:after="0"/>
              <w:rPr>
                <w:sz w:val="14"/>
                <w:szCs w:val="14"/>
                <w:color w:val="auto"/>
              </w:rPr>
            </w:pPr>
          </w:p>
        </w:tc>
        <w:tc>
          <w:tcPr>
            <w:tcW w:w="920" w:type="dxa"/>
            <w:vAlign w:val="bottom"/>
            <w:tcBorders>
              <w:top w:val="single" w:sz="8" w:color="auto"/>
            </w:tcBorders>
            <w:shd w:val="clear" w:color="auto" w:fill="33CCCC"/>
          </w:tcPr>
          <w:p>
            <w:pPr>
              <w:spacing w:after="0"/>
              <w:rPr>
                <w:sz w:val="14"/>
                <w:szCs w:val="14"/>
                <w:color w:val="auto"/>
              </w:rPr>
            </w:pPr>
          </w:p>
        </w:tc>
        <w:tc>
          <w:tcPr>
            <w:tcW w:w="940" w:type="dxa"/>
            <w:vAlign w:val="bottom"/>
            <w:tcBorders>
              <w:top w:val="single" w:sz="8" w:color="auto"/>
            </w:tcBorders>
            <w:shd w:val="clear" w:color="auto" w:fill="33CCCC"/>
          </w:tcPr>
          <w:p>
            <w:pPr>
              <w:ind w:left="260"/>
              <w:spacing w:after="0"/>
              <w:rPr>
                <w:sz w:val="20"/>
                <w:szCs w:val="20"/>
                <w:color w:val="auto"/>
              </w:rPr>
            </w:pPr>
            <w:r>
              <w:rPr>
                <w:rFonts w:ascii="Arial" w:cs="Arial" w:eastAsia="Arial" w:hAnsi="Arial"/>
                <w:sz w:val="12"/>
                <w:szCs w:val="12"/>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14"/>
                <w:szCs w:val="14"/>
                <w:color w:val="auto"/>
              </w:rPr>
            </w:pPr>
          </w:p>
        </w:tc>
        <w:tc>
          <w:tcPr>
            <w:tcW w:w="700" w:type="dxa"/>
            <w:vAlign w:val="bottom"/>
            <w:tcBorders>
              <w:top w:val="single" w:sz="8" w:color="auto"/>
            </w:tcBorders>
            <w:shd w:val="clear" w:color="auto" w:fill="33CCCC"/>
          </w:tcPr>
          <w:p>
            <w:pPr>
              <w:spacing w:after="0"/>
              <w:rPr>
                <w:sz w:val="14"/>
                <w:szCs w:val="14"/>
                <w:color w:val="auto"/>
              </w:rPr>
            </w:pPr>
          </w:p>
        </w:tc>
        <w:tc>
          <w:tcPr>
            <w:tcW w:w="1180" w:type="dxa"/>
            <w:vAlign w:val="bottom"/>
            <w:tcBorders>
              <w:top w:val="single" w:sz="8" w:color="auto"/>
              <w:right w:val="single" w:sz="8" w:color="auto"/>
            </w:tcBorders>
            <w:shd w:val="clear" w:color="auto" w:fill="33CCCC"/>
          </w:tcPr>
          <w:p>
            <w:pPr>
              <w:spacing w:after="0"/>
              <w:rPr>
                <w:sz w:val="20"/>
                <w:szCs w:val="20"/>
                <w:color w:val="auto"/>
              </w:rPr>
            </w:pPr>
            <w:r>
              <w:rPr>
                <w:rFonts w:ascii="Arial" w:cs="Arial" w:eastAsia="Arial" w:hAnsi="Arial"/>
                <w:sz w:val="12"/>
                <w:szCs w:val="12"/>
                <w:b w:val="1"/>
                <w:bCs w:val="1"/>
                <w:color w:val="FFFFFF"/>
              </w:rPr>
              <w:t>Change</w:t>
            </w:r>
          </w:p>
        </w:tc>
      </w:tr>
      <w:tr>
        <w:trPr>
          <w:trHeight w:val="156"/>
        </w:trPr>
        <w:tc>
          <w:tcPr>
            <w:tcW w:w="4700" w:type="dxa"/>
            <w:vAlign w:val="bottom"/>
            <w:tcBorders>
              <w:left w:val="single" w:sz="8" w:color="auto"/>
              <w:bottom w:val="single" w:sz="8" w:color="auto"/>
              <w:right w:val="single" w:sz="8" w:color="auto"/>
            </w:tcBorders>
            <w:shd w:val="clear" w:color="auto" w:fill="33CCCC"/>
          </w:tcPr>
          <w:p>
            <w:pPr>
              <w:spacing w:after="0"/>
              <w:rPr>
                <w:sz w:val="13"/>
                <w:szCs w:val="13"/>
                <w:color w:val="auto"/>
              </w:rPr>
            </w:pP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3Q24</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2Q25</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3Q25</w:t>
            </w:r>
          </w:p>
        </w:tc>
        <w:tc>
          <w:tcPr>
            <w:tcW w:w="700" w:type="dxa"/>
            <w:vAlign w:val="bottom"/>
            <w:tcBorders>
              <w:bottom w:val="single" w:sz="8" w:color="auto"/>
            </w:tcBorders>
            <w:shd w:val="clear" w:color="auto" w:fill="33CCCC"/>
          </w:tcPr>
          <w:p>
            <w:pPr>
              <w:jc w:val="center"/>
              <w:ind w:left="140"/>
              <w:spacing w:after="0"/>
              <w:rPr>
                <w:sz w:val="20"/>
                <w:szCs w:val="20"/>
                <w:color w:val="auto"/>
              </w:rPr>
            </w:pPr>
            <w:r>
              <w:rPr>
                <w:rFonts w:ascii="Arial" w:cs="Arial" w:eastAsia="Arial" w:hAnsi="Arial"/>
                <w:sz w:val="12"/>
                <w:szCs w:val="12"/>
                <w:b w:val="1"/>
                <w:bCs w:val="1"/>
                <w:color w:val="FFFFFF"/>
                <w:w w:val="99"/>
              </w:rPr>
              <w:t>QoQ</w:t>
            </w:r>
          </w:p>
        </w:tc>
        <w:tc>
          <w:tcPr>
            <w:tcW w:w="1180" w:type="dxa"/>
            <w:vAlign w:val="bottom"/>
            <w:tcBorders>
              <w:bottom w:val="single" w:sz="8" w:color="auto"/>
              <w:right w:val="single" w:sz="8" w:color="auto"/>
            </w:tcBorders>
            <w:shd w:val="clear" w:color="auto" w:fill="33CCCC"/>
          </w:tcPr>
          <w:p>
            <w:pPr>
              <w:jc w:val="center"/>
              <w:ind w:left="140"/>
              <w:spacing w:after="0"/>
              <w:rPr>
                <w:sz w:val="20"/>
                <w:szCs w:val="20"/>
                <w:color w:val="auto"/>
              </w:rPr>
            </w:pPr>
            <w:r>
              <w:rPr>
                <w:rFonts w:ascii="Arial" w:cs="Arial" w:eastAsia="Arial" w:hAnsi="Arial"/>
                <w:sz w:val="12"/>
                <w:szCs w:val="12"/>
                <w:b w:val="1"/>
                <w:bCs w:val="1"/>
                <w:color w:val="FFFFFF"/>
                <w:w w:val="94"/>
              </w:rPr>
              <w:t>YoY</w:t>
            </w:r>
          </w:p>
        </w:tc>
      </w:tr>
      <w:tr>
        <w:trPr>
          <w:trHeight w:val="137"/>
        </w:trPr>
        <w:tc>
          <w:tcPr>
            <w:tcW w:w="4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Profitability</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r>
      <w:tr>
        <w:trPr>
          <w:trHeight w:val="156"/>
        </w:trPr>
        <w:tc>
          <w:tcPr>
            <w:tcW w:w="470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8"/>
                <w:szCs w:val="18"/>
                <w:color w:val="auto"/>
                <w:vertAlign w:val="subscript"/>
              </w:rPr>
              <w:t>ROAA</w:t>
            </w:r>
            <w:r>
              <w:rPr>
                <w:rFonts w:ascii="Arial" w:cs="Arial" w:eastAsia="Arial" w:hAnsi="Arial"/>
                <w:sz w:val="8"/>
                <w:szCs w:val="8"/>
                <w:color w:val="auto"/>
              </w:rPr>
              <w:t xml:space="preserve"> (1)(2)</w:t>
            </w:r>
          </w:p>
        </w:tc>
        <w:tc>
          <w:tcPr>
            <w:tcW w:w="920" w:type="dxa"/>
            <w:vAlign w:val="bottom"/>
          </w:tcPr>
          <w:p>
            <w:pPr>
              <w:jc w:val="center"/>
              <w:spacing w:after="0"/>
              <w:rPr>
                <w:sz w:val="20"/>
                <w:szCs w:val="20"/>
                <w:color w:val="auto"/>
              </w:rPr>
            </w:pPr>
            <w:r>
              <w:rPr>
                <w:rFonts w:ascii="Arial" w:cs="Arial" w:eastAsia="Arial" w:hAnsi="Arial"/>
                <w:sz w:val="12"/>
                <w:szCs w:val="12"/>
                <w:color w:val="auto"/>
              </w:rPr>
              <w:t>2.9%</w:t>
            </w:r>
          </w:p>
        </w:tc>
        <w:tc>
          <w:tcPr>
            <w:tcW w:w="940" w:type="dxa"/>
            <w:vAlign w:val="bottom"/>
          </w:tcPr>
          <w:p>
            <w:pPr>
              <w:jc w:val="center"/>
              <w:spacing w:after="0"/>
              <w:rPr>
                <w:sz w:val="20"/>
                <w:szCs w:val="20"/>
                <w:color w:val="auto"/>
              </w:rPr>
            </w:pPr>
            <w:r>
              <w:rPr>
                <w:rFonts w:ascii="Arial" w:cs="Arial" w:eastAsia="Arial" w:hAnsi="Arial"/>
                <w:sz w:val="12"/>
                <w:szCs w:val="12"/>
                <w:color w:val="auto"/>
                <w:w w:val="94"/>
              </w:rPr>
              <w:t>3.6%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3.3%</w:t>
            </w: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9"/>
              </w:rPr>
              <w:t>-31 bps</w:t>
            </w:r>
          </w:p>
        </w:tc>
        <w:tc>
          <w:tcPr>
            <w:tcW w:w="118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36 bps</w:t>
            </w:r>
          </w:p>
        </w:tc>
      </w:tr>
      <w:tr>
        <w:trPr>
          <w:trHeight w:val="156"/>
        </w:trPr>
        <w:tc>
          <w:tcPr>
            <w:tcW w:w="470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8"/>
                <w:szCs w:val="18"/>
                <w:color w:val="auto"/>
                <w:vertAlign w:val="subscript"/>
              </w:rPr>
              <w:t>ROAE</w:t>
            </w:r>
            <w:r>
              <w:rPr>
                <w:rFonts w:ascii="Arial" w:cs="Arial" w:eastAsia="Arial" w:hAnsi="Arial"/>
                <w:sz w:val="8"/>
                <w:szCs w:val="8"/>
                <w:color w:val="auto"/>
              </w:rPr>
              <w:t xml:space="preserve"> (1)(2)</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22.9%</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29.3%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24.9%</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w w:val="98"/>
              </w:rPr>
              <w:t>-449 bps</w:t>
            </w:r>
          </w:p>
        </w:tc>
        <w:tc>
          <w:tcPr>
            <w:tcW w:w="1180" w:type="dxa"/>
            <w:vAlign w:val="bottom"/>
            <w:tcBorders>
              <w:right w:val="single" w:sz="8" w:color="auto"/>
            </w:tcBorders>
          </w:tcPr>
          <w:p>
            <w:pPr>
              <w:jc w:val="center"/>
              <w:ind w:left="140"/>
              <w:spacing w:after="0"/>
              <w:rPr>
                <w:sz w:val="20"/>
                <w:szCs w:val="20"/>
                <w:color w:val="auto"/>
              </w:rPr>
            </w:pPr>
            <w:r>
              <w:rPr>
                <w:rFonts w:ascii="Arial" w:cs="Arial" w:eastAsia="Arial" w:hAnsi="Arial"/>
                <w:sz w:val="12"/>
                <w:szCs w:val="12"/>
                <w:color w:val="auto"/>
                <w:w w:val="98"/>
              </w:rPr>
              <w:t>195 bps</w:t>
            </w:r>
          </w:p>
        </w:tc>
      </w:tr>
      <w:tr>
        <w:trPr>
          <w:trHeight w:val="156"/>
        </w:trPr>
        <w:tc>
          <w:tcPr>
            <w:tcW w:w="470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8"/>
                <w:szCs w:val="18"/>
                <w:color w:val="auto"/>
                <w:vertAlign w:val="superscript"/>
              </w:rPr>
              <w:t>(1)(2)</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6.17%</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6.00%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6.11%</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w w:val="94"/>
              </w:rPr>
              <w:t>10 bps</w:t>
            </w:r>
          </w:p>
        </w:tc>
        <w:tc>
          <w:tcPr>
            <w:tcW w:w="1180" w:type="dxa"/>
            <w:vAlign w:val="bottom"/>
            <w:tcBorders>
              <w:right w:val="single" w:sz="8" w:color="auto"/>
            </w:tcBorders>
          </w:tcPr>
          <w:p>
            <w:pPr>
              <w:jc w:val="center"/>
              <w:ind w:left="140"/>
              <w:spacing w:after="0"/>
              <w:rPr>
                <w:sz w:val="20"/>
                <w:szCs w:val="20"/>
                <w:color w:val="auto"/>
              </w:rPr>
            </w:pPr>
            <w:r>
              <w:rPr>
                <w:rFonts w:ascii="Arial" w:cs="Arial" w:eastAsia="Arial" w:hAnsi="Arial"/>
                <w:sz w:val="12"/>
                <w:szCs w:val="12"/>
                <w:color w:val="auto"/>
              </w:rPr>
              <w:t>-6 bps</w:t>
            </w:r>
          </w:p>
        </w:tc>
      </w:tr>
      <w:tr>
        <w:trPr>
          <w:trHeight w:val="156"/>
        </w:trPr>
        <w:tc>
          <w:tcPr>
            <w:tcW w:w="470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1"/>
                <w:szCs w:val="11"/>
                <w:color w:val="auto"/>
              </w:rPr>
              <w:t xml:space="preserve">Risk-adjusted Net interest margin  </w:t>
            </w:r>
            <w:r>
              <w:rPr>
                <w:rFonts w:ascii="Arial" w:cs="Arial" w:eastAsia="Arial" w:hAnsi="Arial"/>
                <w:sz w:val="18"/>
                <w:szCs w:val="18"/>
                <w:color w:val="auto"/>
                <w:vertAlign w:val="superscript"/>
              </w:rPr>
              <w:t>(1)(2)</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4.75%</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5.22%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5.25%</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rPr>
              <w:t>3 bps</w:t>
            </w:r>
          </w:p>
        </w:tc>
        <w:tc>
          <w:tcPr>
            <w:tcW w:w="118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50 bps</w:t>
            </w:r>
          </w:p>
        </w:tc>
      </w:tr>
      <w:tr>
        <w:trPr>
          <w:trHeight w:val="255"/>
        </w:trPr>
        <w:tc>
          <w:tcPr>
            <w:tcW w:w="4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 xml:space="preserve">Funding cost </w:t>
            </w:r>
            <w:r>
              <w:rPr>
                <w:rFonts w:ascii="Arial" w:cs="Arial" w:eastAsia="Arial" w:hAnsi="Arial"/>
                <w:sz w:val="19"/>
                <w:szCs w:val="19"/>
                <w:color w:val="auto"/>
                <w:vertAlign w:val="superscript"/>
              </w:rPr>
              <w:t>(1)(2)(3)</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2.16%</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1.95%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1.93%</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rPr>
              <w:t>-2 bps</w:t>
            </w:r>
          </w:p>
        </w:tc>
        <w:tc>
          <w:tcPr>
            <w:tcW w:w="118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-23 bps</w:t>
            </w:r>
          </w:p>
        </w:tc>
      </w:tr>
      <w:tr>
        <w:trPr>
          <w:trHeight w:val="223"/>
        </w:trPr>
        <w:tc>
          <w:tcPr>
            <w:tcW w:w="4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Loan portfolio quality</w:t>
            </w: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156"/>
        </w:trPr>
        <w:tc>
          <w:tcPr>
            <w:tcW w:w="4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Internal overdue ratio</w:t>
            </w:r>
          </w:p>
        </w:tc>
        <w:tc>
          <w:tcPr>
            <w:tcW w:w="920" w:type="dxa"/>
            <w:vAlign w:val="bottom"/>
          </w:tcPr>
          <w:p>
            <w:pPr>
              <w:jc w:val="center"/>
              <w:spacing w:after="0"/>
              <w:rPr>
                <w:sz w:val="20"/>
                <w:szCs w:val="20"/>
                <w:color w:val="auto"/>
              </w:rPr>
            </w:pPr>
            <w:r>
              <w:rPr>
                <w:rFonts w:ascii="Arial" w:cs="Arial" w:eastAsia="Arial" w:hAnsi="Arial"/>
                <w:sz w:val="12"/>
                <w:szCs w:val="12"/>
                <w:color w:val="auto"/>
              </w:rPr>
              <w:t>4.1%</w:t>
            </w:r>
          </w:p>
        </w:tc>
        <w:tc>
          <w:tcPr>
            <w:tcW w:w="940" w:type="dxa"/>
            <w:vAlign w:val="bottom"/>
          </w:tcPr>
          <w:p>
            <w:pPr>
              <w:jc w:val="center"/>
              <w:spacing w:after="0"/>
              <w:rPr>
                <w:sz w:val="20"/>
                <w:szCs w:val="20"/>
                <w:color w:val="auto"/>
              </w:rPr>
            </w:pPr>
            <w:r>
              <w:rPr>
                <w:rFonts w:ascii="Arial" w:cs="Arial" w:eastAsia="Arial" w:hAnsi="Arial"/>
                <w:sz w:val="12"/>
                <w:szCs w:val="12"/>
                <w:color w:val="auto"/>
                <w:w w:val="94"/>
              </w:rPr>
              <w:t>3.4%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3.3%</w:t>
            </w: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9"/>
              </w:rPr>
              <w:t>-12 bps</w:t>
            </w:r>
          </w:p>
        </w:tc>
        <w:tc>
          <w:tcPr>
            <w:tcW w:w="118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-79 bps</w:t>
            </w:r>
          </w:p>
        </w:tc>
      </w:tr>
      <w:tr>
        <w:trPr>
          <w:trHeight w:val="156"/>
        </w:trPr>
        <w:tc>
          <w:tcPr>
            <w:tcW w:w="4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NPL ratio</w:t>
            </w:r>
          </w:p>
        </w:tc>
        <w:tc>
          <w:tcPr>
            <w:tcW w:w="920" w:type="dxa"/>
            <w:vAlign w:val="bottom"/>
          </w:tcPr>
          <w:p>
            <w:pPr>
              <w:jc w:val="center"/>
              <w:spacing w:after="0"/>
              <w:rPr>
                <w:sz w:val="20"/>
                <w:szCs w:val="20"/>
                <w:color w:val="auto"/>
              </w:rPr>
            </w:pPr>
            <w:r>
              <w:rPr>
                <w:rFonts w:ascii="Arial" w:cs="Arial" w:eastAsia="Arial" w:hAnsi="Arial"/>
                <w:sz w:val="12"/>
                <w:szCs w:val="12"/>
                <w:color w:val="auto"/>
              </w:rPr>
              <w:t>5.9%</w:t>
            </w:r>
          </w:p>
        </w:tc>
        <w:tc>
          <w:tcPr>
            <w:tcW w:w="940" w:type="dxa"/>
            <w:vAlign w:val="bottom"/>
          </w:tcPr>
          <w:p>
            <w:pPr>
              <w:jc w:val="center"/>
              <w:spacing w:after="0"/>
              <w:rPr>
                <w:sz w:val="20"/>
                <w:szCs w:val="20"/>
                <w:color w:val="auto"/>
              </w:rPr>
            </w:pPr>
            <w:r>
              <w:rPr>
                <w:rFonts w:ascii="Arial" w:cs="Arial" w:eastAsia="Arial" w:hAnsi="Arial"/>
                <w:sz w:val="12"/>
                <w:szCs w:val="12"/>
                <w:color w:val="auto"/>
                <w:w w:val="94"/>
              </w:rPr>
              <w:t>4.9%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4.7%</w:t>
            </w: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9"/>
              </w:rPr>
              <w:t>-12 bps</w:t>
            </w:r>
          </w:p>
        </w:tc>
        <w:tc>
          <w:tcPr>
            <w:tcW w:w="1180" w:type="dxa"/>
            <w:vAlign w:val="bottom"/>
            <w:tcBorders>
              <w:right w:val="single" w:sz="8" w:color="auto"/>
            </w:tcBorders>
          </w:tcPr>
          <w:p>
            <w:pPr>
              <w:jc w:val="center"/>
              <w:ind w:left="140"/>
              <w:spacing w:after="0"/>
              <w:rPr>
                <w:sz w:val="20"/>
                <w:szCs w:val="20"/>
                <w:color w:val="auto"/>
              </w:rPr>
            </w:pPr>
            <w:r>
              <w:rPr>
                <w:rFonts w:ascii="Arial" w:cs="Arial" w:eastAsia="Arial" w:hAnsi="Arial"/>
                <w:sz w:val="12"/>
                <w:szCs w:val="12"/>
                <w:color w:val="auto"/>
                <w:w w:val="98"/>
              </w:rPr>
              <w:t>-119 bps</w:t>
            </w:r>
          </w:p>
        </w:tc>
      </w:tr>
      <w:tr>
        <w:trPr>
          <w:trHeight w:val="156"/>
        </w:trPr>
        <w:tc>
          <w:tcPr>
            <w:tcW w:w="4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Coverage ratio of IOLs</w:t>
            </w:r>
          </w:p>
        </w:tc>
        <w:tc>
          <w:tcPr>
            <w:tcW w:w="920" w:type="dxa"/>
            <w:vAlign w:val="bottom"/>
          </w:tcPr>
          <w:p>
            <w:pPr>
              <w:jc w:val="center"/>
              <w:spacing w:after="0"/>
              <w:rPr>
                <w:sz w:val="20"/>
                <w:szCs w:val="20"/>
                <w:color w:val="auto"/>
              </w:rPr>
            </w:pPr>
            <w:r>
              <w:rPr>
                <w:rFonts w:ascii="Arial" w:cs="Arial" w:eastAsia="Arial" w:hAnsi="Arial"/>
                <w:sz w:val="12"/>
                <w:szCs w:val="12"/>
                <w:color w:val="auto"/>
                <w:w w:val="98"/>
              </w:rPr>
              <w:t>140.6%</w:t>
            </w:r>
          </w:p>
        </w:tc>
        <w:tc>
          <w:tcPr>
            <w:tcW w:w="940" w:type="dxa"/>
            <w:vAlign w:val="bottom"/>
          </w:tcPr>
          <w:p>
            <w:pPr>
              <w:jc w:val="center"/>
              <w:spacing w:after="0"/>
              <w:rPr>
                <w:sz w:val="20"/>
                <w:szCs w:val="20"/>
                <w:color w:val="auto"/>
              </w:rPr>
            </w:pPr>
            <w:r>
              <w:rPr>
                <w:rFonts w:ascii="Arial" w:cs="Arial" w:eastAsia="Arial" w:hAnsi="Arial"/>
                <w:sz w:val="12"/>
                <w:szCs w:val="12"/>
                <w:color w:val="auto"/>
              </w:rPr>
              <w:t>155.4%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157.1%</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w w:val="98"/>
              </w:rPr>
              <w:t>175 bps</w:t>
            </w:r>
          </w:p>
        </w:tc>
        <w:tc>
          <w:tcPr>
            <w:tcW w:w="1180" w:type="dxa"/>
            <w:vAlign w:val="bottom"/>
            <w:tcBorders>
              <w:right w:val="single" w:sz="8" w:color="auto"/>
            </w:tcBorders>
          </w:tcPr>
          <w:p>
            <w:pPr>
              <w:jc w:val="center"/>
              <w:ind w:left="140"/>
              <w:spacing w:after="0"/>
              <w:rPr>
                <w:sz w:val="20"/>
                <w:szCs w:val="20"/>
                <w:color w:val="auto"/>
              </w:rPr>
            </w:pPr>
            <w:r>
              <w:rPr>
                <w:rFonts w:ascii="Arial" w:cs="Arial" w:eastAsia="Arial" w:hAnsi="Arial"/>
                <w:sz w:val="12"/>
                <w:szCs w:val="12"/>
                <w:color w:val="auto"/>
              </w:rPr>
              <w:t>1649 bps</w:t>
            </w:r>
          </w:p>
        </w:tc>
      </w:tr>
      <w:tr>
        <w:trPr>
          <w:trHeight w:val="146"/>
        </w:trPr>
        <w:tc>
          <w:tcPr>
            <w:tcW w:w="4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Coverage ratio of NPLs</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97.2%</w:t>
            </w:r>
          </w:p>
        </w:tc>
        <w:tc>
          <w:tcPr>
            <w:tcW w:w="940" w:type="dxa"/>
            <w:vAlign w:val="bottom"/>
          </w:tcPr>
          <w:p>
            <w:pPr>
              <w:jc w:val="center"/>
              <w:spacing w:after="0"/>
              <w:rPr>
                <w:sz w:val="20"/>
                <w:szCs w:val="20"/>
                <w:color w:val="auto"/>
              </w:rPr>
            </w:pPr>
            <w:r>
              <w:rPr>
                <w:rFonts w:ascii="Arial" w:cs="Arial" w:eastAsia="Arial" w:hAnsi="Arial"/>
                <w:sz w:val="12"/>
                <w:szCs w:val="12"/>
                <w:color w:val="auto"/>
              </w:rPr>
              <w:t>109.3%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109.6%</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w w:val="94"/>
              </w:rPr>
              <w:t>25 bps</w:t>
            </w:r>
          </w:p>
        </w:tc>
        <w:tc>
          <w:tcPr>
            <w:tcW w:w="1180" w:type="dxa"/>
            <w:vAlign w:val="bottom"/>
            <w:tcBorders>
              <w:right w:val="single" w:sz="8" w:color="auto"/>
            </w:tcBorders>
          </w:tcPr>
          <w:p>
            <w:pPr>
              <w:jc w:val="center"/>
              <w:ind w:left="140"/>
              <w:spacing w:after="0"/>
              <w:rPr>
                <w:sz w:val="20"/>
                <w:szCs w:val="20"/>
                <w:color w:val="auto"/>
              </w:rPr>
            </w:pPr>
            <w:r>
              <w:rPr>
                <w:rFonts w:ascii="Arial" w:cs="Arial" w:eastAsia="Arial" w:hAnsi="Arial"/>
                <w:sz w:val="12"/>
                <w:szCs w:val="12"/>
                <w:color w:val="auto"/>
              </w:rPr>
              <w:t>1235 bps</w:t>
            </w:r>
          </w:p>
        </w:tc>
      </w:tr>
      <w:tr>
        <w:trPr>
          <w:trHeight w:val="255"/>
        </w:trPr>
        <w:tc>
          <w:tcPr>
            <w:tcW w:w="4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 xml:space="preserve">Cost of risk </w:t>
            </w:r>
            <w:r>
              <w:rPr>
                <w:rFonts w:ascii="Arial" w:cs="Arial" w:eastAsia="Arial" w:hAnsi="Arial"/>
                <w:sz w:val="19"/>
                <w:szCs w:val="19"/>
                <w:color w:val="auto"/>
                <w:vertAlign w:val="superscript"/>
              </w:rPr>
              <w:t>(4)</w:t>
            </w:r>
          </w:p>
        </w:tc>
        <w:tc>
          <w:tcPr>
            <w:tcW w:w="920" w:type="dxa"/>
            <w:vAlign w:val="bottom"/>
          </w:tcPr>
          <w:p>
            <w:pPr>
              <w:jc w:val="center"/>
              <w:spacing w:after="0"/>
              <w:rPr>
                <w:sz w:val="20"/>
                <w:szCs w:val="20"/>
                <w:color w:val="auto"/>
              </w:rPr>
            </w:pPr>
            <w:r>
              <w:rPr>
                <w:rFonts w:ascii="Arial" w:cs="Arial" w:eastAsia="Arial" w:hAnsi="Arial"/>
                <w:sz w:val="12"/>
                <w:szCs w:val="12"/>
                <w:color w:val="auto"/>
              </w:rPr>
              <w:t>2.1%</w:t>
            </w:r>
          </w:p>
        </w:tc>
        <w:tc>
          <w:tcPr>
            <w:tcW w:w="940" w:type="dxa"/>
            <w:vAlign w:val="bottom"/>
          </w:tcPr>
          <w:p>
            <w:pPr>
              <w:jc w:val="center"/>
              <w:spacing w:after="0"/>
              <w:rPr>
                <w:sz w:val="20"/>
                <w:szCs w:val="20"/>
                <w:color w:val="auto"/>
              </w:rPr>
            </w:pPr>
            <w:r>
              <w:rPr>
                <w:rFonts w:ascii="Arial" w:cs="Arial" w:eastAsia="Arial" w:hAnsi="Arial"/>
                <w:sz w:val="12"/>
                <w:szCs w:val="12"/>
                <w:color w:val="auto"/>
                <w:w w:val="94"/>
              </w:rPr>
              <w:t>1.2%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1.3%</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rPr>
              <w:t>9 bps</w:t>
            </w:r>
          </w:p>
        </w:tc>
        <w:tc>
          <w:tcPr>
            <w:tcW w:w="1180" w:type="dxa"/>
            <w:vAlign w:val="bottom"/>
            <w:tcBorders>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-84 bps</w:t>
            </w:r>
          </w:p>
        </w:tc>
      </w:tr>
      <w:tr>
        <w:trPr>
          <w:trHeight w:val="213"/>
        </w:trPr>
        <w:tc>
          <w:tcPr>
            <w:tcW w:w="4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Operating efficiency</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156"/>
        </w:trPr>
        <w:tc>
          <w:tcPr>
            <w:tcW w:w="470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1"/>
                <w:szCs w:val="11"/>
                <w:color w:val="auto"/>
              </w:rPr>
              <w:t xml:space="preserve">Operating expenses / Total income </w:t>
            </w:r>
            <w:r>
              <w:rPr>
                <w:rFonts w:ascii="Arial" w:cs="Arial" w:eastAsia="Arial" w:hAnsi="Arial"/>
                <w:sz w:val="18"/>
                <w:szCs w:val="18"/>
                <w:color w:val="auto"/>
                <w:vertAlign w:val="superscript"/>
              </w:rPr>
              <w:t>(5)</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36.4%</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38.3%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39.9%</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w w:val="98"/>
              </w:rPr>
              <w:t>160 bps</w:t>
            </w:r>
          </w:p>
        </w:tc>
        <w:tc>
          <w:tcPr>
            <w:tcW w:w="1180" w:type="dxa"/>
            <w:vAlign w:val="bottom"/>
            <w:tcBorders>
              <w:right w:val="single" w:sz="8" w:color="auto"/>
            </w:tcBorders>
          </w:tcPr>
          <w:p>
            <w:pPr>
              <w:jc w:val="center"/>
              <w:ind w:left="140"/>
              <w:spacing w:after="0"/>
              <w:rPr>
                <w:sz w:val="20"/>
                <w:szCs w:val="20"/>
                <w:color w:val="auto"/>
              </w:rPr>
            </w:pPr>
            <w:r>
              <w:rPr>
                <w:rFonts w:ascii="Arial" w:cs="Arial" w:eastAsia="Arial" w:hAnsi="Arial"/>
                <w:sz w:val="12"/>
                <w:szCs w:val="12"/>
                <w:color w:val="auto"/>
                <w:w w:val="98"/>
              </w:rPr>
              <w:t>354 bps</w:t>
            </w:r>
          </w:p>
        </w:tc>
      </w:tr>
      <w:tr>
        <w:trPr>
          <w:trHeight w:val="167"/>
        </w:trPr>
        <w:tc>
          <w:tcPr>
            <w:tcW w:w="4700" w:type="dxa"/>
            <w:vAlign w:val="bottom"/>
            <w:tcBorders>
              <w:left w:val="single" w:sz="8" w:color="auto"/>
              <w:bottom w:val="single" w:sz="8" w:color="auto"/>
              <w:right w:val="single" w:sz="8" w:color="auto"/>
            </w:tcBorders>
          </w:tcPr>
          <w:p>
            <w:pPr>
              <w:ind w:left="160"/>
              <w:spacing w:after="0" w:line="167" w:lineRule="exact"/>
              <w:rPr>
                <w:sz w:val="20"/>
                <w:szCs w:val="20"/>
                <w:color w:val="auto"/>
              </w:rPr>
            </w:pPr>
            <w:r>
              <w:rPr>
                <w:rFonts w:ascii="Arial" w:cs="Arial" w:eastAsia="Arial" w:hAnsi="Arial"/>
                <w:sz w:val="12"/>
                <w:szCs w:val="12"/>
                <w:color w:val="auto"/>
              </w:rPr>
              <w:t xml:space="preserve">Operating expenses / Total average assets </w:t>
            </w:r>
            <w:r>
              <w:rPr>
                <w:rFonts w:ascii="Arial" w:cs="Arial" w:eastAsia="Arial" w:hAnsi="Arial"/>
                <w:sz w:val="19"/>
                <w:szCs w:val="19"/>
                <w:color w:val="auto"/>
                <w:vertAlign w:val="superscript"/>
              </w:rPr>
              <w:t>(1)(2)(5)</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3.0%</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3.2%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3.3%</w:t>
            </w:r>
          </w:p>
        </w:tc>
        <w:tc>
          <w:tcPr>
            <w:tcW w:w="70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color w:val="auto"/>
                <w:w w:val="94"/>
              </w:rPr>
              <w:t>18 bps</w:t>
            </w:r>
          </w:p>
        </w:tc>
        <w:tc>
          <w:tcPr>
            <w:tcW w:w="1180" w:type="dxa"/>
            <w:vAlign w:val="bottom"/>
            <w:tcBorders>
              <w:bottom w:val="single" w:sz="8" w:color="auto"/>
              <w:right w:val="single" w:sz="8" w:color="auto"/>
            </w:tcBorders>
          </w:tcPr>
          <w:p>
            <w:pPr>
              <w:jc w:val="center"/>
              <w:ind w:left="120"/>
              <w:spacing w:after="0"/>
              <w:rPr>
                <w:sz w:val="20"/>
                <w:szCs w:val="20"/>
                <w:color w:val="auto"/>
              </w:rPr>
            </w:pPr>
            <w:r>
              <w:rPr>
                <w:rFonts w:ascii="Arial" w:cs="Arial" w:eastAsia="Arial" w:hAnsi="Arial"/>
                <w:sz w:val="12"/>
                <w:szCs w:val="12"/>
                <w:color w:val="auto"/>
                <w:w w:val="99"/>
              </w:rPr>
              <w:t>39 bps</w:t>
            </w:r>
          </w:p>
        </w:tc>
      </w:tr>
    </w:tbl>
    <w:p>
      <w:pPr>
        <w:spacing w:after="0" w:line="180" w:lineRule="exact"/>
        <w:rPr>
          <w:sz w:val="20"/>
          <w:szCs w:val="20"/>
          <w:color w:val="auto"/>
        </w:rPr>
      </w:pPr>
    </w:p>
    <w:p>
      <w:pPr>
        <w:ind w:left="1320" w:hanging="162"/>
        <w:spacing w:after="0"/>
        <w:tabs>
          <w:tab w:leader="none" w:pos="1320" w:val="left"/>
        </w:tabs>
        <w:numPr>
          <w:ilvl w:val="0"/>
          <w:numId w:val="59"/>
        </w:numPr>
        <w:rPr>
          <w:rFonts w:ascii="Arial" w:cs="Arial" w:eastAsia="Arial" w:hAnsi="Arial"/>
          <w:sz w:val="11"/>
          <w:szCs w:val="11"/>
          <w:color w:val="auto"/>
        </w:rPr>
      </w:pPr>
      <w:r>
        <w:rPr>
          <w:rFonts w:ascii="Arial" w:cs="Arial" w:eastAsia="Arial" w:hAnsi="Arial"/>
          <w:sz w:val="11"/>
          <w:szCs w:val="11"/>
          <w:color w:val="auto"/>
        </w:rPr>
        <w:t>Ratios are annualized.</w:t>
      </w:r>
    </w:p>
    <w:p>
      <w:pPr>
        <w:spacing w:after="0" w:line="15" w:lineRule="exact"/>
        <w:rPr>
          <w:rFonts w:ascii="Arial" w:cs="Arial" w:eastAsia="Arial" w:hAnsi="Arial"/>
          <w:sz w:val="11"/>
          <w:szCs w:val="11"/>
          <w:color w:val="auto"/>
        </w:rPr>
      </w:pPr>
    </w:p>
    <w:p>
      <w:pPr>
        <w:ind w:left="1320" w:hanging="162"/>
        <w:spacing w:after="0"/>
        <w:tabs>
          <w:tab w:leader="none" w:pos="1320" w:val="left"/>
        </w:tabs>
        <w:numPr>
          <w:ilvl w:val="0"/>
          <w:numId w:val="59"/>
        </w:numPr>
        <w:rPr>
          <w:rFonts w:ascii="Arial" w:cs="Arial" w:eastAsia="Arial" w:hAnsi="Arial"/>
          <w:sz w:val="11"/>
          <w:szCs w:val="11"/>
          <w:color w:val="auto"/>
        </w:rPr>
      </w:pPr>
      <w:r>
        <w:rPr>
          <w:rFonts w:ascii="Arial" w:cs="Arial" w:eastAsia="Arial" w:hAnsi="Arial"/>
          <w:sz w:val="11"/>
          <w:szCs w:val="11"/>
          <w:color w:val="auto"/>
        </w:rPr>
        <w:t>Averages are determined as the average of period-beginning and period-ending balances.</w:t>
      </w:r>
    </w:p>
    <w:p>
      <w:pPr>
        <w:spacing w:after="0" w:line="5" w:lineRule="exact"/>
        <w:rPr>
          <w:rFonts w:ascii="Arial" w:cs="Arial" w:eastAsia="Arial" w:hAnsi="Arial"/>
          <w:sz w:val="11"/>
          <w:szCs w:val="11"/>
          <w:color w:val="auto"/>
        </w:rPr>
      </w:pPr>
    </w:p>
    <w:p>
      <w:pPr>
        <w:ind w:left="1160" w:right="240" w:hanging="2"/>
        <w:spacing w:after="0" w:line="250" w:lineRule="auto"/>
        <w:tabs>
          <w:tab w:leader="none" w:pos="1322" w:val="left"/>
        </w:tabs>
        <w:numPr>
          <w:ilvl w:val="0"/>
          <w:numId w:val="59"/>
        </w:numPr>
        <w:rPr>
          <w:rFonts w:ascii="Arial" w:cs="Arial" w:eastAsia="Arial" w:hAnsi="Arial"/>
          <w:sz w:val="11"/>
          <w:szCs w:val="11"/>
          <w:color w:val="auto"/>
        </w:rPr>
      </w:pPr>
      <w:r>
        <w:rPr>
          <w:rFonts w:ascii="Arial" w:cs="Arial" w:eastAsia="Arial" w:hAnsi="Arial"/>
          <w:sz w:val="11"/>
          <w:szCs w:val="11"/>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ind w:left="1320" w:hanging="162"/>
        <w:spacing w:after="0"/>
        <w:tabs>
          <w:tab w:leader="none" w:pos="1320" w:val="left"/>
        </w:tabs>
        <w:numPr>
          <w:ilvl w:val="0"/>
          <w:numId w:val="59"/>
        </w:numPr>
        <w:rPr>
          <w:rFonts w:ascii="Arial" w:cs="Arial" w:eastAsia="Arial" w:hAnsi="Arial"/>
          <w:sz w:val="11"/>
          <w:szCs w:val="11"/>
          <w:color w:val="auto"/>
        </w:rPr>
      </w:pPr>
      <w:r>
        <w:rPr>
          <w:rFonts w:ascii="Arial" w:cs="Arial" w:eastAsia="Arial" w:hAnsi="Arial"/>
          <w:sz w:val="11"/>
          <w:szCs w:val="11"/>
          <w:color w:val="auto"/>
        </w:rPr>
        <w:t>Cost of risk: Annualized provision for loan losses / Average total loans.</w:t>
      </w:r>
    </w:p>
    <w:p>
      <w:pPr>
        <w:spacing w:after="0" w:line="5" w:lineRule="exact"/>
        <w:rPr>
          <w:rFonts w:ascii="Arial" w:cs="Arial" w:eastAsia="Arial" w:hAnsi="Arial"/>
          <w:sz w:val="11"/>
          <w:szCs w:val="11"/>
          <w:color w:val="auto"/>
        </w:rPr>
      </w:pPr>
    </w:p>
    <w:p>
      <w:pPr>
        <w:ind w:left="1160" w:right="260" w:hanging="2"/>
        <w:spacing w:after="0" w:line="261" w:lineRule="auto"/>
        <w:tabs>
          <w:tab w:leader="none" w:pos="1322" w:val="left"/>
        </w:tabs>
        <w:numPr>
          <w:ilvl w:val="0"/>
          <w:numId w:val="59"/>
        </w:numPr>
        <w:rPr>
          <w:rFonts w:ascii="Arial" w:cs="Arial" w:eastAsia="Arial" w:hAnsi="Arial"/>
          <w:sz w:val="11"/>
          <w:szCs w:val="11"/>
          <w:color w:val="auto"/>
        </w:rPr>
      </w:pPr>
      <w:r>
        <w:rPr>
          <w:rFonts w:ascii="Arial" w:cs="Arial" w:eastAsia="Arial" w:hAnsi="Arial"/>
          <w:sz w:val="11"/>
          <w:szCs w:val="11"/>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794385</wp:posOffset>
            </wp:positionV>
            <wp:extent cx="663892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638925" cy="15240"/>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100965</wp:posOffset>
            </wp:positionV>
            <wp:extent cx="6532245" cy="6019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532245" cy="601980"/>
                    </a:xfrm>
                    <a:prstGeom prst="rect">
                      <a:avLst/>
                    </a:prstGeom>
                    <a:noFill/>
                  </pic:spPr>
                </pic:pic>
              </a:graphicData>
            </a:graphic>
          </wp:anchor>
        </w:drawing>
      </w:r>
    </w:p>
    <w:p>
      <w:pPr>
        <w:sectPr>
          <w:pgSz w:w="11900" w:h="16840" w:orient="portrait"/>
          <w:cols w:equalWidth="0" w:num="1">
            <w:col w:w="10460"/>
          </w:cols>
          <w:pgMar w:left="660" w:top="931" w:right="780" w:bottom="1440" w:gutter="0" w:footer="0" w:header="0"/>
        </w:sectPr>
      </w:pPr>
    </w:p>
    <w:bookmarkStart w:id="66" w:name="page67"/>
    <w:bookmarkEnd w:id="66"/>
    <w:p>
      <w:pPr>
        <w:ind w:left="2520"/>
        <w:spacing w:after="0"/>
        <w:tabs>
          <w:tab w:leader="none" w:pos="2760" w:val="left"/>
          <w:tab w:leader="none" w:pos="81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638925" cy="662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63892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638925" cy="2057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63892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12.7.5. BCP Bolivia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Financial Position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5780" w:type="dxa"/>
            <w:vAlign w:val="bottom"/>
            <w:tcBorders>
              <w:top w:val="single" w:sz="8" w:color="auto"/>
              <w:left w:val="single" w:sz="8" w:color="auto"/>
              <w:right w:val="single" w:sz="8" w:color="auto"/>
            </w:tcBorders>
            <w:shd w:val="clear" w:color="auto" w:fill="33CCCC"/>
          </w:tcPr>
          <w:p>
            <w:pPr>
              <w:spacing w:after="0"/>
              <w:rPr>
                <w:sz w:val="14"/>
                <w:szCs w:val="14"/>
                <w:color w:val="auto"/>
              </w:rPr>
            </w:pPr>
          </w:p>
        </w:tc>
        <w:tc>
          <w:tcPr>
            <w:tcW w:w="940" w:type="dxa"/>
            <w:vAlign w:val="bottom"/>
            <w:tcBorders>
              <w:top w:val="single" w:sz="8" w:color="auto"/>
            </w:tcBorders>
            <w:shd w:val="clear" w:color="auto" w:fill="33CCCC"/>
          </w:tcPr>
          <w:p>
            <w:pPr>
              <w:spacing w:after="0"/>
              <w:rPr>
                <w:sz w:val="14"/>
                <w:szCs w:val="14"/>
                <w:color w:val="auto"/>
              </w:rPr>
            </w:pPr>
          </w:p>
        </w:tc>
        <w:tc>
          <w:tcPr>
            <w:tcW w:w="92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As of</w:t>
            </w:r>
          </w:p>
        </w:tc>
        <w:tc>
          <w:tcPr>
            <w:tcW w:w="960" w:type="dxa"/>
            <w:vAlign w:val="bottom"/>
            <w:tcBorders>
              <w:top w:val="single" w:sz="8" w:color="auto"/>
              <w:right w:val="single" w:sz="8" w:color="auto"/>
            </w:tcBorders>
            <w:shd w:val="clear" w:color="auto" w:fill="33CCCC"/>
          </w:tcPr>
          <w:p>
            <w:pPr>
              <w:spacing w:after="0"/>
              <w:rPr>
                <w:sz w:val="14"/>
                <w:szCs w:val="14"/>
                <w:color w:val="auto"/>
              </w:rPr>
            </w:pPr>
          </w:p>
        </w:tc>
        <w:tc>
          <w:tcPr>
            <w:tcW w:w="1200" w:type="dxa"/>
            <w:vAlign w:val="bottom"/>
            <w:tcBorders>
              <w:top w:val="single" w:sz="8" w:color="auto"/>
            </w:tcBorders>
            <w:shd w:val="clear" w:color="auto" w:fill="33CCCC"/>
          </w:tcPr>
          <w:p>
            <w:pPr>
              <w:ind w:left="640"/>
              <w:spacing w:after="0"/>
              <w:rPr>
                <w:sz w:val="20"/>
                <w:szCs w:val="20"/>
                <w:color w:val="auto"/>
              </w:rPr>
            </w:pPr>
            <w:r>
              <w:rPr>
                <w:rFonts w:ascii="Arial" w:cs="Arial" w:eastAsia="Arial" w:hAnsi="Arial"/>
                <w:sz w:val="12"/>
                <w:szCs w:val="12"/>
                <w:b w:val="1"/>
                <w:bCs w:val="1"/>
                <w:color w:val="FFFFFF"/>
                <w:w w:val="96"/>
              </w:rPr>
              <w:t>% change</w:t>
            </w:r>
          </w:p>
        </w:tc>
        <w:tc>
          <w:tcPr>
            <w:tcW w:w="660" w:type="dxa"/>
            <w:vAlign w:val="bottom"/>
            <w:tcBorders>
              <w:top w:val="single" w:sz="8" w:color="auto"/>
              <w:right w:val="single" w:sz="8" w:color="auto"/>
            </w:tcBorders>
            <w:shd w:val="clear" w:color="auto" w:fill="33CCCC"/>
          </w:tcPr>
          <w:p>
            <w:pPr>
              <w:spacing w:after="0"/>
              <w:rPr>
                <w:sz w:val="14"/>
                <w:szCs w:val="14"/>
                <w:color w:val="auto"/>
              </w:rPr>
            </w:pPr>
          </w:p>
        </w:tc>
      </w:tr>
      <w:tr>
        <w:trPr>
          <w:trHeight w:val="156"/>
        </w:trPr>
        <w:tc>
          <w:tcPr>
            <w:tcW w:w="5780" w:type="dxa"/>
            <w:vAlign w:val="bottom"/>
            <w:tcBorders>
              <w:left w:val="single" w:sz="8" w:color="auto"/>
              <w:bottom w:val="single" w:sz="8" w:color="auto"/>
              <w:right w:val="single" w:sz="8" w:color="auto"/>
            </w:tcBorders>
            <w:shd w:val="clear" w:color="auto" w:fill="33CCCC"/>
          </w:tcPr>
          <w:p>
            <w:pPr>
              <w:spacing w:after="0"/>
              <w:rPr>
                <w:sz w:val="13"/>
                <w:szCs w:val="13"/>
                <w:color w:val="auto"/>
              </w:rPr>
            </w:pPr>
          </w:p>
        </w:tc>
        <w:tc>
          <w:tcPr>
            <w:tcW w:w="940" w:type="dxa"/>
            <w:vAlign w:val="bottom"/>
            <w:tcBorders>
              <w:bottom w:val="single" w:sz="8" w:color="auto"/>
            </w:tcBorders>
            <w:shd w:val="clear" w:color="auto" w:fill="33CCCC"/>
          </w:tcPr>
          <w:p>
            <w:pPr>
              <w:ind w:left="260"/>
              <w:spacing w:after="0"/>
              <w:rPr>
                <w:sz w:val="20"/>
                <w:szCs w:val="20"/>
                <w:color w:val="auto"/>
              </w:rPr>
            </w:pPr>
            <w:r>
              <w:rPr>
                <w:rFonts w:ascii="Arial" w:cs="Arial" w:eastAsia="Arial" w:hAnsi="Arial"/>
                <w:sz w:val="12"/>
                <w:szCs w:val="12"/>
                <w:b w:val="1"/>
                <w:bCs w:val="1"/>
                <w:color w:val="FFFFFF"/>
              </w:rPr>
              <w:t>Sep 24</w:t>
            </w: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Jun 25</w:t>
            </w:r>
          </w:p>
        </w:tc>
        <w:tc>
          <w:tcPr>
            <w:tcW w:w="960" w:type="dxa"/>
            <w:vAlign w:val="bottom"/>
            <w:tcBorders>
              <w:bottom w:val="single" w:sz="8" w:color="auto"/>
              <w:right w:val="single" w:sz="8" w:color="auto"/>
            </w:tcBorders>
            <w:shd w:val="clear" w:color="auto" w:fill="33CCCC"/>
          </w:tcPr>
          <w:p>
            <w:pPr>
              <w:ind w:left="280"/>
              <w:spacing w:after="0"/>
              <w:rPr>
                <w:sz w:val="20"/>
                <w:szCs w:val="20"/>
                <w:color w:val="auto"/>
              </w:rPr>
            </w:pPr>
            <w:r>
              <w:rPr>
                <w:rFonts w:ascii="Arial" w:cs="Arial" w:eastAsia="Arial" w:hAnsi="Arial"/>
                <w:sz w:val="12"/>
                <w:szCs w:val="12"/>
                <w:b w:val="1"/>
                <w:bCs w:val="1"/>
                <w:color w:val="FFFFFF"/>
              </w:rPr>
              <w:t>Sep 25</w:t>
            </w:r>
          </w:p>
        </w:tc>
        <w:tc>
          <w:tcPr>
            <w:tcW w:w="1200" w:type="dxa"/>
            <w:vAlign w:val="bottom"/>
            <w:tcBorders>
              <w:bottom w:val="single" w:sz="8" w:color="auto"/>
            </w:tcBorders>
            <w:shd w:val="clear" w:color="auto" w:fill="33CCCC"/>
          </w:tcPr>
          <w:p>
            <w:pPr>
              <w:jc w:val="center"/>
              <w:ind w:right="240"/>
              <w:spacing w:after="0"/>
              <w:rPr>
                <w:sz w:val="20"/>
                <w:szCs w:val="20"/>
                <w:color w:val="auto"/>
              </w:rPr>
            </w:pPr>
            <w:r>
              <w:rPr>
                <w:rFonts w:ascii="Arial" w:cs="Arial" w:eastAsia="Arial" w:hAnsi="Arial"/>
                <w:sz w:val="12"/>
                <w:szCs w:val="12"/>
                <w:b w:val="1"/>
                <w:bCs w:val="1"/>
                <w:color w:val="FFFFFF"/>
                <w:w w:val="99"/>
              </w:rPr>
              <w:t>QoQ</w:t>
            </w:r>
          </w:p>
        </w:tc>
        <w:tc>
          <w:tcPr>
            <w:tcW w:w="660" w:type="dxa"/>
            <w:vAlign w:val="bottom"/>
            <w:tcBorders>
              <w:bottom w:val="single" w:sz="8" w:color="auto"/>
              <w:right w:val="single" w:sz="8" w:color="auto"/>
            </w:tcBorders>
            <w:shd w:val="clear" w:color="auto" w:fill="33CCCC"/>
          </w:tcPr>
          <w:p>
            <w:pPr>
              <w:jc w:val="center"/>
              <w:ind w:right="240"/>
              <w:spacing w:after="0"/>
              <w:rPr>
                <w:sz w:val="20"/>
                <w:szCs w:val="20"/>
                <w:color w:val="auto"/>
              </w:rPr>
            </w:pPr>
            <w:r>
              <w:rPr>
                <w:rFonts w:ascii="Arial" w:cs="Arial" w:eastAsia="Arial" w:hAnsi="Arial"/>
                <w:sz w:val="12"/>
                <w:szCs w:val="12"/>
                <w:b w:val="1"/>
                <w:bCs w:val="1"/>
                <w:color w:val="FFFFFF"/>
              </w:rPr>
              <w:t>YoY</w:t>
            </w:r>
          </w:p>
        </w:tc>
      </w:tr>
      <w:tr>
        <w:trPr>
          <w:trHeight w:val="147"/>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Cash and due from banks</w:t>
            </w:r>
          </w:p>
        </w:tc>
        <w:tc>
          <w:tcPr>
            <w:tcW w:w="940" w:type="dxa"/>
            <w:vAlign w:val="bottom"/>
          </w:tcPr>
          <w:p>
            <w:pPr>
              <w:jc w:val="center"/>
              <w:spacing w:after="0"/>
              <w:rPr>
                <w:sz w:val="20"/>
                <w:szCs w:val="20"/>
                <w:color w:val="auto"/>
              </w:rPr>
            </w:pPr>
            <w:r>
              <w:rPr>
                <w:rFonts w:ascii="Arial" w:cs="Arial" w:eastAsia="Arial" w:hAnsi="Arial"/>
                <w:sz w:val="12"/>
                <w:szCs w:val="12"/>
                <w:color w:val="auto"/>
                <w:w w:val="97"/>
              </w:rPr>
              <w:t>2,215,684</w:t>
            </w:r>
          </w:p>
        </w:tc>
        <w:tc>
          <w:tcPr>
            <w:tcW w:w="920" w:type="dxa"/>
            <w:vAlign w:val="bottom"/>
          </w:tcPr>
          <w:p>
            <w:pPr>
              <w:jc w:val="center"/>
              <w:spacing w:after="0"/>
              <w:rPr>
                <w:sz w:val="20"/>
                <w:szCs w:val="20"/>
                <w:color w:val="auto"/>
              </w:rPr>
            </w:pPr>
            <w:r>
              <w:rPr>
                <w:rFonts w:ascii="Arial" w:cs="Arial" w:eastAsia="Arial" w:hAnsi="Arial"/>
                <w:sz w:val="12"/>
                <w:szCs w:val="12"/>
                <w:color w:val="auto"/>
              </w:rPr>
              <w:t>1,218,865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1,680,867</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9"/>
              </w:rPr>
              <w:t>37.9%</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-24.1%</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Investments</w:t>
            </w:r>
          </w:p>
        </w:tc>
        <w:tc>
          <w:tcPr>
            <w:tcW w:w="940" w:type="dxa"/>
            <w:vAlign w:val="bottom"/>
          </w:tcPr>
          <w:p>
            <w:pPr>
              <w:jc w:val="center"/>
              <w:spacing w:after="0"/>
              <w:rPr>
                <w:sz w:val="20"/>
                <w:szCs w:val="20"/>
                <w:color w:val="auto"/>
              </w:rPr>
            </w:pPr>
            <w:r>
              <w:rPr>
                <w:rFonts w:ascii="Arial" w:cs="Arial" w:eastAsia="Arial" w:hAnsi="Arial"/>
                <w:sz w:val="12"/>
                <w:szCs w:val="12"/>
                <w:color w:val="auto"/>
                <w:w w:val="97"/>
              </w:rPr>
              <w:t>1,405,967</w:t>
            </w:r>
          </w:p>
        </w:tc>
        <w:tc>
          <w:tcPr>
            <w:tcW w:w="920" w:type="dxa"/>
            <w:vAlign w:val="bottom"/>
          </w:tcPr>
          <w:p>
            <w:pPr>
              <w:jc w:val="center"/>
              <w:spacing w:after="0"/>
              <w:rPr>
                <w:sz w:val="20"/>
                <w:szCs w:val="20"/>
                <w:color w:val="auto"/>
              </w:rPr>
            </w:pPr>
            <w:r>
              <w:rPr>
                <w:rFonts w:ascii="Arial" w:cs="Arial" w:eastAsia="Arial" w:hAnsi="Arial"/>
                <w:sz w:val="12"/>
                <w:szCs w:val="12"/>
                <w:color w:val="auto"/>
                <w:w w:val="96"/>
              </w:rPr>
              <w:t>685,760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892,962</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9"/>
              </w:rPr>
              <w:t>30.2%</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-36.5%</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Loans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7"/>
              </w:rPr>
              <w:t>9,829,567</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4,189,040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5,505,442</w:t>
            </w:r>
          </w:p>
        </w:tc>
        <w:tc>
          <w:tcPr>
            <w:tcW w:w="1200" w:type="dxa"/>
            <w:vAlign w:val="bottom"/>
          </w:tcPr>
          <w:p>
            <w:pPr>
              <w:jc w:val="center"/>
              <w:ind w:right="240"/>
              <w:spacing w:after="0"/>
              <w:rPr>
                <w:sz w:val="20"/>
                <w:szCs w:val="20"/>
                <w:color w:val="auto"/>
              </w:rPr>
            </w:pPr>
            <w:r>
              <w:rPr>
                <w:rFonts w:ascii="Arial" w:cs="Arial" w:eastAsia="Arial" w:hAnsi="Arial"/>
                <w:sz w:val="12"/>
                <w:szCs w:val="12"/>
                <w:b w:val="1"/>
                <w:bCs w:val="1"/>
                <w:color w:val="auto"/>
                <w:w w:val="99"/>
              </w:rPr>
              <w:t>31.4%</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9"/>
              </w:rPr>
              <w:t>-44.0%</w:t>
            </w:r>
          </w:p>
        </w:tc>
      </w:tr>
      <w:tr>
        <w:trPr>
          <w:trHeight w:val="156"/>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Current</w:t>
            </w:r>
          </w:p>
        </w:tc>
        <w:tc>
          <w:tcPr>
            <w:tcW w:w="940" w:type="dxa"/>
            <w:vAlign w:val="bottom"/>
          </w:tcPr>
          <w:p>
            <w:pPr>
              <w:jc w:val="center"/>
              <w:spacing w:after="0"/>
              <w:rPr>
                <w:sz w:val="20"/>
                <w:szCs w:val="20"/>
                <w:color w:val="auto"/>
              </w:rPr>
            </w:pPr>
            <w:r>
              <w:rPr>
                <w:rFonts w:ascii="Arial" w:cs="Arial" w:eastAsia="Arial" w:hAnsi="Arial"/>
                <w:sz w:val="12"/>
                <w:szCs w:val="12"/>
                <w:color w:val="auto"/>
                <w:w w:val="97"/>
              </w:rPr>
              <w:t>9,504,083</w:t>
            </w:r>
          </w:p>
        </w:tc>
        <w:tc>
          <w:tcPr>
            <w:tcW w:w="920" w:type="dxa"/>
            <w:vAlign w:val="bottom"/>
          </w:tcPr>
          <w:p>
            <w:pPr>
              <w:jc w:val="center"/>
              <w:spacing w:after="0"/>
              <w:rPr>
                <w:sz w:val="20"/>
                <w:szCs w:val="20"/>
                <w:color w:val="auto"/>
              </w:rPr>
            </w:pPr>
            <w:r>
              <w:rPr>
                <w:rFonts w:ascii="Arial" w:cs="Arial" w:eastAsia="Arial" w:hAnsi="Arial"/>
                <w:sz w:val="12"/>
                <w:szCs w:val="12"/>
                <w:color w:val="auto"/>
              </w:rPr>
              <w:t>4,050,247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5,304,797</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9"/>
              </w:rPr>
              <w:t>31.0%</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-44.2%</w:t>
            </w:r>
          </w:p>
        </w:tc>
      </w:tr>
      <w:tr>
        <w:trPr>
          <w:trHeight w:val="156"/>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Internal overdue loans</w:t>
            </w:r>
          </w:p>
        </w:tc>
        <w:tc>
          <w:tcPr>
            <w:tcW w:w="940" w:type="dxa"/>
            <w:vAlign w:val="bottom"/>
          </w:tcPr>
          <w:p>
            <w:pPr>
              <w:jc w:val="center"/>
              <w:spacing w:after="0"/>
              <w:rPr>
                <w:sz w:val="20"/>
                <w:szCs w:val="20"/>
                <w:color w:val="auto"/>
              </w:rPr>
            </w:pPr>
            <w:r>
              <w:rPr>
                <w:rFonts w:ascii="Arial" w:cs="Arial" w:eastAsia="Arial" w:hAnsi="Arial"/>
                <w:sz w:val="12"/>
                <w:szCs w:val="12"/>
                <w:color w:val="auto"/>
              </w:rPr>
              <w:t>270,433</w:t>
            </w:r>
          </w:p>
        </w:tc>
        <w:tc>
          <w:tcPr>
            <w:tcW w:w="920" w:type="dxa"/>
            <w:vAlign w:val="bottom"/>
          </w:tcPr>
          <w:p>
            <w:pPr>
              <w:jc w:val="center"/>
              <w:spacing w:after="0"/>
              <w:rPr>
                <w:sz w:val="20"/>
                <w:szCs w:val="20"/>
                <w:color w:val="auto"/>
              </w:rPr>
            </w:pPr>
            <w:r>
              <w:rPr>
                <w:rFonts w:ascii="Arial" w:cs="Arial" w:eastAsia="Arial" w:hAnsi="Arial"/>
                <w:sz w:val="12"/>
                <w:szCs w:val="12"/>
                <w:color w:val="auto"/>
                <w:w w:val="96"/>
              </w:rPr>
              <w:t>110,562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140,924</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9"/>
              </w:rPr>
              <w:t>27.5%</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-47.9%</w:t>
            </w:r>
          </w:p>
        </w:tc>
      </w:tr>
      <w:tr>
        <w:trPr>
          <w:trHeight w:val="156"/>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Refinanced loans</w:t>
            </w:r>
          </w:p>
        </w:tc>
        <w:tc>
          <w:tcPr>
            <w:tcW w:w="940" w:type="dxa"/>
            <w:vAlign w:val="bottom"/>
          </w:tcPr>
          <w:p>
            <w:pPr>
              <w:jc w:val="center"/>
              <w:spacing w:after="0"/>
              <w:rPr>
                <w:sz w:val="20"/>
                <w:szCs w:val="20"/>
                <w:color w:val="auto"/>
              </w:rPr>
            </w:pPr>
            <w:r>
              <w:rPr>
                <w:rFonts w:ascii="Arial" w:cs="Arial" w:eastAsia="Arial" w:hAnsi="Arial"/>
                <w:sz w:val="12"/>
                <w:szCs w:val="12"/>
                <w:color w:val="auto"/>
              </w:rPr>
              <w:t>55,051</w:t>
            </w:r>
          </w:p>
        </w:tc>
        <w:tc>
          <w:tcPr>
            <w:tcW w:w="920" w:type="dxa"/>
            <w:vAlign w:val="bottom"/>
          </w:tcPr>
          <w:p>
            <w:pPr>
              <w:jc w:val="center"/>
              <w:spacing w:after="0"/>
              <w:rPr>
                <w:sz w:val="20"/>
                <w:szCs w:val="20"/>
                <w:color w:val="auto"/>
              </w:rPr>
            </w:pPr>
            <w:r>
              <w:rPr>
                <w:rFonts w:ascii="Arial" w:cs="Arial" w:eastAsia="Arial" w:hAnsi="Arial"/>
                <w:sz w:val="12"/>
                <w:szCs w:val="12"/>
                <w:color w:val="auto"/>
              </w:rPr>
              <w:t>28,231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59,721</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rPr>
              <w:t>111.5%</w:t>
            </w:r>
          </w:p>
        </w:tc>
        <w:tc>
          <w:tcPr>
            <w:tcW w:w="6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rPr>
              <w:t>8.5%</w:t>
            </w:r>
          </w:p>
        </w:tc>
      </w:tr>
      <w:tr>
        <w:trPr>
          <w:trHeight w:val="156"/>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Less - allowance for loan losses</w:t>
            </w:r>
          </w:p>
        </w:tc>
        <w:tc>
          <w:tcPr>
            <w:tcW w:w="940" w:type="dxa"/>
            <w:vAlign w:val="bottom"/>
          </w:tcPr>
          <w:p>
            <w:pPr>
              <w:jc w:val="center"/>
              <w:spacing w:after="0"/>
              <w:rPr>
                <w:sz w:val="20"/>
                <w:szCs w:val="20"/>
                <w:color w:val="auto"/>
              </w:rPr>
            </w:pPr>
            <w:r>
              <w:rPr>
                <w:rFonts w:ascii="Arial" w:cs="Arial" w:eastAsia="Arial" w:hAnsi="Arial"/>
                <w:sz w:val="12"/>
                <w:szCs w:val="12"/>
                <w:color w:val="auto"/>
              </w:rPr>
              <w:t>(357,720)</w:t>
            </w:r>
          </w:p>
        </w:tc>
        <w:tc>
          <w:tcPr>
            <w:tcW w:w="920" w:type="dxa"/>
            <w:vAlign w:val="bottom"/>
          </w:tcPr>
          <w:p>
            <w:pPr>
              <w:jc w:val="center"/>
              <w:spacing w:after="0"/>
              <w:rPr>
                <w:sz w:val="20"/>
                <w:szCs w:val="20"/>
                <w:color w:val="auto"/>
              </w:rPr>
            </w:pPr>
            <w:r>
              <w:rPr>
                <w:rFonts w:ascii="Arial" w:cs="Arial" w:eastAsia="Arial" w:hAnsi="Arial"/>
                <w:sz w:val="12"/>
                <w:szCs w:val="12"/>
                <w:color w:val="auto"/>
                <w:w w:val="97"/>
              </w:rPr>
              <w:t>(153,555)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(190,124)</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9"/>
              </w:rPr>
              <w:t>23.8%</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-46.9%</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Loans, net</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7"/>
              </w:rPr>
              <w:t>9,471,846</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4,035,485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5,315,318</w:t>
            </w:r>
          </w:p>
        </w:tc>
        <w:tc>
          <w:tcPr>
            <w:tcW w:w="1200" w:type="dxa"/>
            <w:vAlign w:val="bottom"/>
          </w:tcPr>
          <w:p>
            <w:pPr>
              <w:jc w:val="center"/>
              <w:ind w:right="240"/>
              <w:spacing w:after="0"/>
              <w:rPr>
                <w:sz w:val="20"/>
                <w:szCs w:val="20"/>
                <w:color w:val="auto"/>
              </w:rPr>
            </w:pPr>
            <w:r>
              <w:rPr>
                <w:rFonts w:ascii="Arial" w:cs="Arial" w:eastAsia="Arial" w:hAnsi="Arial"/>
                <w:sz w:val="12"/>
                <w:szCs w:val="12"/>
                <w:b w:val="1"/>
                <w:bCs w:val="1"/>
                <w:color w:val="auto"/>
                <w:w w:val="99"/>
              </w:rPr>
              <w:t>31.7%</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9"/>
              </w:rPr>
              <w:t>-43.9%</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Property, furniture and equipment, net</w:t>
            </w:r>
          </w:p>
        </w:tc>
        <w:tc>
          <w:tcPr>
            <w:tcW w:w="940" w:type="dxa"/>
            <w:vAlign w:val="bottom"/>
          </w:tcPr>
          <w:p>
            <w:pPr>
              <w:jc w:val="center"/>
              <w:spacing w:after="0"/>
              <w:rPr>
                <w:sz w:val="20"/>
                <w:szCs w:val="20"/>
                <w:color w:val="auto"/>
              </w:rPr>
            </w:pPr>
            <w:r>
              <w:rPr>
                <w:rFonts w:ascii="Arial" w:cs="Arial" w:eastAsia="Arial" w:hAnsi="Arial"/>
                <w:sz w:val="12"/>
                <w:szCs w:val="12"/>
                <w:color w:val="auto"/>
              </w:rPr>
              <w:t>130,797</w:t>
            </w:r>
          </w:p>
        </w:tc>
        <w:tc>
          <w:tcPr>
            <w:tcW w:w="920" w:type="dxa"/>
            <w:vAlign w:val="bottom"/>
          </w:tcPr>
          <w:p>
            <w:pPr>
              <w:jc w:val="center"/>
              <w:spacing w:after="0"/>
              <w:rPr>
                <w:sz w:val="20"/>
                <w:szCs w:val="20"/>
                <w:color w:val="auto"/>
              </w:rPr>
            </w:pPr>
            <w:r>
              <w:rPr>
                <w:rFonts w:ascii="Arial" w:cs="Arial" w:eastAsia="Arial" w:hAnsi="Arial"/>
                <w:sz w:val="12"/>
                <w:szCs w:val="12"/>
                <w:color w:val="auto"/>
              </w:rPr>
              <w:t>52,161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69,397</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9"/>
              </w:rPr>
              <w:t>33.0%</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-46.9%</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Other assets</w:t>
            </w:r>
          </w:p>
        </w:tc>
        <w:tc>
          <w:tcPr>
            <w:tcW w:w="940" w:type="dxa"/>
            <w:vAlign w:val="bottom"/>
          </w:tcPr>
          <w:p>
            <w:pPr>
              <w:jc w:val="center"/>
              <w:spacing w:after="0"/>
              <w:rPr>
                <w:sz w:val="20"/>
                <w:szCs w:val="20"/>
                <w:color w:val="auto"/>
              </w:rPr>
            </w:pPr>
            <w:r>
              <w:rPr>
                <w:rFonts w:ascii="Arial" w:cs="Arial" w:eastAsia="Arial" w:hAnsi="Arial"/>
                <w:sz w:val="12"/>
                <w:szCs w:val="12"/>
                <w:color w:val="auto"/>
              </w:rPr>
              <w:t>264,972</w:t>
            </w:r>
          </w:p>
        </w:tc>
        <w:tc>
          <w:tcPr>
            <w:tcW w:w="920" w:type="dxa"/>
            <w:vAlign w:val="bottom"/>
          </w:tcPr>
          <w:p>
            <w:pPr>
              <w:jc w:val="center"/>
              <w:spacing w:after="0"/>
              <w:rPr>
                <w:sz w:val="20"/>
                <w:szCs w:val="20"/>
                <w:color w:val="auto"/>
              </w:rPr>
            </w:pPr>
            <w:r>
              <w:rPr>
                <w:rFonts w:ascii="Arial" w:cs="Arial" w:eastAsia="Arial" w:hAnsi="Arial"/>
                <w:sz w:val="12"/>
                <w:szCs w:val="12"/>
                <w:color w:val="auto"/>
                <w:w w:val="96"/>
              </w:rPr>
              <w:t>194,583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184,907</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5"/>
              </w:rPr>
              <w:t>-5.0%</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-30.2%</w:t>
            </w:r>
          </w:p>
        </w:tc>
      </w:tr>
      <w:tr>
        <w:trPr>
          <w:trHeight w:val="165"/>
        </w:trPr>
        <w:tc>
          <w:tcPr>
            <w:tcW w:w="5780" w:type="dxa"/>
            <w:vAlign w:val="bottom"/>
            <w:tcBorders>
              <w:left w:val="single" w:sz="8" w:color="auto"/>
              <w:right w:val="single" w:sz="8" w:color="auto"/>
            </w:tcBorders>
          </w:tcPr>
          <w:p>
            <w:pPr>
              <w:ind w:left="2540"/>
              <w:spacing w:after="0"/>
              <w:rPr>
                <w:sz w:val="20"/>
                <w:szCs w:val="20"/>
                <w:color w:val="auto"/>
              </w:rPr>
            </w:pPr>
            <w:r>
              <w:rPr>
                <w:rFonts w:ascii="Arial" w:cs="Arial" w:eastAsia="Arial" w:hAnsi="Arial"/>
                <w:sz w:val="12"/>
                <w:szCs w:val="12"/>
                <w:b w:val="1"/>
                <w:bCs w:val="1"/>
                <w:color w:val="auto"/>
              </w:rPr>
              <w:t>Total assets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13,489,266</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6,186,854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8,143,451</w:t>
            </w:r>
          </w:p>
        </w:tc>
        <w:tc>
          <w:tcPr>
            <w:tcW w:w="1200" w:type="dxa"/>
            <w:vAlign w:val="bottom"/>
          </w:tcPr>
          <w:p>
            <w:pPr>
              <w:jc w:val="center"/>
              <w:ind w:right="240"/>
              <w:spacing w:after="0"/>
              <w:rPr>
                <w:sz w:val="20"/>
                <w:szCs w:val="20"/>
                <w:color w:val="auto"/>
              </w:rPr>
            </w:pPr>
            <w:r>
              <w:rPr>
                <w:rFonts w:ascii="Arial" w:cs="Arial" w:eastAsia="Arial" w:hAnsi="Arial"/>
                <w:sz w:val="12"/>
                <w:szCs w:val="12"/>
                <w:b w:val="1"/>
                <w:bCs w:val="1"/>
                <w:color w:val="auto"/>
                <w:w w:val="99"/>
              </w:rPr>
              <w:t>31.6%</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9"/>
              </w:rPr>
              <w:t>-39.6%</w:t>
            </w:r>
          </w:p>
        </w:tc>
      </w:tr>
      <w:tr>
        <w:trPr>
          <w:trHeight w:val="304"/>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LIABILITIES AND NET SHAREHOLDERS' EQUITY</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Deposits and obligations</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11,704,551</w:t>
            </w:r>
          </w:p>
        </w:tc>
        <w:tc>
          <w:tcPr>
            <w:tcW w:w="920" w:type="dxa"/>
            <w:vAlign w:val="bottom"/>
          </w:tcPr>
          <w:p>
            <w:pPr>
              <w:jc w:val="center"/>
              <w:spacing w:after="0"/>
              <w:rPr>
                <w:sz w:val="20"/>
                <w:szCs w:val="20"/>
                <w:color w:val="auto"/>
              </w:rPr>
            </w:pPr>
            <w:r>
              <w:rPr>
                <w:rFonts w:ascii="Arial" w:cs="Arial" w:eastAsia="Arial" w:hAnsi="Arial"/>
                <w:sz w:val="12"/>
                <w:szCs w:val="12"/>
                <w:color w:val="auto"/>
              </w:rPr>
              <w:t>5,195,468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6,934,203</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9"/>
              </w:rPr>
              <w:t>33.5%</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-40.8%</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Due to banks and correspondents</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2,032</w:t>
            </w:r>
          </w:p>
        </w:tc>
        <w:tc>
          <w:tcPr>
            <w:tcW w:w="9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1200" w:type="dxa"/>
            <w:vAlign w:val="bottom"/>
          </w:tcPr>
          <w:p>
            <w:pPr>
              <w:jc w:val="center"/>
              <w:ind w:right="260"/>
              <w:spacing w:after="0"/>
              <w:rPr>
                <w:sz w:val="20"/>
                <w:szCs w:val="20"/>
                <w:color w:val="auto"/>
              </w:rPr>
            </w:pPr>
            <w:r>
              <w:rPr>
                <w:rFonts w:ascii="Arial" w:cs="Arial" w:eastAsia="Arial" w:hAnsi="Arial"/>
                <w:sz w:val="12"/>
                <w:szCs w:val="12"/>
                <w:color w:val="auto"/>
                <w:w w:val="99"/>
              </w:rPr>
              <w:t>n.a.</w:t>
            </w:r>
          </w:p>
        </w:tc>
        <w:tc>
          <w:tcPr>
            <w:tcW w:w="6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9"/>
              </w:rPr>
              <w:t>n.a.</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Bonds and subordinated debt</w:t>
            </w:r>
          </w:p>
        </w:tc>
        <w:tc>
          <w:tcPr>
            <w:tcW w:w="940" w:type="dxa"/>
            <w:vAlign w:val="bottom"/>
          </w:tcPr>
          <w:p>
            <w:pPr>
              <w:jc w:val="center"/>
              <w:spacing w:after="0"/>
              <w:rPr>
                <w:sz w:val="20"/>
                <w:szCs w:val="20"/>
                <w:color w:val="auto"/>
              </w:rPr>
            </w:pPr>
            <w:r>
              <w:rPr>
                <w:rFonts w:ascii="Arial" w:cs="Arial" w:eastAsia="Arial" w:hAnsi="Arial"/>
                <w:sz w:val="12"/>
                <w:szCs w:val="12"/>
                <w:color w:val="auto"/>
              </w:rPr>
              <w:t>162,042</w:t>
            </w:r>
          </w:p>
        </w:tc>
        <w:tc>
          <w:tcPr>
            <w:tcW w:w="920" w:type="dxa"/>
            <w:vAlign w:val="bottom"/>
          </w:tcPr>
          <w:p>
            <w:pPr>
              <w:jc w:val="center"/>
              <w:spacing w:after="0"/>
              <w:rPr>
                <w:sz w:val="20"/>
                <w:szCs w:val="20"/>
                <w:color w:val="auto"/>
              </w:rPr>
            </w:pPr>
            <w:r>
              <w:rPr>
                <w:rFonts w:ascii="Arial" w:cs="Arial" w:eastAsia="Arial" w:hAnsi="Arial"/>
                <w:sz w:val="12"/>
                <w:szCs w:val="12"/>
                <w:color w:val="auto"/>
              </w:rPr>
              <w:t>64,048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109,107</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9"/>
              </w:rPr>
              <w:t>70.4%</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-32.7%</w:t>
            </w:r>
          </w:p>
        </w:tc>
      </w:tr>
      <w:tr>
        <w:trPr>
          <w:trHeight w:val="156"/>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Other liabilities</w:t>
            </w:r>
          </w:p>
        </w:tc>
        <w:tc>
          <w:tcPr>
            <w:tcW w:w="940" w:type="dxa"/>
            <w:vAlign w:val="bottom"/>
          </w:tcPr>
          <w:p>
            <w:pPr>
              <w:jc w:val="center"/>
              <w:spacing w:after="0"/>
              <w:rPr>
                <w:sz w:val="20"/>
                <w:szCs w:val="20"/>
                <w:color w:val="auto"/>
              </w:rPr>
            </w:pPr>
            <w:r>
              <w:rPr>
                <w:rFonts w:ascii="Arial" w:cs="Arial" w:eastAsia="Arial" w:hAnsi="Arial"/>
                <w:sz w:val="12"/>
                <w:szCs w:val="12"/>
                <w:color w:val="auto"/>
              </w:rPr>
              <w:t>651,779</w:t>
            </w:r>
          </w:p>
        </w:tc>
        <w:tc>
          <w:tcPr>
            <w:tcW w:w="920" w:type="dxa"/>
            <w:vAlign w:val="bottom"/>
          </w:tcPr>
          <w:p>
            <w:pPr>
              <w:jc w:val="center"/>
              <w:spacing w:after="0"/>
              <w:rPr>
                <w:sz w:val="20"/>
                <w:szCs w:val="20"/>
                <w:color w:val="auto"/>
              </w:rPr>
            </w:pPr>
            <w:r>
              <w:rPr>
                <w:rFonts w:ascii="Arial" w:cs="Arial" w:eastAsia="Arial" w:hAnsi="Arial"/>
                <w:sz w:val="12"/>
                <w:szCs w:val="12"/>
                <w:color w:val="auto"/>
                <w:w w:val="96"/>
              </w:rPr>
              <w:t>374,043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432,084</w:t>
            </w:r>
          </w:p>
        </w:tc>
        <w:tc>
          <w:tcPr>
            <w:tcW w:w="1200" w:type="dxa"/>
            <w:vAlign w:val="bottom"/>
          </w:tcPr>
          <w:p>
            <w:pPr>
              <w:jc w:val="center"/>
              <w:ind w:right="240"/>
              <w:spacing w:after="0"/>
              <w:rPr>
                <w:sz w:val="20"/>
                <w:szCs w:val="20"/>
                <w:color w:val="auto"/>
              </w:rPr>
            </w:pPr>
            <w:r>
              <w:rPr>
                <w:rFonts w:ascii="Arial" w:cs="Arial" w:eastAsia="Arial" w:hAnsi="Arial"/>
                <w:sz w:val="12"/>
                <w:szCs w:val="12"/>
                <w:color w:val="auto"/>
                <w:w w:val="99"/>
              </w:rPr>
              <w:t>15.5%</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-33.7%</w:t>
            </w:r>
          </w:p>
        </w:tc>
      </w:tr>
      <w:tr>
        <w:trPr>
          <w:trHeight w:val="165"/>
        </w:trPr>
        <w:tc>
          <w:tcPr>
            <w:tcW w:w="5780" w:type="dxa"/>
            <w:vAlign w:val="bottom"/>
            <w:tcBorders>
              <w:left w:val="single" w:sz="8" w:color="auto"/>
              <w:right w:val="single" w:sz="8" w:color="auto"/>
            </w:tcBorders>
          </w:tcPr>
          <w:p>
            <w:pPr>
              <w:ind w:left="2460"/>
              <w:spacing w:after="0"/>
              <w:rPr>
                <w:sz w:val="20"/>
                <w:szCs w:val="20"/>
                <w:color w:val="auto"/>
              </w:rPr>
            </w:pPr>
            <w:r>
              <w:rPr>
                <w:rFonts w:ascii="Arial" w:cs="Arial" w:eastAsia="Arial" w:hAnsi="Arial"/>
                <w:sz w:val="12"/>
                <w:szCs w:val="12"/>
                <w:b w:val="1"/>
                <w:bCs w:val="1"/>
                <w:color w:val="auto"/>
              </w:rPr>
              <w:t>Total liabilities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12,520,404</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5,633,559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7,475,394</w:t>
            </w:r>
          </w:p>
        </w:tc>
        <w:tc>
          <w:tcPr>
            <w:tcW w:w="1200" w:type="dxa"/>
            <w:vAlign w:val="bottom"/>
          </w:tcPr>
          <w:p>
            <w:pPr>
              <w:jc w:val="center"/>
              <w:ind w:right="240"/>
              <w:spacing w:after="0"/>
              <w:rPr>
                <w:sz w:val="20"/>
                <w:szCs w:val="20"/>
                <w:color w:val="auto"/>
              </w:rPr>
            </w:pPr>
            <w:r>
              <w:rPr>
                <w:rFonts w:ascii="Arial" w:cs="Arial" w:eastAsia="Arial" w:hAnsi="Arial"/>
                <w:sz w:val="12"/>
                <w:szCs w:val="12"/>
                <w:b w:val="1"/>
                <w:bCs w:val="1"/>
                <w:color w:val="auto"/>
                <w:w w:val="99"/>
              </w:rPr>
              <w:t>32.7%</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9"/>
              </w:rPr>
              <w:t>-40.3%</w:t>
            </w:r>
          </w:p>
        </w:tc>
      </w:tr>
      <w:tr>
        <w:trPr>
          <w:trHeight w:val="312"/>
        </w:trPr>
        <w:tc>
          <w:tcPr>
            <w:tcW w:w="5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equity</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968,862</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6"/>
              </w:rPr>
              <w:t>553,295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668,057</w:t>
            </w:r>
          </w:p>
        </w:tc>
        <w:tc>
          <w:tcPr>
            <w:tcW w:w="1200" w:type="dxa"/>
            <w:vAlign w:val="bottom"/>
          </w:tcPr>
          <w:p>
            <w:pPr>
              <w:jc w:val="center"/>
              <w:ind w:right="240"/>
              <w:spacing w:after="0"/>
              <w:rPr>
                <w:sz w:val="20"/>
                <w:szCs w:val="20"/>
                <w:color w:val="auto"/>
              </w:rPr>
            </w:pPr>
            <w:r>
              <w:rPr>
                <w:rFonts w:ascii="Arial" w:cs="Arial" w:eastAsia="Arial" w:hAnsi="Arial"/>
                <w:sz w:val="12"/>
                <w:szCs w:val="12"/>
                <w:b w:val="1"/>
                <w:bCs w:val="1"/>
                <w:color w:val="auto"/>
                <w:w w:val="99"/>
              </w:rPr>
              <w:t>20.7%</w:t>
            </w:r>
          </w:p>
        </w:tc>
        <w:tc>
          <w:tcPr>
            <w:tcW w:w="6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9"/>
              </w:rPr>
              <w:t>-31.0%</w:t>
            </w:r>
          </w:p>
        </w:tc>
      </w:tr>
      <w:tr>
        <w:trPr>
          <w:trHeight w:val="304"/>
        </w:trPr>
        <w:tc>
          <w:tcPr>
            <w:tcW w:w="5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TOTAL LIABILITIES AND NET EQUITY</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13,489,266</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6,186,854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8,143,451</w:t>
            </w:r>
          </w:p>
        </w:tc>
        <w:tc>
          <w:tcPr>
            <w:tcW w:w="120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w w:val="99"/>
              </w:rPr>
              <w:t>31.6%</w:t>
            </w:r>
          </w:p>
        </w:tc>
        <w:tc>
          <w:tcPr>
            <w:tcW w:w="660" w:type="dxa"/>
            <w:vAlign w:val="bottom"/>
            <w:tcBorders>
              <w:bottom w:val="single" w:sz="8" w:color="auto"/>
              <w:right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9"/>
              </w:rPr>
              <w:t>-39.6%</w:t>
            </w:r>
          </w:p>
        </w:tc>
      </w:tr>
    </w:tbl>
    <w:p>
      <w:pPr>
        <w:spacing w:after="0" w:line="167"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Statement of Income</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(S/ Thousands, IFRS)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32"/>
        </w:trPr>
        <w:tc>
          <w:tcPr>
            <w:tcW w:w="2960" w:type="dxa"/>
            <w:vAlign w:val="bottom"/>
            <w:tcBorders>
              <w:top w:val="single" w:sz="8" w:color="auto"/>
              <w:left w:val="single" w:sz="8" w:color="auto"/>
              <w:right w:val="single" w:sz="8" w:color="auto"/>
            </w:tcBorders>
            <w:shd w:val="clear" w:color="auto" w:fill="33CCCC"/>
          </w:tcPr>
          <w:p>
            <w:pPr>
              <w:spacing w:after="0"/>
              <w:rPr>
                <w:sz w:val="11"/>
                <w:szCs w:val="11"/>
                <w:color w:val="auto"/>
              </w:rPr>
            </w:pPr>
          </w:p>
        </w:tc>
        <w:tc>
          <w:tcPr>
            <w:tcW w:w="920" w:type="dxa"/>
            <w:vAlign w:val="bottom"/>
            <w:tcBorders>
              <w:top w:val="single" w:sz="8" w:color="auto"/>
            </w:tcBorders>
            <w:shd w:val="clear" w:color="auto" w:fill="33CCCC"/>
          </w:tcPr>
          <w:p>
            <w:pPr>
              <w:spacing w:after="0"/>
              <w:rPr>
                <w:sz w:val="11"/>
                <w:szCs w:val="11"/>
                <w:color w:val="auto"/>
              </w:rPr>
            </w:pPr>
          </w:p>
        </w:tc>
        <w:tc>
          <w:tcPr>
            <w:tcW w:w="1000" w:type="dxa"/>
            <w:vAlign w:val="bottom"/>
            <w:tcBorders>
              <w:top w:val="single" w:sz="8" w:color="auto"/>
            </w:tcBorders>
            <w:shd w:val="clear" w:color="auto" w:fill="33CCCC"/>
          </w:tcPr>
          <w:p>
            <w:pPr>
              <w:ind w:left="340"/>
              <w:spacing w:after="0"/>
              <w:rPr>
                <w:sz w:val="20"/>
                <w:szCs w:val="20"/>
                <w:color w:val="auto"/>
              </w:rPr>
            </w:pPr>
            <w:r>
              <w:rPr>
                <w:rFonts w:ascii="Arial" w:cs="Arial" w:eastAsia="Arial" w:hAnsi="Arial"/>
                <w:sz w:val="10"/>
                <w:szCs w:val="10"/>
                <w:b w:val="1"/>
                <w:bCs w:val="1"/>
                <w:color w:val="FFFFFF"/>
              </w:rPr>
              <w:t>Quarter</w:t>
            </w:r>
          </w:p>
        </w:tc>
        <w:tc>
          <w:tcPr>
            <w:tcW w:w="980" w:type="dxa"/>
            <w:vAlign w:val="bottom"/>
            <w:tcBorders>
              <w:top w:val="single" w:sz="8" w:color="auto"/>
              <w:right w:val="single" w:sz="8" w:color="auto"/>
            </w:tcBorders>
            <w:shd w:val="clear" w:color="auto" w:fill="33CCCC"/>
          </w:tcPr>
          <w:p>
            <w:pPr>
              <w:spacing w:after="0"/>
              <w:rPr>
                <w:sz w:val="11"/>
                <w:szCs w:val="11"/>
                <w:color w:val="auto"/>
              </w:rPr>
            </w:pPr>
          </w:p>
        </w:tc>
        <w:tc>
          <w:tcPr>
            <w:tcW w:w="660" w:type="dxa"/>
            <w:vAlign w:val="bottom"/>
            <w:tcBorders>
              <w:top w:val="single" w:sz="8" w:color="auto"/>
            </w:tcBorders>
            <w:shd w:val="clear" w:color="auto" w:fill="33CCCC"/>
          </w:tcPr>
          <w:p>
            <w:pPr>
              <w:spacing w:after="0"/>
              <w:rPr>
                <w:sz w:val="11"/>
                <w:szCs w:val="11"/>
                <w:color w:val="auto"/>
              </w:rPr>
            </w:pPr>
          </w:p>
        </w:tc>
        <w:tc>
          <w:tcPr>
            <w:tcW w:w="1220" w:type="dxa"/>
            <w:vAlign w:val="bottom"/>
            <w:tcBorders>
              <w:top w:val="single" w:sz="8" w:color="auto"/>
              <w:right w:val="single" w:sz="8" w:color="auto"/>
            </w:tcBorders>
            <w:gridSpan w:val="2"/>
            <w:shd w:val="clear" w:color="auto" w:fill="33CCCC"/>
          </w:tcPr>
          <w:p>
            <w:pPr>
              <w:ind w:left="40"/>
              <w:spacing w:after="0"/>
              <w:rPr>
                <w:sz w:val="20"/>
                <w:szCs w:val="20"/>
                <w:color w:val="auto"/>
              </w:rPr>
            </w:pPr>
            <w:r>
              <w:rPr>
                <w:rFonts w:ascii="Arial" w:cs="Arial" w:eastAsia="Arial" w:hAnsi="Arial"/>
                <w:sz w:val="10"/>
                <w:szCs w:val="10"/>
                <w:b w:val="1"/>
                <w:bCs w:val="1"/>
                <w:color w:val="FFFFFF"/>
              </w:rPr>
              <w:t>% change</w:t>
            </w:r>
          </w:p>
        </w:tc>
        <w:tc>
          <w:tcPr>
            <w:tcW w:w="1100" w:type="dxa"/>
            <w:vAlign w:val="bottom"/>
            <w:tcBorders>
              <w:top w:val="single" w:sz="8" w:color="auto"/>
            </w:tcBorders>
            <w:shd w:val="clear" w:color="auto" w:fill="33CCCC"/>
          </w:tcPr>
          <w:p>
            <w:pPr>
              <w:ind w:left="780"/>
              <w:spacing w:after="0"/>
              <w:rPr>
                <w:sz w:val="20"/>
                <w:szCs w:val="20"/>
                <w:color w:val="auto"/>
              </w:rPr>
            </w:pPr>
            <w:r>
              <w:rPr>
                <w:rFonts w:ascii="Arial" w:cs="Arial" w:eastAsia="Arial" w:hAnsi="Arial"/>
                <w:sz w:val="10"/>
                <w:szCs w:val="10"/>
                <w:b w:val="1"/>
                <w:bCs w:val="1"/>
                <w:color w:val="FFFFFF"/>
              </w:rPr>
              <w:t>Up to</w:t>
            </w:r>
          </w:p>
        </w:tc>
        <w:tc>
          <w:tcPr>
            <w:tcW w:w="760" w:type="dxa"/>
            <w:vAlign w:val="bottom"/>
            <w:tcBorders>
              <w:top w:val="single" w:sz="8" w:color="auto"/>
              <w:right w:val="single" w:sz="8" w:color="auto"/>
            </w:tcBorders>
            <w:shd w:val="clear" w:color="auto" w:fill="33CCCC"/>
          </w:tcPr>
          <w:p>
            <w:pPr>
              <w:spacing w:after="0"/>
              <w:rPr>
                <w:sz w:val="11"/>
                <w:szCs w:val="11"/>
                <w:color w:val="auto"/>
              </w:rPr>
            </w:pPr>
          </w:p>
        </w:tc>
        <w:tc>
          <w:tcPr>
            <w:tcW w:w="8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5"/>
              </w:rPr>
              <w:t>% Change</w:t>
            </w:r>
          </w:p>
        </w:tc>
      </w:tr>
      <w:tr>
        <w:trPr>
          <w:trHeight w:val="120"/>
        </w:trPr>
        <w:tc>
          <w:tcPr>
            <w:tcW w:w="2960" w:type="dxa"/>
            <w:vAlign w:val="bottom"/>
            <w:tcBorders>
              <w:left w:val="single" w:sz="8" w:color="auto"/>
              <w:bottom w:val="single" w:sz="8" w:color="auto"/>
              <w:right w:val="single" w:sz="8" w:color="auto"/>
            </w:tcBorders>
            <w:shd w:val="clear" w:color="auto" w:fill="33CCCC"/>
          </w:tcPr>
          <w:p>
            <w:pPr>
              <w:spacing w:after="0"/>
              <w:rPr>
                <w:sz w:val="10"/>
                <w:szCs w:val="10"/>
                <w:color w:val="auto"/>
              </w:rPr>
            </w:pPr>
          </w:p>
        </w:tc>
        <w:tc>
          <w:tcPr>
            <w:tcW w:w="920" w:type="dxa"/>
            <w:vAlign w:val="bottom"/>
            <w:tcBorders>
              <w:bottom w:val="single" w:sz="8" w:color="auto"/>
            </w:tcBorders>
            <w:shd w:val="clear" w:color="auto" w:fill="33CCCC"/>
          </w:tcPr>
          <w:p>
            <w:pPr>
              <w:jc w:val="right"/>
              <w:ind w:right="292"/>
              <w:spacing w:after="0"/>
              <w:rPr>
                <w:sz w:val="20"/>
                <w:szCs w:val="20"/>
                <w:color w:val="auto"/>
              </w:rPr>
            </w:pPr>
            <w:r>
              <w:rPr>
                <w:rFonts w:ascii="Arial" w:cs="Arial" w:eastAsia="Arial" w:hAnsi="Arial"/>
                <w:sz w:val="10"/>
                <w:szCs w:val="10"/>
                <w:b w:val="1"/>
                <w:bCs w:val="1"/>
                <w:color w:val="FFFFFF"/>
              </w:rPr>
              <w:t>3Q24</w:t>
            </w:r>
          </w:p>
        </w:tc>
        <w:tc>
          <w:tcPr>
            <w:tcW w:w="1000" w:type="dxa"/>
            <w:vAlign w:val="bottom"/>
            <w:tcBorders>
              <w:bottom w:val="single" w:sz="8" w:color="auto"/>
            </w:tcBorders>
            <w:shd w:val="clear" w:color="auto" w:fill="33CCCC"/>
          </w:tcPr>
          <w:p>
            <w:pPr>
              <w:jc w:val="center"/>
              <w:ind w:left="11"/>
              <w:spacing w:after="0"/>
              <w:rPr>
                <w:sz w:val="20"/>
                <w:szCs w:val="20"/>
                <w:color w:val="auto"/>
              </w:rPr>
            </w:pPr>
            <w:r>
              <w:rPr>
                <w:rFonts w:ascii="Arial" w:cs="Arial" w:eastAsia="Arial" w:hAnsi="Arial"/>
                <w:sz w:val="10"/>
                <w:szCs w:val="10"/>
                <w:b w:val="1"/>
                <w:bCs w:val="1"/>
                <w:color w:val="FFFFFF"/>
                <w:w w:val="89"/>
              </w:rPr>
              <w:t>2Q25</w:t>
            </w:r>
          </w:p>
        </w:tc>
        <w:tc>
          <w:tcPr>
            <w:tcW w:w="9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89"/>
              </w:rPr>
              <w:t>3Q25</w:t>
            </w:r>
          </w:p>
        </w:tc>
        <w:tc>
          <w:tcPr>
            <w:tcW w:w="660" w:type="dxa"/>
            <w:vAlign w:val="bottom"/>
            <w:tcBorders>
              <w:bottom w:val="single" w:sz="8" w:color="auto"/>
            </w:tcBorders>
            <w:shd w:val="clear" w:color="auto" w:fill="33CCCC"/>
          </w:tcPr>
          <w:p>
            <w:pPr>
              <w:ind w:left="360"/>
              <w:spacing w:after="0"/>
              <w:rPr>
                <w:sz w:val="20"/>
                <w:szCs w:val="20"/>
                <w:color w:val="auto"/>
              </w:rPr>
            </w:pPr>
            <w:r>
              <w:rPr>
                <w:rFonts w:ascii="Arial" w:cs="Arial" w:eastAsia="Arial" w:hAnsi="Arial"/>
                <w:sz w:val="10"/>
                <w:szCs w:val="10"/>
                <w:b w:val="1"/>
                <w:bCs w:val="1"/>
                <w:color w:val="FFFFFF"/>
              </w:rPr>
              <w:t>QoQ</w:t>
            </w:r>
          </w:p>
        </w:tc>
        <w:tc>
          <w:tcPr>
            <w:tcW w:w="1220" w:type="dxa"/>
            <w:vAlign w:val="bottom"/>
            <w:tcBorders>
              <w:bottom w:val="single" w:sz="8" w:color="auto"/>
              <w:right w:val="single" w:sz="8" w:color="auto"/>
            </w:tcBorders>
            <w:gridSpan w:val="2"/>
            <w:shd w:val="clear" w:color="auto" w:fill="33CCCC"/>
          </w:tcPr>
          <w:p>
            <w:pPr>
              <w:ind w:left="620"/>
              <w:spacing w:after="0"/>
              <w:rPr>
                <w:sz w:val="20"/>
                <w:szCs w:val="20"/>
                <w:color w:val="auto"/>
              </w:rPr>
            </w:pPr>
            <w:r>
              <w:rPr>
                <w:rFonts w:ascii="Arial" w:cs="Arial" w:eastAsia="Arial" w:hAnsi="Arial"/>
                <w:sz w:val="10"/>
                <w:szCs w:val="10"/>
                <w:b w:val="1"/>
                <w:bCs w:val="1"/>
                <w:color w:val="FFFFFF"/>
              </w:rPr>
              <w:t>YoY</w:t>
            </w:r>
          </w:p>
        </w:tc>
        <w:tc>
          <w:tcPr>
            <w:tcW w:w="1100" w:type="dxa"/>
            <w:vAlign w:val="bottom"/>
            <w:tcBorders>
              <w:bottom w:val="single" w:sz="8" w:color="auto"/>
            </w:tcBorders>
            <w:shd w:val="clear" w:color="auto" w:fill="33CCCC"/>
          </w:tcPr>
          <w:p>
            <w:pPr>
              <w:ind w:left="300"/>
              <w:spacing w:after="0"/>
              <w:rPr>
                <w:sz w:val="20"/>
                <w:szCs w:val="20"/>
                <w:color w:val="auto"/>
              </w:rPr>
            </w:pPr>
            <w:r>
              <w:rPr>
                <w:rFonts w:ascii="Arial" w:cs="Arial" w:eastAsia="Arial" w:hAnsi="Arial"/>
                <w:sz w:val="10"/>
                <w:szCs w:val="10"/>
                <w:b w:val="1"/>
                <w:bCs w:val="1"/>
                <w:color w:val="FFFFFF"/>
              </w:rPr>
              <w:t>Sep 24</w:t>
            </w:r>
          </w:p>
        </w:tc>
        <w:tc>
          <w:tcPr>
            <w:tcW w:w="760" w:type="dxa"/>
            <w:vAlign w:val="bottom"/>
            <w:tcBorders>
              <w:bottom w:val="single" w:sz="8" w:color="auto"/>
              <w:right w:val="single" w:sz="8" w:color="auto"/>
            </w:tcBorders>
            <w:shd w:val="clear" w:color="auto" w:fill="33CCCC"/>
          </w:tcPr>
          <w:p>
            <w:pPr>
              <w:ind w:left="120"/>
              <w:spacing w:after="0"/>
              <w:rPr>
                <w:sz w:val="20"/>
                <w:szCs w:val="20"/>
                <w:color w:val="auto"/>
              </w:rPr>
            </w:pPr>
            <w:r>
              <w:rPr>
                <w:rFonts w:ascii="Arial" w:cs="Arial" w:eastAsia="Arial" w:hAnsi="Arial"/>
                <w:sz w:val="10"/>
                <w:szCs w:val="10"/>
                <w:b w:val="1"/>
                <w:bCs w:val="1"/>
                <w:color w:val="FFFFFF"/>
              </w:rPr>
              <w:t>Sep 25</w:t>
            </w:r>
          </w:p>
        </w:tc>
        <w:tc>
          <w:tcPr>
            <w:tcW w:w="8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6"/>
              </w:rPr>
              <w:t>Sep 25 / Sep 24</w:t>
            </w:r>
          </w:p>
        </w:tc>
      </w:tr>
      <w:tr>
        <w:trPr>
          <w:trHeight w:val="113"/>
        </w:trPr>
        <w:tc>
          <w:tcPr>
            <w:tcW w:w="2960" w:type="dxa"/>
            <w:vAlign w:val="bottom"/>
            <w:tcBorders>
              <w:left w:val="single" w:sz="8" w:color="auto"/>
              <w:right w:val="single" w:sz="8" w:color="auto"/>
            </w:tcBorders>
          </w:tcPr>
          <w:p>
            <w:pPr>
              <w:ind w:left="20"/>
              <w:spacing w:after="0" w:line="114" w:lineRule="exact"/>
              <w:rPr>
                <w:sz w:val="20"/>
                <w:szCs w:val="20"/>
                <w:color w:val="auto"/>
              </w:rPr>
            </w:pPr>
            <w:r>
              <w:rPr>
                <w:rFonts w:ascii="Arial" w:cs="Arial" w:eastAsia="Arial" w:hAnsi="Arial"/>
                <w:sz w:val="10"/>
                <w:szCs w:val="10"/>
                <w:color w:val="auto"/>
              </w:rPr>
              <w:t>Interests income, net</w:t>
            </w:r>
          </w:p>
        </w:tc>
        <w:tc>
          <w:tcPr>
            <w:tcW w:w="920" w:type="dxa"/>
            <w:vAlign w:val="bottom"/>
          </w:tcPr>
          <w:p>
            <w:pPr>
              <w:jc w:val="right"/>
              <w:ind w:right="252"/>
              <w:spacing w:after="0" w:line="114" w:lineRule="exact"/>
              <w:rPr>
                <w:sz w:val="20"/>
                <w:szCs w:val="20"/>
                <w:color w:val="auto"/>
              </w:rPr>
            </w:pPr>
            <w:r>
              <w:rPr>
                <w:rFonts w:ascii="Arial" w:cs="Arial" w:eastAsia="Arial" w:hAnsi="Arial"/>
                <w:sz w:val="10"/>
                <w:szCs w:val="10"/>
                <w:color w:val="auto"/>
              </w:rPr>
              <w:t>87,688</w:t>
            </w:r>
          </w:p>
        </w:tc>
        <w:tc>
          <w:tcPr>
            <w:tcW w:w="1000" w:type="dxa"/>
            <w:vAlign w:val="bottom"/>
          </w:tcPr>
          <w:p>
            <w:pPr>
              <w:jc w:val="center"/>
              <w:ind w:left="11"/>
              <w:spacing w:after="0" w:line="114" w:lineRule="exact"/>
              <w:rPr>
                <w:sz w:val="20"/>
                <w:szCs w:val="20"/>
                <w:color w:val="auto"/>
              </w:rPr>
            </w:pPr>
            <w:r>
              <w:rPr>
                <w:rFonts w:ascii="Arial" w:cs="Arial" w:eastAsia="Arial" w:hAnsi="Arial"/>
                <w:sz w:val="10"/>
                <w:szCs w:val="10"/>
                <w:color w:val="auto"/>
                <w:w w:val="97"/>
              </w:rPr>
              <w:t>41,983</w:t>
            </w:r>
          </w:p>
        </w:tc>
        <w:tc>
          <w:tcPr>
            <w:tcW w:w="98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0"/>
                <w:szCs w:val="10"/>
                <w:color w:val="auto"/>
                <w:w w:val="97"/>
              </w:rPr>
              <w:t>47,796</w:t>
            </w:r>
          </w:p>
        </w:tc>
        <w:tc>
          <w:tcPr>
            <w:tcW w:w="660" w:type="dxa"/>
            <w:vAlign w:val="bottom"/>
          </w:tcPr>
          <w:p>
            <w:pPr>
              <w:jc w:val="center"/>
              <w:ind w:left="192"/>
              <w:spacing w:after="0" w:line="114" w:lineRule="exact"/>
              <w:rPr>
                <w:sz w:val="20"/>
                <w:szCs w:val="20"/>
                <w:color w:val="auto"/>
              </w:rPr>
            </w:pPr>
            <w:r>
              <w:rPr>
                <w:rFonts w:ascii="Arial" w:cs="Arial" w:eastAsia="Arial" w:hAnsi="Arial"/>
                <w:sz w:val="10"/>
                <w:szCs w:val="10"/>
                <w:color w:val="auto"/>
                <w:w w:val="91"/>
              </w:rPr>
              <w:t>13.8%</w:t>
            </w:r>
          </w:p>
        </w:tc>
        <w:tc>
          <w:tcPr>
            <w:tcW w:w="1180" w:type="dxa"/>
            <w:vAlign w:val="bottom"/>
          </w:tcPr>
          <w:p>
            <w:pPr>
              <w:jc w:val="center"/>
              <w:ind w:left="212"/>
              <w:spacing w:after="0" w:line="114" w:lineRule="exact"/>
              <w:rPr>
                <w:sz w:val="20"/>
                <w:szCs w:val="20"/>
                <w:color w:val="auto"/>
              </w:rPr>
            </w:pPr>
            <w:r>
              <w:rPr>
                <w:rFonts w:ascii="Arial" w:cs="Arial" w:eastAsia="Arial" w:hAnsi="Arial"/>
                <w:sz w:val="10"/>
                <w:szCs w:val="10"/>
                <w:color w:val="auto"/>
              </w:rPr>
              <w:t>-45.5%</w:t>
            </w:r>
          </w:p>
        </w:tc>
        <w:tc>
          <w:tcPr>
            <w:tcW w:w="40" w:type="dxa"/>
            <w:vAlign w:val="bottom"/>
            <w:tcBorders>
              <w:right w:val="single" w:sz="8" w:color="auto"/>
            </w:tcBorders>
          </w:tcPr>
          <w:p>
            <w:pPr>
              <w:spacing w:after="0"/>
              <w:rPr>
                <w:sz w:val="9"/>
                <w:szCs w:val="9"/>
                <w:color w:val="auto"/>
              </w:rPr>
            </w:pPr>
          </w:p>
        </w:tc>
        <w:tc>
          <w:tcPr>
            <w:tcW w:w="1100" w:type="dxa"/>
            <w:vAlign w:val="bottom"/>
          </w:tcPr>
          <w:p>
            <w:pPr>
              <w:jc w:val="center"/>
              <w:ind w:right="152"/>
              <w:spacing w:after="0" w:line="114" w:lineRule="exact"/>
              <w:rPr>
                <w:sz w:val="20"/>
                <w:szCs w:val="20"/>
                <w:color w:val="auto"/>
              </w:rPr>
            </w:pPr>
            <w:r>
              <w:rPr>
                <w:rFonts w:ascii="Arial" w:cs="Arial" w:eastAsia="Arial" w:hAnsi="Arial"/>
                <w:sz w:val="10"/>
                <w:szCs w:val="10"/>
                <w:color w:val="auto"/>
                <w:w w:val="93"/>
              </w:rPr>
              <w:t>265,584</w:t>
            </w:r>
          </w:p>
        </w:tc>
        <w:tc>
          <w:tcPr>
            <w:tcW w:w="760" w:type="dxa"/>
            <w:vAlign w:val="bottom"/>
            <w:tcBorders>
              <w:right w:val="single" w:sz="8" w:color="auto"/>
            </w:tcBorders>
          </w:tcPr>
          <w:p>
            <w:pPr>
              <w:jc w:val="center"/>
              <w:ind w:right="172"/>
              <w:spacing w:after="0" w:line="114" w:lineRule="exact"/>
              <w:rPr>
                <w:sz w:val="20"/>
                <w:szCs w:val="20"/>
                <w:color w:val="auto"/>
              </w:rPr>
            </w:pPr>
            <w:r>
              <w:rPr>
                <w:rFonts w:ascii="Arial" w:cs="Arial" w:eastAsia="Arial" w:hAnsi="Arial"/>
                <w:sz w:val="10"/>
                <w:szCs w:val="10"/>
                <w:color w:val="auto"/>
                <w:w w:val="93"/>
              </w:rPr>
              <w:t>160,845</w:t>
            </w:r>
          </w:p>
        </w:tc>
        <w:tc>
          <w:tcPr>
            <w:tcW w:w="8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0"/>
                <w:szCs w:val="10"/>
                <w:color w:val="auto"/>
                <w:w w:val="94"/>
              </w:rPr>
              <w:t>-39.4%</w:t>
            </w:r>
          </w:p>
        </w:tc>
      </w:tr>
      <w:tr>
        <w:trPr>
          <w:trHeight w:val="11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Provisions for doubtful accounts receivable, net of recoveries</w:t>
            </w:r>
          </w:p>
        </w:tc>
        <w:tc>
          <w:tcPr>
            <w:tcW w:w="920" w:type="dxa"/>
            <w:vAlign w:val="bottom"/>
          </w:tcPr>
          <w:p>
            <w:pPr>
              <w:jc w:val="right"/>
              <w:ind w:right="232"/>
              <w:spacing w:after="0"/>
              <w:rPr>
                <w:sz w:val="20"/>
                <w:szCs w:val="20"/>
                <w:color w:val="auto"/>
              </w:rPr>
            </w:pPr>
            <w:r>
              <w:rPr>
                <w:rFonts w:ascii="Arial" w:cs="Arial" w:eastAsia="Arial" w:hAnsi="Arial"/>
                <w:sz w:val="10"/>
                <w:szCs w:val="10"/>
                <w:color w:val="auto"/>
              </w:rPr>
              <w:t>(10,542)</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91"/>
              </w:rPr>
              <w:t>(11,042)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3,686</w:t>
            </w:r>
          </w:p>
        </w:tc>
        <w:tc>
          <w:tcPr>
            <w:tcW w:w="660" w:type="dxa"/>
            <w:vAlign w:val="bottom"/>
          </w:tcPr>
          <w:p>
            <w:pPr>
              <w:jc w:val="center"/>
              <w:ind w:left="212"/>
              <w:spacing w:after="0"/>
              <w:rPr>
                <w:sz w:val="20"/>
                <w:szCs w:val="20"/>
                <w:color w:val="auto"/>
              </w:rPr>
            </w:pPr>
            <w:r>
              <w:rPr>
                <w:rFonts w:ascii="Arial" w:cs="Arial" w:eastAsia="Arial" w:hAnsi="Arial"/>
                <w:sz w:val="10"/>
                <w:szCs w:val="10"/>
                <w:color w:val="auto"/>
                <w:w w:val="96"/>
              </w:rPr>
              <w:t>-133.4%</w:t>
            </w:r>
          </w:p>
        </w:tc>
        <w:tc>
          <w:tcPr>
            <w:tcW w:w="1180" w:type="dxa"/>
            <w:vAlign w:val="bottom"/>
          </w:tcPr>
          <w:p>
            <w:pPr>
              <w:jc w:val="center"/>
              <w:ind w:left="212"/>
              <w:spacing w:after="0"/>
              <w:rPr>
                <w:sz w:val="20"/>
                <w:szCs w:val="20"/>
                <w:color w:val="auto"/>
              </w:rPr>
            </w:pPr>
            <w:r>
              <w:rPr>
                <w:rFonts w:ascii="Arial" w:cs="Arial" w:eastAsia="Arial" w:hAnsi="Arial"/>
                <w:sz w:val="10"/>
                <w:szCs w:val="10"/>
                <w:color w:val="auto"/>
                <w:w w:val="96"/>
              </w:rPr>
              <w:t>-135.0%</w:t>
            </w:r>
          </w:p>
        </w:tc>
        <w:tc>
          <w:tcPr>
            <w:tcW w:w="40" w:type="dxa"/>
            <w:vAlign w:val="bottom"/>
            <w:tcBorders>
              <w:right w:val="single" w:sz="8" w:color="auto"/>
            </w:tcBorders>
          </w:tcPr>
          <w:p>
            <w:pPr>
              <w:spacing w:after="0"/>
              <w:rPr>
                <w:sz w:val="10"/>
                <w:szCs w:val="10"/>
                <w:color w:val="auto"/>
              </w:rPr>
            </w:pPr>
          </w:p>
        </w:tc>
        <w:tc>
          <w:tcPr>
            <w:tcW w:w="1100" w:type="dxa"/>
            <w:vAlign w:val="bottom"/>
          </w:tcPr>
          <w:p>
            <w:pPr>
              <w:jc w:val="center"/>
              <w:ind w:right="172"/>
              <w:spacing w:after="0"/>
              <w:rPr>
                <w:sz w:val="20"/>
                <w:szCs w:val="20"/>
                <w:color w:val="auto"/>
              </w:rPr>
            </w:pPr>
            <w:r>
              <w:rPr>
                <w:rFonts w:ascii="Arial" w:cs="Arial" w:eastAsia="Arial" w:hAnsi="Arial"/>
                <w:sz w:val="10"/>
                <w:szCs w:val="10"/>
                <w:color w:val="auto"/>
                <w:w w:val="96"/>
              </w:rPr>
              <w:t>(48,661)</w:t>
            </w:r>
          </w:p>
        </w:tc>
        <w:tc>
          <w:tcPr>
            <w:tcW w:w="760" w:type="dxa"/>
            <w:vAlign w:val="bottom"/>
            <w:tcBorders>
              <w:right w:val="single" w:sz="8" w:color="auto"/>
            </w:tcBorders>
          </w:tcPr>
          <w:p>
            <w:pPr>
              <w:jc w:val="center"/>
              <w:ind w:right="152"/>
              <w:spacing w:after="0"/>
              <w:rPr>
                <w:sz w:val="20"/>
                <w:szCs w:val="20"/>
                <w:color w:val="auto"/>
              </w:rPr>
            </w:pPr>
            <w:r>
              <w:rPr>
                <w:rFonts w:ascii="Arial" w:cs="Arial" w:eastAsia="Arial" w:hAnsi="Arial"/>
                <w:sz w:val="10"/>
                <w:szCs w:val="10"/>
                <w:color w:val="auto"/>
                <w:w w:val="96"/>
              </w:rPr>
              <w:t>(13,099)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-73.1%</w:t>
            </w:r>
          </w:p>
        </w:tc>
      </w:tr>
      <w:tr>
        <w:trPr>
          <w:trHeight w:val="122"/>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interest income after provisions</w:t>
            </w:r>
          </w:p>
        </w:tc>
        <w:tc>
          <w:tcPr>
            <w:tcW w:w="920" w:type="dxa"/>
            <w:vAlign w:val="bottom"/>
          </w:tcPr>
          <w:p>
            <w:pPr>
              <w:jc w:val="right"/>
              <w:ind w:right="252"/>
              <w:spacing w:after="0"/>
              <w:rPr>
                <w:sz w:val="20"/>
                <w:szCs w:val="20"/>
                <w:color w:val="auto"/>
              </w:rPr>
            </w:pPr>
            <w:r>
              <w:rPr>
                <w:rFonts w:ascii="Arial" w:cs="Arial" w:eastAsia="Arial" w:hAnsi="Arial"/>
                <w:sz w:val="10"/>
                <w:szCs w:val="10"/>
                <w:b w:val="1"/>
                <w:bCs w:val="1"/>
                <w:color w:val="auto"/>
              </w:rPr>
              <w:t>77,146</w:t>
            </w:r>
          </w:p>
        </w:tc>
        <w:tc>
          <w:tcPr>
            <w:tcW w:w="1000" w:type="dxa"/>
            <w:vAlign w:val="bottom"/>
          </w:tcPr>
          <w:p>
            <w:pPr>
              <w:jc w:val="center"/>
              <w:ind w:left="11"/>
              <w:spacing w:after="0"/>
              <w:rPr>
                <w:sz w:val="20"/>
                <w:szCs w:val="20"/>
                <w:color w:val="auto"/>
              </w:rPr>
            </w:pPr>
            <w:r>
              <w:rPr>
                <w:rFonts w:ascii="Arial" w:cs="Arial" w:eastAsia="Arial" w:hAnsi="Arial"/>
                <w:sz w:val="10"/>
                <w:szCs w:val="10"/>
                <w:b w:val="1"/>
                <w:bCs w:val="1"/>
                <w:color w:val="auto"/>
                <w:w w:val="97"/>
              </w:rPr>
              <w:t>30,941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51,482</w:t>
            </w:r>
          </w:p>
        </w:tc>
        <w:tc>
          <w:tcPr>
            <w:tcW w:w="660" w:type="dxa"/>
            <w:vAlign w:val="bottom"/>
          </w:tcPr>
          <w:p>
            <w:pPr>
              <w:jc w:val="center"/>
              <w:ind w:left="192"/>
              <w:spacing w:after="0"/>
              <w:rPr>
                <w:sz w:val="20"/>
                <w:szCs w:val="20"/>
                <w:color w:val="auto"/>
              </w:rPr>
            </w:pPr>
            <w:r>
              <w:rPr>
                <w:rFonts w:ascii="Arial" w:cs="Arial" w:eastAsia="Arial" w:hAnsi="Arial"/>
                <w:sz w:val="10"/>
                <w:szCs w:val="10"/>
                <w:b w:val="1"/>
                <w:bCs w:val="1"/>
                <w:color w:val="auto"/>
                <w:w w:val="91"/>
              </w:rPr>
              <w:t>66.4%</w:t>
            </w:r>
          </w:p>
        </w:tc>
        <w:tc>
          <w:tcPr>
            <w:tcW w:w="1180" w:type="dxa"/>
            <w:vAlign w:val="bottom"/>
          </w:tcPr>
          <w:p>
            <w:pPr>
              <w:jc w:val="center"/>
              <w:ind w:left="212"/>
              <w:spacing w:after="0"/>
              <w:rPr>
                <w:sz w:val="20"/>
                <w:szCs w:val="20"/>
                <w:color w:val="auto"/>
              </w:rPr>
            </w:pPr>
            <w:r>
              <w:rPr>
                <w:rFonts w:ascii="Arial" w:cs="Arial" w:eastAsia="Arial" w:hAnsi="Arial"/>
                <w:sz w:val="10"/>
                <w:szCs w:val="10"/>
                <w:b w:val="1"/>
                <w:bCs w:val="1"/>
                <w:color w:val="auto"/>
              </w:rPr>
              <w:t>-33.3%</w:t>
            </w:r>
          </w:p>
        </w:tc>
        <w:tc>
          <w:tcPr>
            <w:tcW w:w="40" w:type="dxa"/>
            <w:vAlign w:val="bottom"/>
            <w:tcBorders>
              <w:right w:val="single" w:sz="8" w:color="auto"/>
            </w:tcBorders>
          </w:tcPr>
          <w:p>
            <w:pPr>
              <w:spacing w:after="0"/>
              <w:rPr>
                <w:sz w:val="10"/>
                <w:szCs w:val="10"/>
                <w:color w:val="auto"/>
              </w:rPr>
            </w:pPr>
          </w:p>
        </w:tc>
        <w:tc>
          <w:tcPr>
            <w:tcW w:w="1100" w:type="dxa"/>
            <w:vAlign w:val="bottom"/>
          </w:tcPr>
          <w:p>
            <w:pPr>
              <w:jc w:val="center"/>
              <w:ind w:right="152"/>
              <w:spacing w:after="0"/>
              <w:rPr>
                <w:sz w:val="20"/>
                <w:szCs w:val="20"/>
                <w:color w:val="auto"/>
              </w:rPr>
            </w:pPr>
            <w:r>
              <w:rPr>
                <w:rFonts w:ascii="Arial" w:cs="Arial" w:eastAsia="Arial" w:hAnsi="Arial"/>
                <w:sz w:val="10"/>
                <w:szCs w:val="10"/>
                <w:b w:val="1"/>
                <w:bCs w:val="1"/>
                <w:color w:val="auto"/>
                <w:w w:val="93"/>
              </w:rPr>
              <w:t>216,923</w:t>
            </w:r>
          </w:p>
        </w:tc>
        <w:tc>
          <w:tcPr>
            <w:tcW w:w="760" w:type="dxa"/>
            <w:vAlign w:val="bottom"/>
            <w:tcBorders>
              <w:right w:val="single" w:sz="8" w:color="auto"/>
            </w:tcBorders>
          </w:tcPr>
          <w:p>
            <w:pPr>
              <w:jc w:val="center"/>
              <w:ind w:right="172"/>
              <w:spacing w:after="0"/>
              <w:rPr>
                <w:sz w:val="20"/>
                <w:szCs w:val="20"/>
                <w:color w:val="auto"/>
              </w:rPr>
            </w:pPr>
            <w:r>
              <w:rPr>
                <w:rFonts w:ascii="Arial" w:cs="Arial" w:eastAsia="Arial" w:hAnsi="Arial"/>
                <w:sz w:val="10"/>
                <w:szCs w:val="10"/>
                <w:b w:val="1"/>
                <w:bCs w:val="1"/>
                <w:color w:val="auto"/>
                <w:w w:val="93"/>
              </w:rPr>
              <w:t>147,746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-31.9%</w:t>
            </w: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Non financial income</w:t>
            </w:r>
          </w:p>
        </w:tc>
        <w:tc>
          <w:tcPr>
            <w:tcW w:w="920" w:type="dxa"/>
            <w:vAlign w:val="bottom"/>
          </w:tcPr>
          <w:p>
            <w:pPr>
              <w:jc w:val="right"/>
              <w:ind w:right="252"/>
              <w:spacing w:after="0"/>
              <w:rPr>
                <w:sz w:val="20"/>
                <w:szCs w:val="20"/>
                <w:color w:val="auto"/>
              </w:rPr>
            </w:pPr>
            <w:r>
              <w:rPr>
                <w:rFonts w:ascii="Arial" w:cs="Arial" w:eastAsia="Arial" w:hAnsi="Arial"/>
                <w:sz w:val="10"/>
                <w:szCs w:val="10"/>
                <w:color w:val="auto"/>
              </w:rPr>
              <w:t>36,365</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97"/>
              </w:rPr>
              <w:t>30,938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47,804</w:t>
            </w:r>
          </w:p>
        </w:tc>
        <w:tc>
          <w:tcPr>
            <w:tcW w:w="660" w:type="dxa"/>
            <w:vAlign w:val="bottom"/>
          </w:tcPr>
          <w:p>
            <w:pPr>
              <w:jc w:val="center"/>
              <w:ind w:left="192"/>
              <w:spacing w:after="0"/>
              <w:rPr>
                <w:sz w:val="20"/>
                <w:szCs w:val="20"/>
                <w:color w:val="auto"/>
              </w:rPr>
            </w:pPr>
            <w:r>
              <w:rPr>
                <w:rFonts w:ascii="Arial" w:cs="Arial" w:eastAsia="Arial" w:hAnsi="Arial"/>
                <w:sz w:val="10"/>
                <w:szCs w:val="10"/>
                <w:color w:val="auto"/>
                <w:w w:val="91"/>
              </w:rPr>
              <w:t>54.5%</w:t>
            </w:r>
          </w:p>
        </w:tc>
        <w:tc>
          <w:tcPr>
            <w:tcW w:w="1180" w:type="dxa"/>
            <w:vAlign w:val="bottom"/>
          </w:tcPr>
          <w:p>
            <w:pPr>
              <w:jc w:val="center"/>
              <w:ind w:left="212"/>
              <w:spacing w:after="0"/>
              <w:rPr>
                <w:sz w:val="20"/>
                <w:szCs w:val="20"/>
                <w:color w:val="auto"/>
              </w:rPr>
            </w:pPr>
            <w:r>
              <w:rPr>
                <w:rFonts w:ascii="Arial" w:cs="Arial" w:eastAsia="Arial" w:hAnsi="Arial"/>
                <w:sz w:val="10"/>
                <w:szCs w:val="10"/>
                <w:color w:val="auto"/>
                <w:w w:val="98"/>
              </w:rPr>
              <w:t>31.5%</w:t>
            </w:r>
          </w:p>
        </w:tc>
        <w:tc>
          <w:tcPr>
            <w:tcW w:w="40" w:type="dxa"/>
            <w:vAlign w:val="bottom"/>
            <w:tcBorders>
              <w:right w:val="single" w:sz="8" w:color="auto"/>
            </w:tcBorders>
          </w:tcPr>
          <w:p>
            <w:pPr>
              <w:spacing w:after="0"/>
              <w:rPr>
                <w:sz w:val="10"/>
                <w:szCs w:val="10"/>
                <w:color w:val="auto"/>
              </w:rPr>
            </w:pPr>
          </w:p>
        </w:tc>
        <w:tc>
          <w:tcPr>
            <w:tcW w:w="1100" w:type="dxa"/>
            <w:vAlign w:val="bottom"/>
          </w:tcPr>
          <w:p>
            <w:pPr>
              <w:jc w:val="center"/>
              <w:ind w:right="152"/>
              <w:spacing w:after="0"/>
              <w:rPr>
                <w:sz w:val="20"/>
                <w:szCs w:val="20"/>
                <w:color w:val="auto"/>
              </w:rPr>
            </w:pPr>
            <w:r>
              <w:rPr>
                <w:rFonts w:ascii="Arial" w:cs="Arial" w:eastAsia="Arial" w:hAnsi="Arial"/>
                <w:sz w:val="10"/>
                <w:szCs w:val="10"/>
                <w:color w:val="auto"/>
                <w:w w:val="93"/>
              </w:rPr>
              <w:t>190,879</w:t>
            </w:r>
          </w:p>
        </w:tc>
        <w:tc>
          <w:tcPr>
            <w:tcW w:w="760" w:type="dxa"/>
            <w:vAlign w:val="bottom"/>
            <w:tcBorders>
              <w:right w:val="single" w:sz="8" w:color="auto"/>
            </w:tcBorders>
          </w:tcPr>
          <w:p>
            <w:pPr>
              <w:jc w:val="center"/>
              <w:ind w:right="172"/>
              <w:spacing w:after="0"/>
              <w:rPr>
                <w:sz w:val="20"/>
                <w:szCs w:val="20"/>
                <w:color w:val="auto"/>
              </w:rPr>
            </w:pPr>
            <w:r>
              <w:rPr>
                <w:rFonts w:ascii="Arial" w:cs="Arial" w:eastAsia="Arial" w:hAnsi="Arial"/>
                <w:sz w:val="10"/>
                <w:szCs w:val="10"/>
                <w:color w:val="auto"/>
                <w:w w:val="93"/>
              </w:rPr>
              <w:t>139,557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-26.9%</w:t>
            </w: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Total expenses</w:t>
            </w:r>
          </w:p>
        </w:tc>
        <w:tc>
          <w:tcPr>
            <w:tcW w:w="920" w:type="dxa"/>
            <w:vAlign w:val="bottom"/>
          </w:tcPr>
          <w:p>
            <w:pPr>
              <w:jc w:val="right"/>
              <w:ind w:right="232"/>
              <w:spacing w:after="0"/>
              <w:rPr>
                <w:sz w:val="20"/>
                <w:szCs w:val="20"/>
                <w:color w:val="auto"/>
              </w:rPr>
            </w:pPr>
            <w:r>
              <w:rPr>
                <w:rFonts w:ascii="Arial" w:cs="Arial" w:eastAsia="Arial" w:hAnsi="Arial"/>
                <w:sz w:val="10"/>
                <w:szCs w:val="10"/>
                <w:color w:val="auto"/>
              </w:rPr>
              <w:t>(77,107)</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91"/>
              </w:rPr>
              <w:t>(44,737)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(72,016)</w:t>
            </w:r>
          </w:p>
        </w:tc>
        <w:tc>
          <w:tcPr>
            <w:tcW w:w="660" w:type="dxa"/>
            <w:vAlign w:val="bottom"/>
          </w:tcPr>
          <w:p>
            <w:pPr>
              <w:jc w:val="center"/>
              <w:ind w:left="192"/>
              <w:spacing w:after="0"/>
              <w:rPr>
                <w:sz w:val="20"/>
                <w:szCs w:val="20"/>
                <w:color w:val="auto"/>
              </w:rPr>
            </w:pPr>
            <w:r>
              <w:rPr>
                <w:rFonts w:ascii="Arial" w:cs="Arial" w:eastAsia="Arial" w:hAnsi="Arial"/>
                <w:sz w:val="10"/>
                <w:szCs w:val="10"/>
                <w:color w:val="auto"/>
                <w:w w:val="91"/>
              </w:rPr>
              <w:t>61.0%</w:t>
            </w:r>
          </w:p>
        </w:tc>
        <w:tc>
          <w:tcPr>
            <w:tcW w:w="1180" w:type="dxa"/>
            <w:vAlign w:val="bottom"/>
          </w:tcPr>
          <w:p>
            <w:pPr>
              <w:jc w:val="center"/>
              <w:ind w:left="212"/>
              <w:spacing w:after="0"/>
              <w:rPr>
                <w:sz w:val="20"/>
                <w:szCs w:val="20"/>
                <w:color w:val="auto"/>
              </w:rPr>
            </w:pPr>
            <w:r>
              <w:rPr>
                <w:rFonts w:ascii="Arial" w:cs="Arial" w:eastAsia="Arial" w:hAnsi="Arial"/>
                <w:sz w:val="10"/>
                <w:szCs w:val="10"/>
                <w:color w:val="auto"/>
                <w:w w:val="91"/>
              </w:rPr>
              <w:t>-6.6%</w:t>
            </w:r>
          </w:p>
        </w:tc>
        <w:tc>
          <w:tcPr>
            <w:tcW w:w="40" w:type="dxa"/>
            <w:vAlign w:val="bottom"/>
            <w:tcBorders>
              <w:right w:val="single" w:sz="8" w:color="auto"/>
            </w:tcBorders>
          </w:tcPr>
          <w:p>
            <w:pPr>
              <w:spacing w:after="0"/>
              <w:rPr>
                <w:sz w:val="10"/>
                <w:szCs w:val="10"/>
                <w:color w:val="auto"/>
              </w:rPr>
            </w:pPr>
          </w:p>
        </w:tc>
        <w:tc>
          <w:tcPr>
            <w:tcW w:w="1100" w:type="dxa"/>
            <w:vAlign w:val="bottom"/>
          </w:tcPr>
          <w:p>
            <w:pPr>
              <w:jc w:val="center"/>
              <w:ind w:right="152"/>
              <w:spacing w:after="0"/>
              <w:rPr>
                <w:sz w:val="20"/>
                <w:szCs w:val="20"/>
                <w:color w:val="auto"/>
              </w:rPr>
            </w:pPr>
            <w:r>
              <w:rPr>
                <w:rFonts w:ascii="Arial" w:cs="Arial" w:eastAsia="Arial" w:hAnsi="Arial"/>
                <w:sz w:val="10"/>
                <w:szCs w:val="10"/>
                <w:color w:val="auto"/>
                <w:w w:val="98"/>
              </w:rPr>
              <w:t>(276,878)</w:t>
            </w:r>
          </w:p>
        </w:tc>
        <w:tc>
          <w:tcPr>
            <w:tcW w:w="760" w:type="dxa"/>
            <w:vAlign w:val="bottom"/>
            <w:tcBorders>
              <w:right w:val="single" w:sz="8" w:color="auto"/>
            </w:tcBorders>
          </w:tcPr>
          <w:p>
            <w:pPr>
              <w:jc w:val="center"/>
              <w:ind w:right="152"/>
              <w:spacing w:after="0"/>
              <w:rPr>
                <w:sz w:val="20"/>
                <w:szCs w:val="20"/>
                <w:color w:val="auto"/>
              </w:rPr>
            </w:pPr>
            <w:r>
              <w:rPr>
                <w:rFonts w:ascii="Arial" w:cs="Arial" w:eastAsia="Arial" w:hAnsi="Arial"/>
                <w:sz w:val="10"/>
                <w:szCs w:val="10"/>
                <w:color w:val="auto"/>
                <w:w w:val="93"/>
              </w:rPr>
              <w:t>(210,615)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-23.9%</w:t>
            </w: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Translation result</w:t>
            </w:r>
          </w:p>
        </w:tc>
        <w:tc>
          <w:tcPr>
            <w:tcW w:w="920" w:type="dxa"/>
            <w:vAlign w:val="bottom"/>
          </w:tcPr>
          <w:p>
            <w:pPr>
              <w:jc w:val="right"/>
              <w:ind w:right="312"/>
              <w:spacing w:after="0"/>
              <w:rPr>
                <w:sz w:val="20"/>
                <w:szCs w:val="20"/>
                <w:color w:val="auto"/>
              </w:rPr>
            </w:pPr>
            <w:r>
              <w:rPr>
                <w:rFonts w:ascii="Arial" w:cs="Arial" w:eastAsia="Arial" w:hAnsi="Arial"/>
                <w:sz w:val="10"/>
                <w:szCs w:val="10"/>
                <w:color w:val="auto"/>
              </w:rPr>
              <w:t>849</w:t>
            </w:r>
          </w:p>
        </w:tc>
        <w:tc>
          <w:tcPr>
            <w:tcW w:w="1000" w:type="dxa"/>
            <w:vAlign w:val="bottom"/>
          </w:tcPr>
          <w:p>
            <w:pPr>
              <w:jc w:val="center"/>
              <w:ind w:left="31"/>
              <w:spacing w:after="0"/>
              <w:rPr>
                <w:sz w:val="20"/>
                <w:szCs w:val="20"/>
                <w:color w:val="auto"/>
              </w:rPr>
            </w:pPr>
            <w:r>
              <w:rPr>
                <w:rFonts w:ascii="Arial" w:cs="Arial" w:eastAsia="Arial" w:hAnsi="Arial"/>
                <w:sz w:val="10"/>
                <w:szCs w:val="10"/>
                <w:color w:val="auto"/>
                <w:w w:val="95"/>
              </w:rPr>
              <w:t>2,934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2,537</w:t>
            </w:r>
          </w:p>
        </w:tc>
        <w:tc>
          <w:tcPr>
            <w:tcW w:w="660" w:type="dxa"/>
            <w:vAlign w:val="bottom"/>
          </w:tcPr>
          <w:p>
            <w:pPr>
              <w:jc w:val="center"/>
              <w:ind w:left="192"/>
              <w:spacing w:after="0"/>
              <w:rPr>
                <w:sz w:val="20"/>
                <w:szCs w:val="20"/>
                <w:color w:val="auto"/>
              </w:rPr>
            </w:pPr>
            <w:r>
              <w:rPr>
                <w:rFonts w:ascii="Arial" w:cs="Arial" w:eastAsia="Arial" w:hAnsi="Arial"/>
                <w:sz w:val="10"/>
                <w:szCs w:val="10"/>
                <w:color w:val="auto"/>
                <w:w w:val="94"/>
              </w:rPr>
              <w:t>-13.5%</w:t>
            </w:r>
          </w:p>
        </w:tc>
        <w:tc>
          <w:tcPr>
            <w:tcW w:w="1180" w:type="dxa"/>
            <w:vAlign w:val="bottom"/>
          </w:tcPr>
          <w:p>
            <w:pPr>
              <w:jc w:val="center"/>
              <w:ind w:left="212"/>
              <w:spacing w:after="0"/>
              <w:rPr>
                <w:sz w:val="20"/>
                <w:szCs w:val="20"/>
                <w:color w:val="auto"/>
              </w:rPr>
            </w:pPr>
            <w:r>
              <w:rPr>
                <w:rFonts w:ascii="Arial" w:cs="Arial" w:eastAsia="Arial" w:hAnsi="Arial"/>
                <w:sz w:val="10"/>
                <w:szCs w:val="10"/>
                <w:color w:val="auto"/>
                <w:w w:val="94"/>
              </w:rPr>
              <w:t>198.8%</w:t>
            </w:r>
          </w:p>
        </w:tc>
        <w:tc>
          <w:tcPr>
            <w:tcW w:w="40" w:type="dxa"/>
            <w:vAlign w:val="bottom"/>
            <w:tcBorders>
              <w:right w:val="single" w:sz="8" w:color="auto"/>
            </w:tcBorders>
          </w:tcPr>
          <w:p>
            <w:pPr>
              <w:spacing w:after="0"/>
              <w:rPr>
                <w:sz w:val="10"/>
                <w:szCs w:val="10"/>
                <w:color w:val="auto"/>
              </w:rPr>
            </w:pPr>
          </w:p>
        </w:tc>
        <w:tc>
          <w:tcPr>
            <w:tcW w:w="1100" w:type="dxa"/>
            <w:vAlign w:val="bottom"/>
          </w:tcPr>
          <w:p>
            <w:pPr>
              <w:jc w:val="center"/>
              <w:ind w:right="172"/>
              <w:spacing w:after="0"/>
              <w:rPr>
                <w:sz w:val="20"/>
                <w:szCs w:val="20"/>
                <w:color w:val="auto"/>
              </w:rPr>
            </w:pPr>
            <w:r>
              <w:rPr>
                <w:rFonts w:ascii="Arial" w:cs="Arial" w:eastAsia="Arial" w:hAnsi="Arial"/>
                <w:sz w:val="10"/>
                <w:szCs w:val="10"/>
                <w:color w:val="auto"/>
                <w:w w:val="95"/>
              </w:rPr>
              <w:t>450</w:t>
            </w:r>
          </w:p>
        </w:tc>
        <w:tc>
          <w:tcPr>
            <w:tcW w:w="760" w:type="dxa"/>
            <w:vAlign w:val="bottom"/>
            <w:tcBorders>
              <w:right w:val="single" w:sz="8" w:color="auto"/>
            </w:tcBorders>
          </w:tcPr>
          <w:p>
            <w:pPr>
              <w:jc w:val="center"/>
              <w:ind w:right="152"/>
              <w:spacing w:after="0"/>
              <w:rPr>
                <w:sz w:val="20"/>
                <w:szCs w:val="20"/>
                <w:color w:val="auto"/>
              </w:rPr>
            </w:pPr>
            <w:r>
              <w:rPr>
                <w:rFonts w:ascii="Arial" w:cs="Arial" w:eastAsia="Arial" w:hAnsi="Arial"/>
                <w:sz w:val="10"/>
                <w:szCs w:val="10"/>
                <w:color w:val="auto"/>
                <w:w w:val="95"/>
              </w:rPr>
              <w:t>9,239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1953.1%</w:t>
            </w:r>
          </w:p>
        </w:tc>
      </w:tr>
      <w:tr>
        <w:trPr>
          <w:trHeight w:val="118"/>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Income tax</w:t>
            </w:r>
          </w:p>
        </w:tc>
        <w:tc>
          <w:tcPr>
            <w:tcW w:w="920" w:type="dxa"/>
            <w:vAlign w:val="bottom"/>
          </w:tcPr>
          <w:p>
            <w:pPr>
              <w:jc w:val="right"/>
              <w:ind w:right="232"/>
              <w:spacing w:after="0"/>
              <w:rPr>
                <w:sz w:val="20"/>
                <w:szCs w:val="20"/>
                <w:color w:val="auto"/>
              </w:rPr>
            </w:pPr>
            <w:r>
              <w:rPr>
                <w:rFonts w:ascii="Arial" w:cs="Arial" w:eastAsia="Arial" w:hAnsi="Arial"/>
                <w:sz w:val="10"/>
                <w:szCs w:val="10"/>
                <w:color w:val="auto"/>
              </w:rPr>
              <w:t>(20,638)</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94"/>
              </w:rPr>
              <w:t>(5,846)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(7,147)</w:t>
            </w:r>
          </w:p>
        </w:tc>
        <w:tc>
          <w:tcPr>
            <w:tcW w:w="660" w:type="dxa"/>
            <w:vAlign w:val="bottom"/>
          </w:tcPr>
          <w:p>
            <w:pPr>
              <w:jc w:val="center"/>
              <w:ind w:left="192"/>
              <w:spacing w:after="0"/>
              <w:rPr>
                <w:sz w:val="20"/>
                <w:szCs w:val="20"/>
                <w:color w:val="auto"/>
              </w:rPr>
            </w:pPr>
            <w:r>
              <w:rPr>
                <w:rFonts w:ascii="Arial" w:cs="Arial" w:eastAsia="Arial" w:hAnsi="Arial"/>
                <w:sz w:val="10"/>
                <w:szCs w:val="10"/>
                <w:color w:val="auto"/>
                <w:w w:val="91"/>
              </w:rPr>
              <w:t>22.3%</w:t>
            </w:r>
          </w:p>
        </w:tc>
        <w:tc>
          <w:tcPr>
            <w:tcW w:w="1180" w:type="dxa"/>
            <w:vAlign w:val="bottom"/>
          </w:tcPr>
          <w:p>
            <w:pPr>
              <w:jc w:val="center"/>
              <w:ind w:left="212"/>
              <w:spacing w:after="0"/>
              <w:rPr>
                <w:sz w:val="20"/>
                <w:szCs w:val="20"/>
                <w:color w:val="auto"/>
              </w:rPr>
            </w:pPr>
            <w:r>
              <w:rPr>
                <w:rFonts w:ascii="Arial" w:cs="Arial" w:eastAsia="Arial" w:hAnsi="Arial"/>
                <w:sz w:val="10"/>
                <w:szCs w:val="10"/>
                <w:color w:val="auto"/>
              </w:rPr>
              <w:t>-65.4%</w:t>
            </w:r>
          </w:p>
        </w:tc>
        <w:tc>
          <w:tcPr>
            <w:tcW w:w="40" w:type="dxa"/>
            <w:vAlign w:val="bottom"/>
            <w:tcBorders>
              <w:right w:val="single" w:sz="8" w:color="auto"/>
            </w:tcBorders>
          </w:tcPr>
          <w:p>
            <w:pPr>
              <w:spacing w:after="0"/>
              <w:rPr>
                <w:sz w:val="10"/>
                <w:szCs w:val="10"/>
                <w:color w:val="auto"/>
              </w:rPr>
            </w:pPr>
          </w:p>
        </w:tc>
        <w:tc>
          <w:tcPr>
            <w:tcW w:w="1100" w:type="dxa"/>
            <w:vAlign w:val="bottom"/>
          </w:tcPr>
          <w:p>
            <w:pPr>
              <w:jc w:val="center"/>
              <w:ind w:right="172"/>
              <w:spacing w:after="0"/>
              <w:rPr>
                <w:sz w:val="20"/>
                <w:szCs w:val="20"/>
                <w:color w:val="auto"/>
              </w:rPr>
            </w:pPr>
            <w:r>
              <w:rPr>
                <w:rFonts w:ascii="Arial" w:cs="Arial" w:eastAsia="Arial" w:hAnsi="Arial"/>
                <w:sz w:val="10"/>
                <w:szCs w:val="10"/>
                <w:color w:val="auto"/>
                <w:w w:val="96"/>
              </w:rPr>
              <w:t>(61,365)</w:t>
            </w:r>
          </w:p>
        </w:tc>
        <w:tc>
          <w:tcPr>
            <w:tcW w:w="760" w:type="dxa"/>
            <w:vAlign w:val="bottom"/>
            <w:tcBorders>
              <w:right w:val="single" w:sz="8" w:color="auto"/>
            </w:tcBorders>
          </w:tcPr>
          <w:p>
            <w:pPr>
              <w:jc w:val="center"/>
              <w:ind w:right="152"/>
              <w:spacing w:after="0"/>
              <w:rPr>
                <w:sz w:val="20"/>
                <w:szCs w:val="20"/>
                <w:color w:val="auto"/>
              </w:rPr>
            </w:pPr>
            <w:r>
              <w:rPr>
                <w:rFonts w:ascii="Arial" w:cs="Arial" w:eastAsia="Arial" w:hAnsi="Arial"/>
                <w:sz w:val="10"/>
                <w:szCs w:val="10"/>
                <w:color w:val="auto"/>
                <w:w w:val="96"/>
              </w:rPr>
              <w:t>(24,810)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-59.6%</w:t>
            </w:r>
          </w:p>
        </w:tc>
      </w:tr>
      <w:tr>
        <w:trPr>
          <w:trHeight w:val="121"/>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profit</w:t>
            </w: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16,615</w:t>
            </w:r>
          </w:p>
        </w:tc>
        <w:tc>
          <w:tcPr>
            <w:tcW w:w="1000" w:type="dxa"/>
            <w:vAlign w:val="bottom"/>
            <w:tcBorders>
              <w:bottom w:val="single" w:sz="8" w:color="auto"/>
            </w:tcBorders>
          </w:tcPr>
          <w:p>
            <w:pPr>
              <w:jc w:val="center"/>
              <w:ind w:left="11"/>
              <w:spacing w:after="0"/>
              <w:rPr>
                <w:sz w:val="20"/>
                <w:szCs w:val="20"/>
                <w:color w:val="auto"/>
              </w:rPr>
            </w:pPr>
            <w:r>
              <w:rPr>
                <w:rFonts w:ascii="Arial" w:cs="Arial" w:eastAsia="Arial" w:hAnsi="Arial"/>
                <w:sz w:val="10"/>
                <w:szCs w:val="10"/>
                <w:b w:val="1"/>
                <w:bCs w:val="1"/>
                <w:color w:val="auto"/>
                <w:w w:val="97"/>
              </w:rPr>
              <w:t>14,230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22,660</w:t>
            </w:r>
          </w:p>
        </w:tc>
        <w:tc>
          <w:tcPr>
            <w:tcW w:w="660" w:type="dxa"/>
            <w:vAlign w:val="bottom"/>
            <w:tcBorders>
              <w:bottom w:val="single" w:sz="8" w:color="auto"/>
            </w:tcBorders>
          </w:tcPr>
          <w:p>
            <w:pPr>
              <w:jc w:val="center"/>
              <w:ind w:left="192"/>
              <w:spacing w:after="0"/>
              <w:rPr>
                <w:sz w:val="20"/>
                <w:szCs w:val="20"/>
                <w:color w:val="auto"/>
              </w:rPr>
            </w:pPr>
            <w:r>
              <w:rPr>
                <w:rFonts w:ascii="Arial" w:cs="Arial" w:eastAsia="Arial" w:hAnsi="Arial"/>
                <w:sz w:val="10"/>
                <w:szCs w:val="10"/>
                <w:b w:val="1"/>
                <w:bCs w:val="1"/>
                <w:color w:val="auto"/>
                <w:w w:val="91"/>
              </w:rPr>
              <w:t>59.2%</w:t>
            </w:r>
          </w:p>
        </w:tc>
        <w:tc>
          <w:tcPr>
            <w:tcW w:w="1180" w:type="dxa"/>
            <w:vAlign w:val="bottom"/>
            <w:tcBorders>
              <w:bottom w:val="single" w:sz="8" w:color="auto"/>
            </w:tcBorders>
          </w:tcPr>
          <w:p>
            <w:pPr>
              <w:jc w:val="center"/>
              <w:ind w:left="212"/>
              <w:spacing w:after="0"/>
              <w:rPr>
                <w:sz w:val="20"/>
                <w:szCs w:val="20"/>
                <w:color w:val="auto"/>
              </w:rPr>
            </w:pPr>
            <w:r>
              <w:rPr>
                <w:rFonts w:ascii="Arial" w:cs="Arial" w:eastAsia="Arial" w:hAnsi="Arial"/>
                <w:sz w:val="10"/>
                <w:szCs w:val="10"/>
                <w:b w:val="1"/>
                <w:bCs w:val="1"/>
                <w:color w:val="auto"/>
                <w:w w:val="98"/>
              </w:rPr>
              <w:t>36.4%</w:t>
            </w:r>
          </w:p>
        </w:tc>
        <w:tc>
          <w:tcPr>
            <w:tcW w:w="4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jc w:val="center"/>
              <w:ind w:right="152"/>
              <w:spacing w:after="0"/>
              <w:rPr>
                <w:sz w:val="20"/>
                <w:szCs w:val="20"/>
                <w:color w:val="auto"/>
              </w:rPr>
            </w:pPr>
            <w:r>
              <w:rPr>
                <w:rFonts w:ascii="Arial" w:cs="Arial" w:eastAsia="Arial" w:hAnsi="Arial"/>
                <w:sz w:val="10"/>
                <w:szCs w:val="10"/>
                <w:b w:val="1"/>
                <w:bCs w:val="1"/>
                <w:color w:val="auto"/>
                <w:w w:val="97"/>
              </w:rPr>
              <w:t>70,009</w:t>
            </w:r>
          </w:p>
        </w:tc>
        <w:tc>
          <w:tcPr>
            <w:tcW w:w="760" w:type="dxa"/>
            <w:vAlign w:val="bottom"/>
            <w:tcBorders>
              <w:bottom w:val="single" w:sz="8" w:color="auto"/>
              <w:right w:val="single" w:sz="8" w:color="auto"/>
            </w:tcBorders>
          </w:tcPr>
          <w:p>
            <w:pPr>
              <w:jc w:val="center"/>
              <w:ind w:right="152"/>
              <w:spacing w:after="0"/>
              <w:rPr>
                <w:sz w:val="20"/>
                <w:szCs w:val="20"/>
                <w:color w:val="auto"/>
              </w:rPr>
            </w:pPr>
            <w:r>
              <w:rPr>
                <w:rFonts w:ascii="Arial" w:cs="Arial" w:eastAsia="Arial" w:hAnsi="Arial"/>
                <w:sz w:val="10"/>
                <w:szCs w:val="10"/>
                <w:b w:val="1"/>
                <w:bCs w:val="1"/>
                <w:color w:val="auto"/>
                <w:w w:val="91"/>
              </w:rPr>
              <w:t>61,117</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-12.7%</w:t>
            </w:r>
          </w:p>
        </w:tc>
      </w:tr>
      <w:tr>
        <w:trPr>
          <w:trHeight w:val="374"/>
        </w:trPr>
        <w:tc>
          <w:tcPr>
            <w:tcW w:w="2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40" w:type="dxa"/>
            <w:vAlign w:val="bottom"/>
            <w:gridSpan w:val="3"/>
          </w:tcPr>
          <w:p>
            <w:pPr>
              <w:ind w:left="280"/>
              <w:spacing w:after="0"/>
              <w:rPr>
                <w:sz w:val="20"/>
                <w:szCs w:val="20"/>
                <w:color w:val="auto"/>
              </w:rPr>
            </w:pPr>
            <w:r>
              <w:rPr>
                <w:rFonts w:ascii="Arial" w:cs="Arial" w:eastAsia="Arial" w:hAnsi="Arial"/>
                <w:sz w:val="16"/>
                <w:szCs w:val="16"/>
                <w:b w:val="1"/>
                <w:bCs w:val="1"/>
                <w:color w:val="auto"/>
              </w:rPr>
              <w:t>Selected Financial Indicators</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8"/>
        </w:trPr>
        <w:tc>
          <w:tcPr>
            <w:tcW w:w="29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12"/>
        </w:trPr>
        <w:tc>
          <w:tcPr>
            <w:tcW w:w="2960" w:type="dxa"/>
            <w:vAlign w:val="bottom"/>
            <w:tcBorders>
              <w:left w:val="single" w:sz="8" w:color="auto"/>
              <w:right w:val="single" w:sz="8" w:color="auto"/>
            </w:tcBorders>
            <w:shd w:val="clear" w:color="auto" w:fill="33CCCC"/>
          </w:tcPr>
          <w:p>
            <w:pPr>
              <w:spacing w:after="0"/>
              <w:rPr>
                <w:sz w:val="9"/>
                <w:szCs w:val="9"/>
                <w:color w:val="auto"/>
              </w:rPr>
            </w:pPr>
          </w:p>
        </w:tc>
        <w:tc>
          <w:tcPr>
            <w:tcW w:w="920" w:type="dxa"/>
            <w:vAlign w:val="bottom"/>
            <w:shd w:val="clear" w:color="auto" w:fill="33CCCC"/>
          </w:tcPr>
          <w:p>
            <w:pPr>
              <w:spacing w:after="0"/>
              <w:rPr>
                <w:sz w:val="9"/>
                <w:szCs w:val="9"/>
                <w:color w:val="auto"/>
              </w:rPr>
            </w:pPr>
          </w:p>
        </w:tc>
        <w:tc>
          <w:tcPr>
            <w:tcW w:w="1000" w:type="dxa"/>
            <w:vAlign w:val="bottom"/>
            <w:shd w:val="clear" w:color="auto" w:fill="33CCCC"/>
          </w:tcPr>
          <w:p>
            <w:pPr>
              <w:ind w:left="320"/>
              <w:spacing w:after="0" w:line="112" w:lineRule="exact"/>
              <w:rPr>
                <w:sz w:val="20"/>
                <w:szCs w:val="20"/>
                <w:color w:val="auto"/>
              </w:rPr>
            </w:pPr>
            <w:r>
              <w:rPr>
                <w:rFonts w:ascii="Arial" w:cs="Arial" w:eastAsia="Arial" w:hAnsi="Arial"/>
                <w:sz w:val="10"/>
                <w:szCs w:val="10"/>
                <w:b w:val="1"/>
                <w:bCs w:val="1"/>
                <w:color w:val="FFFFFF"/>
              </w:rPr>
              <w:t>Quarter</w:t>
            </w:r>
          </w:p>
        </w:tc>
        <w:tc>
          <w:tcPr>
            <w:tcW w:w="980" w:type="dxa"/>
            <w:vAlign w:val="bottom"/>
            <w:tcBorders>
              <w:right w:val="single" w:sz="8" w:color="auto"/>
            </w:tcBorders>
            <w:shd w:val="clear" w:color="auto" w:fill="33CCCC"/>
          </w:tcPr>
          <w:p>
            <w:pPr>
              <w:spacing w:after="0"/>
              <w:rPr>
                <w:sz w:val="9"/>
                <w:szCs w:val="9"/>
                <w:color w:val="auto"/>
              </w:rPr>
            </w:pPr>
          </w:p>
        </w:tc>
        <w:tc>
          <w:tcPr>
            <w:tcW w:w="660" w:type="dxa"/>
            <w:vAlign w:val="bottom"/>
            <w:shd w:val="clear" w:color="auto" w:fill="33CCCC"/>
          </w:tcPr>
          <w:p>
            <w:pPr>
              <w:spacing w:after="0"/>
              <w:rPr>
                <w:sz w:val="9"/>
                <w:szCs w:val="9"/>
                <w:color w:val="auto"/>
              </w:rPr>
            </w:pPr>
          </w:p>
        </w:tc>
        <w:tc>
          <w:tcPr>
            <w:tcW w:w="1180" w:type="dxa"/>
            <w:vAlign w:val="bottom"/>
            <w:tcBorders>
              <w:right w:val="single" w:sz="8" w:color="auto"/>
            </w:tcBorders>
            <w:shd w:val="clear" w:color="auto" w:fill="33CCCC"/>
          </w:tcPr>
          <w:p>
            <w:pPr>
              <w:ind w:left="60"/>
              <w:spacing w:after="0" w:line="112" w:lineRule="exact"/>
              <w:rPr>
                <w:sz w:val="20"/>
                <w:szCs w:val="20"/>
                <w:color w:val="auto"/>
              </w:rPr>
            </w:pPr>
            <w:r>
              <w:rPr>
                <w:rFonts w:ascii="Arial" w:cs="Arial" w:eastAsia="Arial" w:hAnsi="Arial"/>
                <w:sz w:val="10"/>
                <w:szCs w:val="10"/>
                <w:b w:val="1"/>
                <w:bCs w:val="1"/>
                <w:color w:val="FFFFFF"/>
              </w:rPr>
              <w:t>Change</w:t>
            </w:r>
          </w:p>
        </w:tc>
        <w:tc>
          <w:tcPr>
            <w:tcW w:w="40" w:type="dxa"/>
            <w:vAlign w:val="bottom"/>
            <w:tcBorders>
              <w:right w:val="single" w:sz="8" w:color="33CCCC"/>
            </w:tcBorders>
            <w:shd w:val="clear" w:color="auto" w:fill="33CCCC"/>
          </w:tcPr>
          <w:p>
            <w:pPr>
              <w:spacing w:after="0"/>
              <w:rPr>
                <w:sz w:val="9"/>
                <w:szCs w:val="9"/>
                <w:color w:val="auto"/>
              </w:rPr>
            </w:pPr>
          </w:p>
        </w:tc>
        <w:tc>
          <w:tcPr>
            <w:tcW w:w="1100" w:type="dxa"/>
            <w:vAlign w:val="bottom"/>
            <w:shd w:val="clear" w:color="auto" w:fill="33CCCC"/>
          </w:tcPr>
          <w:p>
            <w:pPr>
              <w:ind w:left="760"/>
              <w:spacing w:after="0" w:line="112" w:lineRule="exact"/>
              <w:rPr>
                <w:sz w:val="20"/>
                <w:szCs w:val="20"/>
                <w:color w:val="auto"/>
              </w:rPr>
            </w:pPr>
            <w:r>
              <w:rPr>
                <w:rFonts w:ascii="Arial" w:cs="Arial" w:eastAsia="Arial" w:hAnsi="Arial"/>
                <w:sz w:val="10"/>
                <w:szCs w:val="10"/>
                <w:b w:val="1"/>
                <w:bCs w:val="1"/>
                <w:color w:val="FFFFFF"/>
              </w:rPr>
              <w:t>Up to</w:t>
            </w:r>
          </w:p>
        </w:tc>
        <w:tc>
          <w:tcPr>
            <w:tcW w:w="760" w:type="dxa"/>
            <w:vAlign w:val="bottom"/>
            <w:tcBorders>
              <w:right w:val="single" w:sz="8" w:color="auto"/>
            </w:tcBorders>
            <w:shd w:val="clear" w:color="auto" w:fill="33CCCC"/>
          </w:tcPr>
          <w:p>
            <w:pPr>
              <w:spacing w:after="0"/>
              <w:rPr>
                <w:sz w:val="9"/>
                <w:szCs w:val="9"/>
                <w:color w:val="auto"/>
              </w:rPr>
            </w:pPr>
          </w:p>
        </w:tc>
        <w:tc>
          <w:tcPr>
            <w:tcW w:w="860" w:type="dxa"/>
            <w:vAlign w:val="bottom"/>
            <w:tcBorders>
              <w:right w:val="single" w:sz="8" w:color="auto"/>
            </w:tcBorders>
            <w:shd w:val="clear" w:color="auto" w:fill="33CCCC"/>
          </w:tcPr>
          <w:p>
            <w:pPr>
              <w:jc w:val="center"/>
              <w:spacing w:after="0" w:line="112" w:lineRule="exact"/>
              <w:rPr>
                <w:sz w:val="20"/>
                <w:szCs w:val="20"/>
                <w:color w:val="auto"/>
              </w:rPr>
            </w:pPr>
            <w:r>
              <w:rPr>
                <w:rFonts w:ascii="Arial" w:cs="Arial" w:eastAsia="Arial" w:hAnsi="Arial"/>
                <w:sz w:val="10"/>
                <w:szCs w:val="10"/>
                <w:b w:val="1"/>
                <w:bCs w:val="1"/>
                <w:color w:val="FFFFFF"/>
                <w:w w:val="92"/>
              </w:rPr>
              <w:t>Change</w:t>
            </w:r>
          </w:p>
        </w:tc>
      </w:tr>
      <w:tr>
        <w:trPr>
          <w:trHeight w:val="120"/>
        </w:trPr>
        <w:tc>
          <w:tcPr>
            <w:tcW w:w="2960" w:type="dxa"/>
            <w:vAlign w:val="bottom"/>
            <w:tcBorders>
              <w:left w:val="single" w:sz="8" w:color="auto"/>
              <w:bottom w:val="single" w:sz="8" w:color="auto"/>
              <w:right w:val="single" w:sz="8" w:color="auto"/>
            </w:tcBorders>
            <w:shd w:val="clear" w:color="auto" w:fill="33CCCC"/>
          </w:tcPr>
          <w:p>
            <w:pPr>
              <w:spacing w:after="0"/>
              <w:rPr>
                <w:sz w:val="10"/>
                <w:szCs w:val="10"/>
                <w:color w:val="auto"/>
              </w:rPr>
            </w:pP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89"/>
              </w:rPr>
              <w:t>3Q24</w:t>
            </w:r>
          </w:p>
        </w:tc>
        <w:tc>
          <w:tcPr>
            <w:tcW w:w="10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89"/>
              </w:rPr>
              <w:t>2Q25</w:t>
            </w:r>
          </w:p>
        </w:tc>
        <w:tc>
          <w:tcPr>
            <w:tcW w:w="980" w:type="dxa"/>
            <w:vAlign w:val="bottom"/>
            <w:tcBorders>
              <w:bottom w:val="single" w:sz="8" w:color="auto"/>
              <w:right w:val="single" w:sz="8" w:color="auto"/>
            </w:tcBorders>
            <w:shd w:val="clear" w:color="auto" w:fill="33CCCC"/>
          </w:tcPr>
          <w:p>
            <w:pPr>
              <w:jc w:val="center"/>
              <w:ind w:right="32"/>
              <w:spacing w:after="0"/>
              <w:rPr>
                <w:sz w:val="20"/>
                <w:szCs w:val="20"/>
                <w:color w:val="auto"/>
              </w:rPr>
            </w:pPr>
            <w:r>
              <w:rPr>
                <w:rFonts w:ascii="Arial" w:cs="Arial" w:eastAsia="Arial" w:hAnsi="Arial"/>
                <w:sz w:val="10"/>
                <w:szCs w:val="10"/>
                <w:b w:val="1"/>
                <w:bCs w:val="1"/>
                <w:color w:val="FFFFFF"/>
                <w:w w:val="89"/>
              </w:rPr>
              <w:t>3Q25</w:t>
            </w:r>
          </w:p>
        </w:tc>
        <w:tc>
          <w:tcPr>
            <w:tcW w:w="660" w:type="dxa"/>
            <w:vAlign w:val="bottom"/>
            <w:tcBorders>
              <w:bottom w:val="single" w:sz="8" w:color="auto"/>
            </w:tcBorders>
            <w:shd w:val="clear" w:color="auto" w:fill="33CCCC"/>
          </w:tcPr>
          <w:p>
            <w:pPr>
              <w:jc w:val="center"/>
              <w:ind w:left="132"/>
              <w:spacing w:after="0"/>
              <w:rPr>
                <w:sz w:val="20"/>
                <w:szCs w:val="20"/>
                <w:color w:val="auto"/>
              </w:rPr>
            </w:pPr>
            <w:r>
              <w:rPr>
                <w:rFonts w:ascii="Arial" w:cs="Arial" w:eastAsia="Arial" w:hAnsi="Arial"/>
                <w:sz w:val="10"/>
                <w:szCs w:val="10"/>
                <w:b w:val="1"/>
                <w:bCs w:val="1"/>
                <w:color w:val="FFFFFF"/>
                <w:w w:val="92"/>
              </w:rPr>
              <w:t>QoQ</w:t>
            </w:r>
          </w:p>
        </w:tc>
        <w:tc>
          <w:tcPr>
            <w:tcW w:w="1180" w:type="dxa"/>
            <w:vAlign w:val="bottom"/>
            <w:tcBorders>
              <w:bottom w:val="single" w:sz="8" w:color="auto"/>
              <w:right w:val="single" w:sz="8" w:color="auto"/>
            </w:tcBorders>
            <w:shd w:val="clear" w:color="auto" w:fill="33CCCC"/>
          </w:tcPr>
          <w:p>
            <w:pPr>
              <w:jc w:val="center"/>
              <w:ind w:left="152"/>
              <w:spacing w:after="0"/>
              <w:rPr>
                <w:sz w:val="20"/>
                <w:szCs w:val="20"/>
                <w:color w:val="auto"/>
              </w:rPr>
            </w:pPr>
            <w:r>
              <w:rPr>
                <w:rFonts w:ascii="Arial" w:cs="Arial" w:eastAsia="Arial" w:hAnsi="Arial"/>
                <w:sz w:val="10"/>
                <w:szCs w:val="10"/>
                <w:b w:val="1"/>
                <w:bCs w:val="1"/>
                <w:color w:val="FFFFFF"/>
                <w:w w:val="92"/>
              </w:rPr>
              <w:t>YoY</w:t>
            </w:r>
          </w:p>
        </w:tc>
        <w:tc>
          <w:tcPr>
            <w:tcW w:w="40" w:type="dxa"/>
            <w:vAlign w:val="bottom"/>
            <w:tcBorders>
              <w:bottom w:val="single" w:sz="8" w:color="auto"/>
              <w:right w:val="single" w:sz="8" w:color="33CCCC"/>
            </w:tcBorders>
            <w:shd w:val="clear" w:color="auto" w:fill="33CCCC"/>
          </w:tcPr>
          <w:p>
            <w:pPr>
              <w:spacing w:after="0"/>
              <w:rPr>
                <w:sz w:val="10"/>
                <w:szCs w:val="10"/>
                <w:color w:val="auto"/>
              </w:rPr>
            </w:pPr>
          </w:p>
        </w:tc>
        <w:tc>
          <w:tcPr>
            <w:tcW w:w="1100" w:type="dxa"/>
            <w:vAlign w:val="bottom"/>
            <w:tcBorders>
              <w:bottom w:val="single" w:sz="8" w:color="auto"/>
            </w:tcBorders>
            <w:shd w:val="clear" w:color="auto" w:fill="33CCCC"/>
          </w:tcPr>
          <w:p>
            <w:pPr>
              <w:jc w:val="center"/>
              <w:ind w:right="232"/>
              <w:spacing w:after="0"/>
              <w:rPr>
                <w:sz w:val="20"/>
                <w:szCs w:val="20"/>
                <w:color w:val="auto"/>
              </w:rPr>
            </w:pPr>
            <w:r>
              <w:rPr>
                <w:rFonts w:ascii="Arial" w:cs="Arial" w:eastAsia="Arial" w:hAnsi="Arial"/>
                <w:sz w:val="10"/>
                <w:szCs w:val="10"/>
                <w:b w:val="1"/>
                <w:bCs w:val="1"/>
                <w:color w:val="FFFFFF"/>
                <w:w w:val="92"/>
              </w:rPr>
              <w:t>Sep 24</w:t>
            </w:r>
          </w:p>
        </w:tc>
        <w:tc>
          <w:tcPr>
            <w:tcW w:w="760" w:type="dxa"/>
            <w:vAlign w:val="bottom"/>
            <w:tcBorders>
              <w:bottom w:val="single" w:sz="8" w:color="auto"/>
              <w:right w:val="single" w:sz="8" w:color="auto"/>
            </w:tcBorders>
            <w:shd w:val="clear" w:color="auto" w:fill="33CCCC"/>
          </w:tcPr>
          <w:p>
            <w:pPr>
              <w:jc w:val="center"/>
              <w:ind w:right="232"/>
              <w:spacing w:after="0"/>
              <w:rPr>
                <w:sz w:val="20"/>
                <w:szCs w:val="20"/>
                <w:color w:val="auto"/>
              </w:rPr>
            </w:pPr>
            <w:r>
              <w:rPr>
                <w:rFonts w:ascii="Arial" w:cs="Arial" w:eastAsia="Arial" w:hAnsi="Arial"/>
                <w:sz w:val="10"/>
                <w:szCs w:val="10"/>
                <w:b w:val="1"/>
                <w:bCs w:val="1"/>
                <w:color w:val="FFFFFF"/>
                <w:w w:val="99"/>
              </w:rPr>
              <w:t>Sep 25</w:t>
            </w:r>
          </w:p>
        </w:tc>
        <w:tc>
          <w:tcPr>
            <w:tcW w:w="8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6"/>
              </w:rPr>
              <w:t>Sep 25 / Sep 24</w:t>
            </w:r>
          </w:p>
        </w:tc>
      </w:tr>
      <w:tr>
        <w:trPr>
          <w:trHeight w:val="113"/>
        </w:trPr>
        <w:tc>
          <w:tcPr>
            <w:tcW w:w="2960" w:type="dxa"/>
            <w:vAlign w:val="bottom"/>
            <w:tcBorders>
              <w:left w:val="single" w:sz="8" w:color="auto"/>
              <w:right w:val="single" w:sz="8" w:color="auto"/>
            </w:tcBorders>
          </w:tcPr>
          <w:p>
            <w:pPr>
              <w:ind w:left="20"/>
              <w:spacing w:after="0" w:line="114" w:lineRule="exact"/>
              <w:rPr>
                <w:sz w:val="20"/>
                <w:szCs w:val="20"/>
                <w:color w:val="auto"/>
              </w:rPr>
            </w:pPr>
            <w:r>
              <w:rPr>
                <w:rFonts w:ascii="Arial" w:cs="Arial" w:eastAsia="Arial" w:hAnsi="Arial"/>
                <w:sz w:val="10"/>
                <w:szCs w:val="10"/>
                <w:color w:val="auto"/>
              </w:rPr>
              <w:t>Efficiency ratio</w:t>
            </w:r>
          </w:p>
        </w:tc>
        <w:tc>
          <w:tcPr>
            <w:tcW w:w="920" w:type="dxa"/>
            <w:vAlign w:val="bottom"/>
          </w:tcPr>
          <w:p>
            <w:pPr>
              <w:jc w:val="center"/>
              <w:spacing w:after="0" w:line="114" w:lineRule="exact"/>
              <w:rPr>
                <w:sz w:val="20"/>
                <w:szCs w:val="20"/>
                <w:color w:val="auto"/>
              </w:rPr>
            </w:pPr>
            <w:r>
              <w:rPr>
                <w:rFonts w:ascii="Arial" w:cs="Arial" w:eastAsia="Arial" w:hAnsi="Arial"/>
                <w:sz w:val="10"/>
                <w:szCs w:val="10"/>
                <w:color w:val="auto"/>
                <w:w w:val="91"/>
              </w:rPr>
              <w:t>80.3%</w:t>
            </w:r>
          </w:p>
        </w:tc>
        <w:tc>
          <w:tcPr>
            <w:tcW w:w="1000" w:type="dxa"/>
            <w:vAlign w:val="bottom"/>
          </w:tcPr>
          <w:p>
            <w:pPr>
              <w:jc w:val="center"/>
              <w:spacing w:after="0" w:line="114" w:lineRule="exact"/>
              <w:rPr>
                <w:sz w:val="20"/>
                <w:szCs w:val="20"/>
                <w:color w:val="auto"/>
              </w:rPr>
            </w:pPr>
            <w:r>
              <w:rPr>
                <w:rFonts w:ascii="Arial" w:cs="Arial" w:eastAsia="Arial" w:hAnsi="Arial"/>
                <w:sz w:val="10"/>
                <w:szCs w:val="10"/>
                <w:color w:val="auto"/>
                <w:w w:val="91"/>
              </w:rPr>
              <w:t>67.3%</w:t>
            </w:r>
          </w:p>
        </w:tc>
        <w:tc>
          <w:tcPr>
            <w:tcW w:w="980" w:type="dxa"/>
            <w:vAlign w:val="bottom"/>
            <w:tcBorders>
              <w:right w:val="single" w:sz="8" w:color="auto"/>
            </w:tcBorders>
          </w:tcPr>
          <w:p>
            <w:pPr>
              <w:jc w:val="center"/>
              <w:ind w:right="32"/>
              <w:spacing w:after="0" w:line="114" w:lineRule="exact"/>
              <w:rPr>
                <w:sz w:val="20"/>
                <w:szCs w:val="20"/>
                <w:color w:val="auto"/>
              </w:rPr>
            </w:pPr>
            <w:r>
              <w:rPr>
                <w:rFonts w:ascii="Arial" w:cs="Arial" w:eastAsia="Arial" w:hAnsi="Arial"/>
                <w:sz w:val="10"/>
                <w:szCs w:val="10"/>
                <w:color w:val="auto"/>
                <w:w w:val="91"/>
              </w:rPr>
              <w:t>59.0%</w:t>
            </w:r>
          </w:p>
        </w:tc>
        <w:tc>
          <w:tcPr>
            <w:tcW w:w="660" w:type="dxa"/>
            <w:vAlign w:val="bottom"/>
          </w:tcPr>
          <w:p>
            <w:pPr>
              <w:jc w:val="center"/>
              <w:ind w:left="132"/>
              <w:spacing w:after="0" w:line="114" w:lineRule="exact"/>
              <w:rPr>
                <w:sz w:val="20"/>
                <w:szCs w:val="20"/>
                <w:color w:val="auto"/>
              </w:rPr>
            </w:pPr>
            <w:r>
              <w:rPr>
                <w:rFonts w:ascii="Arial" w:cs="Arial" w:eastAsia="Arial" w:hAnsi="Arial"/>
                <w:sz w:val="10"/>
                <w:szCs w:val="10"/>
                <w:color w:val="auto"/>
                <w:w w:val="92"/>
              </w:rPr>
              <w:t>-828 bps</w:t>
            </w:r>
          </w:p>
        </w:tc>
        <w:tc>
          <w:tcPr>
            <w:tcW w:w="1180" w:type="dxa"/>
            <w:vAlign w:val="bottom"/>
            <w:tcBorders>
              <w:right w:val="single" w:sz="8" w:color="auto"/>
            </w:tcBorders>
          </w:tcPr>
          <w:p>
            <w:pPr>
              <w:jc w:val="center"/>
              <w:ind w:left="152"/>
              <w:spacing w:after="0" w:line="114" w:lineRule="exact"/>
              <w:rPr>
                <w:sz w:val="20"/>
                <w:szCs w:val="20"/>
                <w:color w:val="auto"/>
              </w:rPr>
            </w:pPr>
            <w:r>
              <w:rPr>
                <w:rFonts w:ascii="Arial" w:cs="Arial" w:eastAsia="Arial" w:hAnsi="Arial"/>
                <w:sz w:val="10"/>
                <w:szCs w:val="10"/>
                <w:color w:val="auto"/>
                <w:w w:val="94"/>
              </w:rPr>
              <w:t>-2127 bps</w:t>
            </w:r>
          </w:p>
        </w:tc>
        <w:tc>
          <w:tcPr>
            <w:tcW w:w="40" w:type="dxa"/>
            <w:vAlign w:val="bottom"/>
          </w:tcPr>
          <w:p>
            <w:pPr>
              <w:spacing w:after="0"/>
              <w:rPr>
                <w:sz w:val="9"/>
                <w:szCs w:val="9"/>
                <w:color w:val="auto"/>
              </w:rPr>
            </w:pPr>
          </w:p>
        </w:tc>
        <w:tc>
          <w:tcPr>
            <w:tcW w:w="1100" w:type="dxa"/>
            <w:vAlign w:val="bottom"/>
          </w:tcPr>
          <w:p>
            <w:pPr>
              <w:jc w:val="center"/>
              <w:ind w:right="232"/>
              <w:spacing w:after="0" w:line="114" w:lineRule="exact"/>
              <w:rPr>
                <w:sz w:val="20"/>
                <w:szCs w:val="20"/>
                <w:color w:val="auto"/>
              </w:rPr>
            </w:pPr>
            <w:r>
              <w:rPr>
                <w:rFonts w:ascii="Arial" w:cs="Arial" w:eastAsia="Arial" w:hAnsi="Arial"/>
                <w:sz w:val="10"/>
                <w:szCs w:val="10"/>
                <w:color w:val="auto"/>
                <w:w w:val="91"/>
              </w:rPr>
              <w:t>64.3%</w:t>
            </w:r>
          </w:p>
        </w:tc>
        <w:tc>
          <w:tcPr>
            <w:tcW w:w="760" w:type="dxa"/>
            <w:vAlign w:val="bottom"/>
            <w:tcBorders>
              <w:right w:val="single" w:sz="8" w:color="auto"/>
            </w:tcBorders>
          </w:tcPr>
          <w:p>
            <w:pPr>
              <w:jc w:val="center"/>
              <w:ind w:right="232"/>
              <w:spacing w:after="0" w:line="114" w:lineRule="exact"/>
              <w:rPr>
                <w:sz w:val="20"/>
                <w:szCs w:val="20"/>
                <w:color w:val="auto"/>
              </w:rPr>
            </w:pPr>
            <w:r>
              <w:rPr>
                <w:rFonts w:ascii="Arial" w:cs="Arial" w:eastAsia="Arial" w:hAnsi="Arial"/>
                <w:sz w:val="10"/>
                <w:szCs w:val="10"/>
                <w:color w:val="auto"/>
                <w:w w:val="98"/>
              </w:rPr>
              <w:t>65.5%</w:t>
            </w:r>
          </w:p>
        </w:tc>
        <w:tc>
          <w:tcPr>
            <w:tcW w:w="8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0"/>
                <w:szCs w:val="10"/>
                <w:color w:val="auto"/>
                <w:w w:val="95"/>
              </w:rPr>
              <w:t>121 bps</w:t>
            </w:r>
          </w:p>
        </w:tc>
      </w:tr>
      <w:tr>
        <w:trPr>
          <w:trHeight w:val="125"/>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ROAE</w:t>
            </w:r>
          </w:p>
        </w:tc>
        <w:tc>
          <w:tcPr>
            <w:tcW w:w="920" w:type="dxa"/>
            <w:vAlign w:val="bottom"/>
          </w:tcPr>
          <w:p>
            <w:pPr>
              <w:jc w:val="center"/>
              <w:spacing w:after="0"/>
              <w:rPr>
                <w:sz w:val="20"/>
                <w:szCs w:val="20"/>
                <w:color w:val="auto"/>
              </w:rPr>
            </w:pPr>
            <w:r>
              <w:rPr>
                <w:rFonts w:ascii="Arial" w:cs="Arial" w:eastAsia="Arial" w:hAnsi="Arial"/>
                <w:sz w:val="10"/>
                <w:szCs w:val="10"/>
                <w:color w:val="auto"/>
                <w:w w:val="96"/>
              </w:rPr>
              <w:t>6.8%</w:t>
            </w:r>
          </w:p>
        </w:tc>
        <w:tc>
          <w:tcPr>
            <w:tcW w:w="1000" w:type="dxa"/>
            <w:vAlign w:val="bottom"/>
          </w:tcPr>
          <w:p>
            <w:pPr>
              <w:jc w:val="center"/>
              <w:spacing w:after="0"/>
              <w:rPr>
                <w:sz w:val="20"/>
                <w:szCs w:val="20"/>
                <w:color w:val="auto"/>
              </w:rPr>
            </w:pPr>
            <w:r>
              <w:rPr>
                <w:rFonts w:ascii="Arial" w:cs="Arial" w:eastAsia="Arial" w:hAnsi="Arial"/>
                <w:sz w:val="10"/>
                <w:szCs w:val="10"/>
                <w:color w:val="auto"/>
                <w:w w:val="96"/>
              </w:rPr>
              <w:t>9.0%</w:t>
            </w:r>
          </w:p>
        </w:tc>
        <w:tc>
          <w:tcPr>
            <w:tcW w:w="980" w:type="dxa"/>
            <w:vAlign w:val="bottom"/>
            <w:tcBorders>
              <w:right w:val="single" w:sz="8" w:color="auto"/>
            </w:tcBorders>
          </w:tcPr>
          <w:p>
            <w:pPr>
              <w:jc w:val="center"/>
              <w:ind w:right="32"/>
              <w:spacing w:after="0"/>
              <w:rPr>
                <w:sz w:val="20"/>
                <w:szCs w:val="20"/>
                <w:color w:val="auto"/>
              </w:rPr>
            </w:pPr>
            <w:r>
              <w:rPr>
                <w:rFonts w:ascii="Arial" w:cs="Arial" w:eastAsia="Arial" w:hAnsi="Arial"/>
                <w:sz w:val="10"/>
                <w:szCs w:val="10"/>
                <w:color w:val="auto"/>
                <w:w w:val="91"/>
              </w:rPr>
              <w:t>14.8%</w:t>
            </w:r>
          </w:p>
        </w:tc>
        <w:tc>
          <w:tcPr>
            <w:tcW w:w="660" w:type="dxa"/>
            <w:vAlign w:val="bottom"/>
          </w:tcPr>
          <w:p>
            <w:pPr>
              <w:jc w:val="center"/>
              <w:ind w:left="132"/>
              <w:spacing w:after="0"/>
              <w:rPr>
                <w:sz w:val="20"/>
                <w:szCs w:val="20"/>
                <w:color w:val="auto"/>
              </w:rPr>
            </w:pPr>
            <w:r>
              <w:rPr>
                <w:rFonts w:ascii="Arial" w:cs="Arial" w:eastAsia="Arial" w:hAnsi="Arial"/>
                <w:sz w:val="10"/>
                <w:szCs w:val="10"/>
                <w:color w:val="auto"/>
              </w:rPr>
              <w:t>583 bps</w:t>
            </w:r>
          </w:p>
        </w:tc>
        <w:tc>
          <w:tcPr>
            <w:tcW w:w="118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5"/>
              </w:rPr>
              <w:t>803 bps</w:t>
            </w:r>
          </w:p>
        </w:tc>
        <w:tc>
          <w:tcPr>
            <w:tcW w:w="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232"/>
              <w:spacing w:after="0"/>
              <w:rPr>
                <w:sz w:val="20"/>
                <w:szCs w:val="20"/>
                <w:color w:val="auto"/>
              </w:rPr>
            </w:pPr>
            <w:r>
              <w:rPr>
                <w:rFonts w:ascii="Arial" w:cs="Arial" w:eastAsia="Arial" w:hAnsi="Arial"/>
                <w:sz w:val="10"/>
                <w:szCs w:val="10"/>
                <w:color w:val="auto"/>
                <w:w w:val="91"/>
              </w:rPr>
              <w:t>10.1%</w:t>
            </w:r>
          </w:p>
        </w:tc>
        <w:tc>
          <w:tcPr>
            <w:tcW w:w="760" w:type="dxa"/>
            <w:vAlign w:val="bottom"/>
            <w:tcBorders>
              <w:bottom w:val="single" w:sz="8" w:color="auto"/>
              <w:right w:val="single" w:sz="8" w:color="auto"/>
            </w:tcBorders>
          </w:tcPr>
          <w:p>
            <w:pPr>
              <w:jc w:val="center"/>
              <w:ind w:right="212"/>
              <w:spacing w:after="0"/>
              <w:rPr>
                <w:sz w:val="20"/>
                <w:szCs w:val="20"/>
                <w:color w:val="auto"/>
              </w:rPr>
            </w:pPr>
            <w:r>
              <w:rPr>
                <w:rFonts w:ascii="Arial" w:cs="Arial" w:eastAsia="Arial" w:hAnsi="Arial"/>
                <w:sz w:val="10"/>
                <w:szCs w:val="10"/>
                <w:color w:val="auto"/>
                <w:w w:val="96"/>
              </w:rPr>
              <w:t>9.7%</w:t>
            </w:r>
          </w:p>
        </w:tc>
        <w:tc>
          <w:tcPr>
            <w:tcW w:w="86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0"/>
                <w:szCs w:val="10"/>
                <w:color w:val="auto"/>
                <w:w w:val="95"/>
              </w:rPr>
              <w:t>-32 bps</w:t>
            </w:r>
          </w:p>
        </w:tc>
      </w:tr>
      <w:tr>
        <w:trPr>
          <w:trHeight w:val="112"/>
        </w:trPr>
        <w:tc>
          <w:tcPr>
            <w:tcW w:w="2960" w:type="dxa"/>
            <w:vAlign w:val="bottom"/>
            <w:tcBorders>
              <w:left w:val="single" w:sz="8" w:color="auto"/>
              <w:right w:val="single" w:sz="8" w:color="auto"/>
            </w:tcBorders>
          </w:tcPr>
          <w:p>
            <w:pPr>
              <w:ind w:left="20"/>
              <w:spacing w:after="0" w:line="112" w:lineRule="exact"/>
              <w:rPr>
                <w:sz w:val="20"/>
                <w:szCs w:val="20"/>
                <w:color w:val="auto"/>
              </w:rPr>
            </w:pPr>
            <w:r>
              <w:rPr>
                <w:rFonts w:ascii="Arial" w:cs="Arial" w:eastAsia="Arial" w:hAnsi="Arial"/>
                <w:sz w:val="10"/>
                <w:szCs w:val="10"/>
                <w:color w:val="auto"/>
              </w:rPr>
              <w:t>L/D ratio</w:t>
            </w:r>
          </w:p>
        </w:tc>
        <w:tc>
          <w:tcPr>
            <w:tcW w:w="920" w:type="dxa"/>
            <w:vAlign w:val="bottom"/>
          </w:tcPr>
          <w:p>
            <w:pPr>
              <w:jc w:val="center"/>
              <w:spacing w:after="0" w:line="112" w:lineRule="exact"/>
              <w:rPr>
                <w:sz w:val="20"/>
                <w:szCs w:val="20"/>
                <w:color w:val="auto"/>
              </w:rPr>
            </w:pPr>
            <w:r>
              <w:rPr>
                <w:rFonts w:ascii="Arial" w:cs="Arial" w:eastAsia="Arial" w:hAnsi="Arial"/>
                <w:sz w:val="10"/>
                <w:szCs w:val="10"/>
                <w:color w:val="auto"/>
                <w:w w:val="91"/>
              </w:rPr>
              <w:t>84.0%</w:t>
            </w:r>
          </w:p>
        </w:tc>
        <w:tc>
          <w:tcPr>
            <w:tcW w:w="1000" w:type="dxa"/>
            <w:vAlign w:val="bottom"/>
          </w:tcPr>
          <w:p>
            <w:pPr>
              <w:jc w:val="center"/>
              <w:spacing w:after="0" w:line="112" w:lineRule="exact"/>
              <w:rPr>
                <w:sz w:val="20"/>
                <w:szCs w:val="20"/>
                <w:color w:val="auto"/>
              </w:rPr>
            </w:pPr>
            <w:r>
              <w:rPr>
                <w:rFonts w:ascii="Arial" w:cs="Arial" w:eastAsia="Arial" w:hAnsi="Arial"/>
                <w:sz w:val="10"/>
                <w:szCs w:val="10"/>
                <w:color w:val="auto"/>
                <w:w w:val="91"/>
              </w:rPr>
              <w:t>80.6%</w:t>
            </w:r>
          </w:p>
        </w:tc>
        <w:tc>
          <w:tcPr>
            <w:tcW w:w="980" w:type="dxa"/>
            <w:vAlign w:val="bottom"/>
            <w:tcBorders>
              <w:right w:val="single" w:sz="8" w:color="auto"/>
            </w:tcBorders>
          </w:tcPr>
          <w:p>
            <w:pPr>
              <w:jc w:val="center"/>
              <w:ind w:right="32"/>
              <w:spacing w:after="0" w:line="112" w:lineRule="exact"/>
              <w:rPr>
                <w:sz w:val="20"/>
                <w:szCs w:val="20"/>
                <w:color w:val="auto"/>
              </w:rPr>
            </w:pPr>
            <w:r>
              <w:rPr>
                <w:rFonts w:ascii="Arial" w:cs="Arial" w:eastAsia="Arial" w:hAnsi="Arial"/>
                <w:sz w:val="10"/>
                <w:szCs w:val="10"/>
                <w:color w:val="auto"/>
                <w:w w:val="91"/>
              </w:rPr>
              <w:t>79.4%</w:t>
            </w:r>
          </w:p>
        </w:tc>
        <w:tc>
          <w:tcPr>
            <w:tcW w:w="660" w:type="dxa"/>
            <w:vAlign w:val="bottom"/>
          </w:tcPr>
          <w:p>
            <w:pPr>
              <w:jc w:val="center"/>
              <w:ind w:left="132"/>
              <w:spacing w:after="0" w:line="112" w:lineRule="exact"/>
              <w:rPr>
                <w:sz w:val="20"/>
                <w:szCs w:val="20"/>
                <w:color w:val="auto"/>
              </w:rPr>
            </w:pPr>
            <w:r>
              <w:rPr>
                <w:rFonts w:ascii="Arial" w:cs="Arial" w:eastAsia="Arial" w:hAnsi="Arial"/>
                <w:sz w:val="10"/>
                <w:szCs w:val="10"/>
                <w:color w:val="auto"/>
                <w:w w:val="92"/>
              </w:rPr>
              <w:t>-123 bps</w:t>
            </w:r>
          </w:p>
        </w:tc>
        <w:tc>
          <w:tcPr>
            <w:tcW w:w="1180" w:type="dxa"/>
            <w:vAlign w:val="bottom"/>
            <w:tcBorders>
              <w:right w:val="single" w:sz="8" w:color="auto"/>
            </w:tcBorders>
          </w:tcPr>
          <w:p>
            <w:pPr>
              <w:jc w:val="center"/>
              <w:ind w:left="152"/>
              <w:spacing w:after="0" w:line="112" w:lineRule="exact"/>
              <w:rPr>
                <w:sz w:val="20"/>
                <w:szCs w:val="20"/>
                <w:color w:val="auto"/>
              </w:rPr>
            </w:pPr>
            <w:r>
              <w:rPr>
                <w:rFonts w:ascii="Arial" w:cs="Arial" w:eastAsia="Arial" w:hAnsi="Arial"/>
                <w:sz w:val="10"/>
                <w:szCs w:val="10"/>
                <w:color w:val="auto"/>
                <w:w w:val="97"/>
              </w:rPr>
              <w:t>-459 bps</w:t>
            </w: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27"/>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IOL ratio</w:t>
            </w:r>
          </w:p>
        </w:tc>
        <w:tc>
          <w:tcPr>
            <w:tcW w:w="920" w:type="dxa"/>
            <w:vAlign w:val="bottom"/>
          </w:tcPr>
          <w:p>
            <w:pPr>
              <w:jc w:val="center"/>
              <w:spacing w:after="0"/>
              <w:rPr>
                <w:sz w:val="20"/>
                <w:szCs w:val="20"/>
                <w:color w:val="auto"/>
              </w:rPr>
            </w:pPr>
            <w:r>
              <w:rPr>
                <w:rFonts w:ascii="Arial" w:cs="Arial" w:eastAsia="Arial" w:hAnsi="Arial"/>
                <w:sz w:val="10"/>
                <w:szCs w:val="10"/>
                <w:color w:val="auto"/>
                <w:w w:val="96"/>
              </w:rPr>
              <w:t>2.8%</w:t>
            </w:r>
          </w:p>
        </w:tc>
        <w:tc>
          <w:tcPr>
            <w:tcW w:w="1000" w:type="dxa"/>
            <w:vAlign w:val="bottom"/>
          </w:tcPr>
          <w:p>
            <w:pPr>
              <w:jc w:val="center"/>
              <w:spacing w:after="0"/>
              <w:rPr>
                <w:sz w:val="20"/>
                <w:szCs w:val="20"/>
                <w:color w:val="auto"/>
              </w:rPr>
            </w:pPr>
            <w:r>
              <w:rPr>
                <w:rFonts w:ascii="Arial" w:cs="Arial" w:eastAsia="Arial" w:hAnsi="Arial"/>
                <w:sz w:val="10"/>
                <w:szCs w:val="10"/>
                <w:color w:val="auto"/>
                <w:w w:val="96"/>
              </w:rPr>
              <w:t>2.6%</w:t>
            </w:r>
          </w:p>
        </w:tc>
        <w:tc>
          <w:tcPr>
            <w:tcW w:w="980" w:type="dxa"/>
            <w:vAlign w:val="bottom"/>
            <w:tcBorders>
              <w:right w:val="single" w:sz="8" w:color="auto"/>
            </w:tcBorders>
          </w:tcPr>
          <w:p>
            <w:pPr>
              <w:jc w:val="center"/>
              <w:ind w:right="32"/>
              <w:spacing w:after="0"/>
              <w:rPr>
                <w:sz w:val="20"/>
                <w:szCs w:val="20"/>
                <w:color w:val="auto"/>
              </w:rPr>
            </w:pPr>
            <w:r>
              <w:rPr>
                <w:rFonts w:ascii="Arial" w:cs="Arial" w:eastAsia="Arial" w:hAnsi="Arial"/>
                <w:sz w:val="10"/>
                <w:szCs w:val="10"/>
                <w:color w:val="auto"/>
                <w:w w:val="96"/>
              </w:rPr>
              <w:t>2.6%</w:t>
            </w:r>
          </w:p>
        </w:tc>
        <w:tc>
          <w:tcPr>
            <w:tcW w:w="660" w:type="dxa"/>
            <w:vAlign w:val="bottom"/>
          </w:tcPr>
          <w:p>
            <w:pPr>
              <w:jc w:val="center"/>
              <w:ind w:left="132"/>
              <w:spacing w:after="0"/>
              <w:rPr>
                <w:sz w:val="20"/>
                <w:szCs w:val="20"/>
                <w:color w:val="auto"/>
              </w:rPr>
            </w:pPr>
            <w:r>
              <w:rPr>
                <w:rFonts w:ascii="Arial" w:cs="Arial" w:eastAsia="Arial" w:hAnsi="Arial"/>
                <w:sz w:val="10"/>
                <w:szCs w:val="10"/>
                <w:color w:val="auto"/>
              </w:rPr>
              <w:t>-8 bps</w:t>
            </w:r>
          </w:p>
        </w:tc>
        <w:tc>
          <w:tcPr>
            <w:tcW w:w="1180" w:type="dxa"/>
            <w:vAlign w:val="bottom"/>
            <w:tcBorders>
              <w:right w:val="single" w:sz="8" w:color="auto"/>
            </w:tcBorders>
          </w:tcPr>
          <w:p>
            <w:pPr>
              <w:jc w:val="center"/>
              <w:ind w:left="132"/>
              <w:spacing w:after="0"/>
              <w:rPr>
                <w:sz w:val="20"/>
                <w:szCs w:val="20"/>
                <w:color w:val="auto"/>
              </w:rPr>
            </w:pPr>
            <w:r>
              <w:rPr>
                <w:rFonts w:ascii="Arial" w:cs="Arial" w:eastAsia="Arial" w:hAnsi="Arial"/>
                <w:sz w:val="10"/>
                <w:szCs w:val="10"/>
                <w:color w:val="auto"/>
                <w:w w:val="95"/>
              </w:rPr>
              <w:t>-19 bps</w:t>
            </w: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NPL ratio</w:t>
            </w:r>
          </w:p>
        </w:tc>
        <w:tc>
          <w:tcPr>
            <w:tcW w:w="920" w:type="dxa"/>
            <w:vAlign w:val="bottom"/>
          </w:tcPr>
          <w:p>
            <w:pPr>
              <w:jc w:val="center"/>
              <w:spacing w:after="0"/>
              <w:rPr>
                <w:sz w:val="20"/>
                <w:szCs w:val="20"/>
                <w:color w:val="auto"/>
              </w:rPr>
            </w:pPr>
            <w:r>
              <w:rPr>
                <w:rFonts w:ascii="Arial" w:cs="Arial" w:eastAsia="Arial" w:hAnsi="Arial"/>
                <w:sz w:val="10"/>
                <w:szCs w:val="10"/>
                <w:color w:val="auto"/>
                <w:w w:val="96"/>
              </w:rPr>
              <w:t>3.3%</w:t>
            </w:r>
          </w:p>
        </w:tc>
        <w:tc>
          <w:tcPr>
            <w:tcW w:w="1000" w:type="dxa"/>
            <w:vAlign w:val="bottom"/>
          </w:tcPr>
          <w:p>
            <w:pPr>
              <w:jc w:val="center"/>
              <w:spacing w:after="0"/>
              <w:rPr>
                <w:sz w:val="20"/>
                <w:szCs w:val="20"/>
                <w:color w:val="auto"/>
              </w:rPr>
            </w:pPr>
            <w:r>
              <w:rPr>
                <w:rFonts w:ascii="Arial" w:cs="Arial" w:eastAsia="Arial" w:hAnsi="Arial"/>
                <w:sz w:val="10"/>
                <w:szCs w:val="10"/>
                <w:color w:val="auto"/>
                <w:w w:val="96"/>
              </w:rPr>
              <w:t>3.3%</w:t>
            </w:r>
          </w:p>
        </w:tc>
        <w:tc>
          <w:tcPr>
            <w:tcW w:w="980" w:type="dxa"/>
            <w:vAlign w:val="bottom"/>
            <w:tcBorders>
              <w:right w:val="single" w:sz="8" w:color="auto"/>
            </w:tcBorders>
          </w:tcPr>
          <w:p>
            <w:pPr>
              <w:jc w:val="center"/>
              <w:ind w:right="32"/>
              <w:spacing w:after="0"/>
              <w:rPr>
                <w:sz w:val="20"/>
                <w:szCs w:val="20"/>
                <w:color w:val="auto"/>
              </w:rPr>
            </w:pPr>
            <w:r>
              <w:rPr>
                <w:rFonts w:ascii="Arial" w:cs="Arial" w:eastAsia="Arial" w:hAnsi="Arial"/>
                <w:sz w:val="10"/>
                <w:szCs w:val="10"/>
                <w:color w:val="auto"/>
                <w:w w:val="96"/>
              </w:rPr>
              <w:t>3.6%</w:t>
            </w:r>
          </w:p>
        </w:tc>
        <w:tc>
          <w:tcPr>
            <w:tcW w:w="660" w:type="dxa"/>
            <w:vAlign w:val="bottom"/>
          </w:tcPr>
          <w:p>
            <w:pPr>
              <w:jc w:val="center"/>
              <w:ind w:left="132"/>
              <w:spacing w:after="0"/>
              <w:rPr>
                <w:sz w:val="20"/>
                <w:szCs w:val="20"/>
                <w:color w:val="auto"/>
              </w:rPr>
            </w:pPr>
            <w:r>
              <w:rPr>
                <w:rFonts w:ascii="Arial" w:cs="Arial" w:eastAsia="Arial" w:hAnsi="Arial"/>
                <w:sz w:val="10"/>
                <w:szCs w:val="10"/>
                <w:color w:val="auto"/>
                <w:w w:val="93"/>
              </w:rPr>
              <w:t>33 bps</w:t>
            </w:r>
          </w:p>
        </w:tc>
        <w:tc>
          <w:tcPr>
            <w:tcW w:w="118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9"/>
              </w:rPr>
              <w:t>33 bps</w:t>
            </w: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Coverage of IOLs</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132.3%</w:t>
            </w:r>
          </w:p>
        </w:tc>
        <w:tc>
          <w:tcPr>
            <w:tcW w:w="1000" w:type="dxa"/>
            <w:vAlign w:val="bottom"/>
          </w:tcPr>
          <w:p>
            <w:pPr>
              <w:jc w:val="center"/>
              <w:spacing w:after="0"/>
              <w:rPr>
                <w:sz w:val="20"/>
                <w:szCs w:val="20"/>
                <w:color w:val="auto"/>
              </w:rPr>
            </w:pPr>
            <w:r>
              <w:rPr>
                <w:rFonts w:ascii="Arial" w:cs="Arial" w:eastAsia="Arial" w:hAnsi="Arial"/>
                <w:sz w:val="10"/>
                <w:szCs w:val="10"/>
                <w:color w:val="auto"/>
                <w:w w:val="94"/>
              </w:rPr>
              <w:t>138.9%</w:t>
            </w:r>
          </w:p>
        </w:tc>
        <w:tc>
          <w:tcPr>
            <w:tcW w:w="980" w:type="dxa"/>
            <w:vAlign w:val="bottom"/>
            <w:tcBorders>
              <w:right w:val="single" w:sz="8" w:color="auto"/>
            </w:tcBorders>
          </w:tcPr>
          <w:p>
            <w:pPr>
              <w:jc w:val="center"/>
              <w:ind w:right="12"/>
              <w:spacing w:after="0"/>
              <w:rPr>
                <w:sz w:val="20"/>
                <w:szCs w:val="20"/>
                <w:color w:val="auto"/>
              </w:rPr>
            </w:pPr>
            <w:r>
              <w:rPr>
                <w:rFonts w:ascii="Arial" w:cs="Arial" w:eastAsia="Arial" w:hAnsi="Arial"/>
                <w:sz w:val="10"/>
                <w:szCs w:val="10"/>
                <w:color w:val="auto"/>
                <w:w w:val="94"/>
              </w:rPr>
              <w:t>134.9%</w:t>
            </w:r>
          </w:p>
        </w:tc>
        <w:tc>
          <w:tcPr>
            <w:tcW w:w="660" w:type="dxa"/>
            <w:vAlign w:val="bottom"/>
          </w:tcPr>
          <w:p>
            <w:pPr>
              <w:jc w:val="center"/>
              <w:ind w:left="132"/>
              <w:spacing w:after="0"/>
              <w:rPr>
                <w:sz w:val="20"/>
                <w:szCs w:val="20"/>
                <w:color w:val="auto"/>
              </w:rPr>
            </w:pPr>
            <w:r>
              <w:rPr>
                <w:rFonts w:ascii="Arial" w:cs="Arial" w:eastAsia="Arial" w:hAnsi="Arial"/>
                <w:sz w:val="10"/>
                <w:szCs w:val="10"/>
                <w:color w:val="auto"/>
                <w:w w:val="92"/>
              </w:rPr>
              <w:t>-397 bps</w:t>
            </w:r>
          </w:p>
        </w:tc>
        <w:tc>
          <w:tcPr>
            <w:tcW w:w="118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5"/>
              </w:rPr>
              <w:t>264 bps</w:t>
            </w: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Coverage of NPLs</w:t>
            </w:r>
          </w:p>
        </w:tc>
        <w:tc>
          <w:tcPr>
            <w:tcW w:w="920" w:type="dxa"/>
            <w:vAlign w:val="bottom"/>
          </w:tcPr>
          <w:p>
            <w:pPr>
              <w:jc w:val="center"/>
              <w:spacing w:after="0"/>
              <w:rPr>
                <w:sz w:val="20"/>
                <w:szCs w:val="20"/>
                <w:color w:val="auto"/>
              </w:rPr>
            </w:pPr>
            <w:r>
              <w:rPr>
                <w:rFonts w:ascii="Arial" w:cs="Arial" w:eastAsia="Arial" w:hAnsi="Arial"/>
                <w:sz w:val="10"/>
                <w:szCs w:val="10"/>
                <w:color w:val="auto"/>
                <w:w w:val="94"/>
              </w:rPr>
              <w:t>109.9%</w:t>
            </w:r>
          </w:p>
        </w:tc>
        <w:tc>
          <w:tcPr>
            <w:tcW w:w="1000" w:type="dxa"/>
            <w:vAlign w:val="bottom"/>
          </w:tcPr>
          <w:p>
            <w:pPr>
              <w:jc w:val="center"/>
              <w:spacing w:after="0"/>
              <w:rPr>
                <w:sz w:val="20"/>
                <w:szCs w:val="20"/>
                <w:color w:val="auto"/>
              </w:rPr>
            </w:pPr>
            <w:r>
              <w:rPr>
                <w:rFonts w:ascii="Arial" w:cs="Arial" w:eastAsia="Arial" w:hAnsi="Arial"/>
                <w:sz w:val="10"/>
                <w:szCs w:val="10"/>
                <w:color w:val="auto"/>
                <w:w w:val="94"/>
              </w:rPr>
              <w:t>110.6%</w:t>
            </w:r>
          </w:p>
        </w:tc>
        <w:tc>
          <w:tcPr>
            <w:tcW w:w="980" w:type="dxa"/>
            <w:vAlign w:val="bottom"/>
            <w:tcBorders>
              <w:right w:val="single" w:sz="8" w:color="auto"/>
            </w:tcBorders>
          </w:tcPr>
          <w:p>
            <w:pPr>
              <w:jc w:val="center"/>
              <w:ind w:right="32"/>
              <w:spacing w:after="0"/>
              <w:rPr>
                <w:sz w:val="20"/>
                <w:szCs w:val="20"/>
                <w:color w:val="auto"/>
              </w:rPr>
            </w:pPr>
            <w:r>
              <w:rPr>
                <w:rFonts w:ascii="Arial" w:cs="Arial" w:eastAsia="Arial" w:hAnsi="Arial"/>
                <w:sz w:val="10"/>
                <w:szCs w:val="10"/>
                <w:color w:val="auto"/>
                <w:w w:val="91"/>
              </w:rPr>
              <w:t>94.8%</w:t>
            </w:r>
          </w:p>
        </w:tc>
        <w:tc>
          <w:tcPr>
            <w:tcW w:w="660" w:type="dxa"/>
            <w:vAlign w:val="bottom"/>
          </w:tcPr>
          <w:p>
            <w:pPr>
              <w:jc w:val="center"/>
              <w:ind w:left="112"/>
              <w:spacing w:after="0"/>
              <w:rPr>
                <w:sz w:val="20"/>
                <w:szCs w:val="20"/>
                <w:color w:val="auto"/>
              </w:rPr>
            </w:pPr>
            <w:r>
              <w:rPr>
                <w:rFonts w:ascii="Arial" w:cs="Arial" w:eastAsia="Arial" w:hAnsi="Arial"/>
                <w:sz w:val="10"/>
                <w:szCs w:val="10"/>
                <w:color w:val="auto"/>
                <w:w w:val="94"/>
              </w:rPr>
              <w:t>-1588 bps</w:t>
            </w:r>
          </w:p>
        </w:tc>
        <w:tc>
          <w:tcPr>
            <w:tcW w:w="118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94"/>
              </w:rPr>
              <w:t>-1515 bps</w:t>
            </w: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Branches</w:t>
            </w: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46</w:t>
            </w:r>
          </w:p>
        </w:tc>
        <w:tc>
          <w:tcPr>
            <w:tcW w:w="1000" w:type="dxa"/>
            <w:vAlign w:val="bottom"/>
          </w:tcPr>
          <w:p>
            <w:pPr>
              <w:jc w:val="center"/>
              <w:spacing w:after="0"/>
              <w:rPr>
                <w:sz w:val="20"/>
                <w:szCs w:val="20"/>
                <w:color w:val="auto"/>
              </w:rPr>
            </w:pPr>
            <w:r>
              <w:rPr>
                <w:rFonts w:ascii="Arial" w:cs="Arial" w:eastAsia="Arial" w:hAnsi="Arial"/>
                <w:sz w:val="10"/>
                <w:szCs w:val="10"/>
                <w:color w:val="auto"/>
                <w:w w:val="89"/>
              </w:rPr>
              <w:t>46</w:t>
            </w:r>
          </w:p>
        </w:tc>
        <w:tc>
          <w:tcPr>
            <w:tcW w:w="980" w:type="dxa"/>
            <w:vAlign w:val="bottom"/>
            <w:tcBorders>
              <w:right w:val="single" w:sz="8" w:color="auto"/>
            </w:tcBorders>
          </w:tcPr>
          <w:p>
            <w:pPr>
              <w:jc w:val="center"/>
              <w:ind w:right="32"/>
              <w:spacing w:after="0"/>
              <w:rPr>
                <w:sz w:val="20"/>
                <w:szCs w:val="20"/>
                <w:color w:val="auto"/>
              </w:rPr>
            </w:pPr>
            <w:r>
              <w:rPr>
                <w:rFonts w:ascii="Arial" w:cs="Arial" w:eastAsia="Arial" w:hAnsi="Arial"/>
                <w:sz w:val="10"/>
                <w:szCs w:val="10"/>
                <w:color w:val="auto"/>
                <w:w w:val="89"/>
              </w:rPr>
              <w:t>46</w:t>
            </w:r>
          </w:p>
        </w:tc>
        <w:tc>
          <w:tcPr>
            <w:tcW w:w="660" w:type="dxa"/>
            <w:vAlign w:val="bottom"/>
          </w:tcPr>
          <w:p>
            <w:pPr>
              <w:jc w:val="center"/>
              <w:ind w:left="132"/>
              <w:spacing w:after="0"/>
              <w:rPr>
                <w:sz w:val="20"/>
                <w:szCs w:val="20"/>
                <w:color w:val="auto"/>
              </w:rPr>
            </w:pPr>
            <w:r>
              <w:rPr>
                <w:rFonts w:ascii="Arial" w:cs="Arial" w:eastAsia="Arial" w:hAnsi="Arial"/>
                <w:sz w:val="10"/>
                <w:szCs w:val="10"/>
                <w:color w:val="auto"/>
              </w:rPr>
              <w:t>-</w:t>
            </w:r>
          </w:p>
        </w:tc>
        <w:tc>
          <w:tcPr>
            <w:tcW w:w="1180" w:type="dxa"/>
            <w:vAlign w:val="bottom"/>
            <w:tcBorders>
              <w:right w:val="single" w:sz="8" w:color="auto"/>
            </w:tcBorders>
          </w:tcPr>
          <w:p>
            <w:pPr>
              <w:jc w:val="center"/>
              <w:ind w:left="15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Agentes</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1,541</w:t>
            </w:r>
          </w:p>
        </w:tc>
        <w:tc>
          <w:tcPr>
            <w:tcW w:w="1000" w:type="dxa"/>
            <w:vAlign w:val="bottom"/>
          </w:tcPr>
          <w:p>
            <w:pPr>
              <w:jc w:val="center"/>
              <w:spacing w:after="0"/>
              <w:rPr>
                <w:sz w:val="20"/>
                <w:szCs w:val="20"/>
                <w:color w:val="auto"/>
              </w:rPr>
            </w:pPr>
            <w:r>
              <w:rPr>
                <w:rFonts w:ascii="Arial" w:cs="Arial" w:eastAsia="Arial" w:hAnsi="Arial"/>
                <w:sz w:val="10"/>
                <w:szCs w:val="10"/>
                <w:color w:val="auto"/>
                <w:w w:val="95"/>
              </w:rPr>
              <w:t>2,056</w:t>
            </w:r>
          </w:p>
        </w:tc>
        <w:tc>
          <w:tcPr>
            <w:tcW w:w="980" w:type="dxa"/>
            <w:vAlign w:val="bottom"/>
            <w:tcBorders>
              <w:right w:val="single" w:sz="8" w:color="auto"/>
            </w:tcBorders>
          </w:tcPr>
          <w:p>
            <w:pPr>
              <w:jc w:val="center"/>
              <w:ind w:right="12"/>
              <w:spacing w:after="0"/>
              <w:rPr>
                <w:sz w:val="20"/>
                <w:szCs w:val="20"/>
                <w:color w:val="auto"/>
              </w:rPr>
            </w:pPr>
            <w:r>
              <w:rPr>
                <w:rFonts w:ascii="Arial" w:cs="Arial" w:eastAsia="Arial" w:hAnsi="Arial"/>
                <w:sz w:val="10"/>
                <w:szCs w:val="10"/>
                <w:color w:val="auto"/>
                <w:w w:val="95"/>
              </w:rPr>
              <w:t>2,227</w:t>
            </w:r>
          </w:p>
        </w:tc>
        <w:tc>
          <w:tcPr>
            <w:tcW w:w="660" w:type="dxa"/>
            <w:vAlign w:val="bottom"/>
          </w:tcPr>
          <w:p>
            <w:pPr>
              <w:jc w:val="center"/>
              <w:ind w:left="132"/>
              <w:spacing w:after="0"/>
              <w:rPr>
                <w:sz w:val="20"/>
                <w:szCs w:val="20"/>
                <w:color w:val="auto"/>
              </w:rPr>
            </w:pPr>
            <w:r>
              <w:rPr>
                <w:rFonts w:ascii="Arial" w:cs="Arial" w:eastAsia="Arial" w:hAnsi="Arial"/>
                <w:sz w:val="10"/>
                <w:szCs w:val="10"/>
                <w:color w:val="auto"/>
                <w:w w:val="95"/>
              </w:rPr>
              <w:t>171</w:t>
            </w:r>
          </w:p>
        </w:tc>
        <w:tc>
          <w:tcPr>
            <w:tcW w:w="118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w w:val="83"/>
              </w:rPr>
              <w:t>686</w:t>
            </w: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0"/>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ATMs</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314</w:t>
            </w:r>
          </w:p>
        </w:tc>
        <w:tc>
          <w:tcPr>
            <w:tcW w:w="1000" w:type="dxa"/>
            <w:vAlign w:val="bottom"/>
          </w:tcPr>
          <w:p>
            <w:pPr>
              <w:jc w:val="center"/>
              <w:spacing w:after="0"/>
              <w:rPr>
                <w:sz w:val="20"/>
                <w:szCs w:val="20"/>
                <w:color w:val="auto"/>
              </w:rPr>
            </w:pPr>
            <w:r>
              <w:rPr>
                <w:rFonts w:ascii="Arial" w:cs="Arial" w:eastAsia="Arial" w:hAnsi="Arial"/>
                <w:sz w:val="10"/>
                <w:szCs w:val="10"/>
                <w:color w:val="auto"/>
                <w:w w:val="95"/>
              </w:rPr>
              <w:t>314</w:t>
            </w:r>
          </w:p>
        </w:tc>
        <w:tc>
          <w:tcPr>
            <w:tcW w:w="980" w:type="dxa"/>
            <w:vAlign w:val="bottom"/>
            <w:tcBorders>
              <w:right w:val="single" w:sz="8" w:color="auto"/>
            </w:tcBorders>
          </w:tcPr>
          <w:p>
            <w:pPr>
              <w:jc w:val="center"/>
              <w:ind w:right="12"/>
              <w:spacing w:after="0"/>
              <w:rPr>
                <w:sz w:val="20"/>
                <w:szCs w:val="20"/>
                <w:color w:val="auto"/>
              </w:rPr>
            </w:pPr>
            <w:r>
              <w:rPr>
                <w:rFonts w:ascii="Arial" w:cs="Arial" w:eastAsia="Arial" w:hAnsi="Arial"/>
                <w:sz w:val="10"/>
                <w:szCs w:val="10"/>
                <w:color w:val="auto"/>
                <w:w w:val="95"/>
              </w:rPr>
              <w:t>313</w:t>
            </w:r>
          </w:p>
        </w:tc>
        <w:tc>
          <w:tcPr>
            <w:tcW w:w="660" w:type="dxa"/>
            <w:vAlign w:val="bottom"/>
          </w:tcPr>
          <w:p>
            <w:pPr>
              <w:jc w:val="center"/>
              <w:ind w:left="132"/>
              <w:spacing w:after="0"/>
              <w:rPr>
                <w:sz w:val="20"/>
                <w:szCs w:val="20"/>
                <w:color w:val="auto"/>
              </w:rPr>
            </w:pPr>
            <w:r>
              <w:rPr>
                <w:rFonts w:ascii="Arial" w:cs="Arial" w:eastAsia="Arial" w:hAnsi="Arial"/>
                <w:sz w:val="10"/>
                <w:szCs w:val="10"/>
                <w:color w:val="auto"/>
                <w:w w:val="89"/>
              </w:rPr>
              <w:t>-1</w:t>
            </w:r>
          </w:p>
        </w:tc>
        <w:tc>
          <w:tcPr>
            <w:tcW w:w="1180" w:type="dxa"/>
            <w:vAlign w:val="bottom"/>
            <w:tcBorders>
              <w:right w:val="single" w:sz="8" w:color="auto"/>
            </w:tcBorders>
          </w:tcPr>
          <w:p>
            <w:pPr>
              <w:jc w:val="center"/>
              <w:ind w:left="152"/>
              <w:spacing w:after="0"/>
              <w:rPr>
                <w:sz w:val="20"/>
                <w:szCs w:val="20"/>
                <w:color w:val="auto"/>
              </w:rPr>
            </w:pPr>
            <w:r>
              <w:rPr>
                <w:rFonts w:ascii="Arial" w:cs="Arial" w:eastAsia="Arial" w:hAnsi="Arial"/>
                <w:sz w:val="10"/>
                <w:szCs w:val="10"/>
                <w:color w:val="auto"/>
              </w:rPr>
              <w:t>-1</w:t>
            </w: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8"/>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Employees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1,791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1,897</w:t>
            </w:r>
          </w:p>
        </w:tc>
        <w:tc>
          <w:tcPr>
            <w:tcW w:w="98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0"/>
                <w:szCs w:val="10"/>
                <w:color w:val="auto"/>
                <w:w w:val="95"/>
              </w:rPr>
              <w:t>1,908</w:t>
            </w:r>
          </w:p>
        </w:tc>
        <w:tc>
          <w:tcPr>
            <w:tcW w:w="66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color w:val="auto"/>
              </w:rPr>
              <w:t>11</w:t>
            </w:r>
          </w:p>
        </w:tc>
        <w:tc>
          <w:tcPr>
            <w:tcW w:w="1180" w:type="dxa"/>
            <w:vAlign w:val="bottom"/>
            <w:tcBorders>
              <w:bottom w:val="single" w:sz="8" w:color="auto"/>
              <w:right w:val="single" w:sz="8" w:color="auto"/>
            </w:tcBorders>
          </w:tcPr>
          <w:p>
            <w:pPr>
              <w:jc w:val="center"/>
              <w:ind w:left="152"/>
              <w:spacing w:after="0"/>
              <w:rPr>
                <w:sz w:val="20"/>
                <w:szCs w:val="20"/>
                <w:color w:val="auto"/>
              </w:rPr>
            </w:pPr>
            <w:r>
              <w:rPr>
                <w:rFonts w:ascii="Arial" w:cs="Arial" w:eastAsia="Arial" w:hAnsi="Arial"/>
                <w:sz w:val="10"/>
                <w:szCs w:val="10"/>
                <w:color w:val="auto"/>
                <w:w w:val="83"/>
              </w:rPr>
              <w:t>117</w:t>
            </w: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95"/>
        </w:trPr>
        <w:tc>
          <w:tcPr>
            <w:tcW w:w="2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-723265</wp:posOffset>
            </wp:positionV>
            <wp:extent cx="6517005" cy="6172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517005" cy="617220"/>
                    </a:xfrm>
                    <a:prstGeom prst="rect">
                      <a:avLst/>
                    </a:prstGeom>
                    <a:noFill/>
                  </pic:spPr>
                </pic:pic>
              </a:graphicData>
            </a:graphic>
          </wp:anchor>
        </w:drawing>
      </w:r>
    </w:p>
    <w:p>
      <w:pPr>
        <w:sectPr>
          <w:pgSz w:w="11900" w:h="16840" w:orient="portrait"/>
          <w:cols w:equalWidth="0" w:num="1">
            <w:col w:w="10460"/>
          </w:cols>
          <w:pgMar w:left="660" w:top="931" w:right="780" w:bottom="1440" w:gutter="0" w:footer="0" w:header="0"/>
        </w:sectPr>
      </w:pPr>
    </w:p>
    <w:bookmarkStart w:id="67" w:name="page68"/>
    <w:bookmarkEnd w:id="67"/>
    <w:p>
      <w:pPr>
        <w:ind w:left="2520"/>
        <w:spacing w:after="0"/>
        <w:tabs>
          <w:tab w:leader="none" w:pos="2760" w:val="left"/>
          <w:tab w:leader="none" w:pos="81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638925" cy="662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63892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638925" cy="2057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63892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12.7.6. Mibanco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Financial Position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53" w:lineRule="exact"/>
        <w:rPr>
          <w:sz w:val="20"/>
          <w:szCs w:val="20"/>
          <w:color w:val="auto"/>
        </w:rPr>
      </w:pPr>
    </w:p>
    <w:tbl>
      <w:tblPr>
        <w:tblLayout w:type="fixed"/>
        <w:tblInd w:w="290" w:type="dxa"/>
        <w:tblCellMar>
          <w:top w:w="0" w:type="dxa"/>
          <w:left w:w="0" w:type="dxa"/>
          <w:bottom w:w="0" w:type="dxa"/>
          <w:right w:w="0" w:type="dxa"/>
        </w:tblCellMar>
      </w:tblPr>
      <w:tr>
        <w:trPr>
          <w:trHeight w:val="168"/>
        </w:trPr>
        <w:tc>
          <w:tcPr>
            <w:tcW w:w="5280" w:type="dxa"/>
            <w:vAlign w:val="bottom"/>
            <w:tcBorders>
              <w:top w:val="single" w:sz="8" w:color="auto"/>
              <w:left w:val="single" w:sz="8" w:color="auto"/>
              <w:right w:val="single" w:sz="8" w:color="auto"/>
            </w:tcBorders>
            <w:shd w:val="clear" w:color="auto" w:fill="33CCCC"/>
          </w:tcPr>
          <w:p>
            <w:pPr>
              <w:spacing w:after="0"/>
              <w:rPr>
                <w:sz w:val="14"/>
                <w:szCs w:val="14"/>
                <w:color w:val="auto"/>
              </w:rPr>
            </w:pPr>
          </w:p>
        </w:tc>
        <w:tc>
          <w:tcPr>
            <w:tcW w:w="940" w:type="dxa"/>
            <w:vAlign w:val="bottom"/>
            <w:tcBorders>
              <w:top w:val="single" w:sz="8" w:color="auto"/>
            </w:tcBorders>
            <w:shd w:val="clear" w:color="auto" w:fill="33CCCC"/>
          </w:tcPr>
          <w:p>
            <w:pPr>
              <w:spacing w:after="0"/>
              <w:rPr>
                <w:sz w:val="14"/>
                <w:szCs w:val="14"/>
                <w:color w:val="auto"/>
              </w:rPr>
            </w:pPr>
          </w:p>
        </w:tc>
        <w:tc>
          <w:tcPr>
            <w:tcW w:w="94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As of</w:t>
            </w:r>
          </w:p>
        </w:tc>
        <w:tc>
          <w:tcPr>
            <w:tcW w:w="960" w:type="dxa"/>
            <w:vAlign w:val="bottom"/>
            <w:tcBorders>
              <w:top w:val="single" w:sz="8" w:color="auto"/>
              <w:right w:val="single" w:sz="8" w:color="auto"/>
            </w:tcBorders>
            <w:shd w:val="clear" w:color="auto" w:fill="33CCCC"/>
          </w:tcPr>
          <w:p>
            <w:pPr>
              <w:spacing w:after="0"/>
              <w:rPr>
                <w:sz w:val="14"/>
                <w:szCs w:val="14"/>
                <w:color w:val="auto"/>
              </w:rPr>
            </w:pPr>
          </w:p>
        </w:tc>
        <w:tc>
          <w:tcPr>
            <w:tcW w:w="660" w:type="dxa"/>
            <w:vAlign w:val="bottom"/>
            <w:tcBorders>
              <w:top w:val="single" w:sz="8" w:color="auto"/>
            </w:tcBorders>
            <w:shd w:val="clear" w:color="auto" w:fill="33CCCC"/>
          </w:tcPr>
          <w:p>
            <w:pPr>
              <w:spacing w:after="0"/>
              <w:rPr>
                <w:sz w:val="14"/>
                <w:szCs w:val="14"/>
                <w:color w:val="auto"/>
              </w:rPr>
            </w:pPr>
          </w:p>
        </w:tc>
        <w:tc>
          <w:tcPr>
            <w:tcW w:w="1260" w:type="dxa"/>
            <w:vAlign w:val="bottom"/>
            <w:tcBorders>
              <w:top w:val="single" w:sz="8" w:color="auto"/>
              <w:right w:val="single" w:sz="8" w:color="auto"/>
            </w:tcBorders>
            <w:gridSpan w:val="2"/>
            <w:shd w:val="clear" w:color="auto" w:fill="33CCCC"/>
          </w:tcPr>
          <w:p>
            <w:pPr>
              <w:spacing w:after="0"/>
              <w:rPr>
                <w:sz w:val="20"/>
                <w:szCs w:val="20"/>
                <w:color w:val="auto"/>
              </w:rPr>
            </w:pPr>
            <w:r>
              <w:rPr>
                <w:rFonts w:ascii="Arial" w:cs="Arial" w:eastAsia="Arial" w:hAnsi="Arial"/>
                <w:sz w:val="12"/>
                <w:szCs w:val="12"/>
                <w:b w:val="1"/>
                <w:bCs w:val="1"/>
                <w:color w:val="FFFFFF"/>
              </w:rPr>
              <w:t>% change</w:t>
            </w:r>
          </w:p>
        </w:tc>
      </w:tr>
      <w:tr>
        <w:trPr>
          <w:trHeight w:val="156"/>
        </w:trPr>
        <w:tc>
          <w:tcPr>
            <w:tcW w:w="5280" w:type="dxa"/>
            <w:vAlign w:val="bottom"/>
            <w:tcBorders>
              <w:left w:val="single" w:sz="8" w:color="auto"/>
              <w:bottom w:val="single" w:sz="8" w:color="auto"/>
              <w:right w:val="single" w:sz="8" w:color="auto"/>
            </w:tcBorders>
            <w:shd w:val="clear" w:color="auto" w:fill="33CCCC"/>
          </w:tcPr>
          <w:p>
            <w:pPr>
              <w:spacing w:after="0"/>
              <w:rPr>
                <w:sz w:val="13"/>
                <w:szCs w:val="13"/>
                <w:color w:val="auto"/>
              </w:rPr>
            </w:pPr>
          </w:p>
        </w:tc>
        <w:tc>
          <w:tcPr>
            <w:tcW w:w="940" w:type="dxa"/>
            <w:vAlign w:val="bottom"/>
            <w:tcBorders>
              <w:bottom w:val="single" w:sz="8" w:color="auto"/>
            </w:tcBorders>
            <w:shd w:val="clear" w:color="auto" w:fill="33CCCC"/>
          </w:tcPr>
          <w:p>
            <w:pPr>
              <w:ind w:left="260"/>
              <w:spacing w:after="0"/>
              <w:rPr>
                <w:sz w:val="20"/>
                <w:szCs w:val="20"/>
                <w:color w:val="auto"/>
              </w:rPr>
            </w:pPr>
            <w:r>
              <w:rPr>
                <w:rFonts w:ascii="Arial" w:cs="Arial" w:eastAsia="Arial" w:hAnsi="Arial"/>
                <w:sz w:val="12"/>
                <w:szCs w:val="12"/>
                <w:b w:val="1"/>
                <w:bCs w:val="1"/>
                <w:color w:val="FFFFFF"/>
              </w:rPr>
              <w:t>Sep 24</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4"/>
              </w:rPr>
              <w:t>Jun 25</w:t>
            </w:r>
          </w:p>
        </w:tc>
        <w:tc>
          <w:tcPr>
            <w:tcW w:w="960" w:type="dxa"/>
            <w:vAlign w:val="bottom"/>
            <w:tcBorders>
              <w:bottom w:val="single" w:sz="8" w:color="auto"/>
              <w:right w:val="single" w:sz="8" w:color="auto"/>
            </w:tcBorders>
            <w:shd w:val="clear" w:color="auto" w:fill="33CCCC"/>
          </w:tcPr>
          <w:p>
            <w:pPr>
              <w:ind w:left="280"/>
              <w:spacing w:after="0"/>
              <w:rPr>
                <w:sz w:val="20"/>
                <w:szCs w:val="20"/>
                <w:color w:val="auto"/>
              </w:rPr>
            </w:pPr>
            <w:r>
              <w:rPr>
                <w:rFonts w:ascii="Arial" w:cs="Arial" w:eastAsia="Arial" w:hAnsi="Arial"/>
                <w:sz w:val="12"/>
                <w:szCs w:val="12"/>
                <w:b w:val="1"/>
                <w:bCs w:val="1"/>
                <w:color w:val="FFFFFF"/>
              </w:rPr>
              <w:t>Sep 25</w:t>
            </w:r>
          </w:p>
        </w:tc>
        <w:tc>
          <w:tcPr>
            <w:tcW w:w="660" w:type="dxa"/>
            <w:vAlign w:val="bottom"/>
            <w:tcBorders>
              <w:bottom w:val="single" w:sz="8" w:color="auto"/>
            </w:tcBorders>
            <w:shd w:val="clear" w:color="auto" w:fill="33CCCC"/>
          </w:tcPr>
          <w:p>
            <w:pPr>
              <w:ind w:left="340"/>
              <w:spacing w:after="0"/>
              <w:rPr>
                <w:sz w:val="20"/>
                <w:szCs w:val="20"/>
                <w:color w:val="auto"/>
              </w:rPr>
            </w:pPr>
            <w:r>
              <w:rPr>
                <w:rFonts w:ascii="Arial" w:cs="Arial" w:eastAsia="Arial" w:hAnsi="Arial"/>
                <w:sz w:val="12"/>
                <w:szCs w:val="12"/>
                <w:b w:val="1"/>
                <w:bCs w:val="1"/>
                <w:color w:val="FFFFFF"/>
              </w:rPr>
              <w:t>QoQ</w:t>
            </w:r>
          </w:p>
        </w:tc>
        <w:tc>
          <w:tcPr>
            <w:tcW w:w="300" w:type="dxa"/>
            <w:vAlign w:val="bottom"/>
            <w:tcBorders>
              <w:bottom w:val="single" w:sz="8" w:color="auto"/>
              <w:right w:val="single" w:sz="8" w:color="33CCCC"/>
            </w:tcBorders>
            <w:shd w:val="clear" w:color="auto" w:fill="33CCCC"/>
          </w:tcPr>
          <w:p>
            <w:pPr>
              <w:spacing w:after="0"/>
              <w:rPr>
                <w:sz w:val="13"/>
                <w:szCs w:val="13"/>
                <w:color w:val="auto"/>
              </w:rPr>
            </w:pPr>
          </w:p>
        </w:tc>
        <w:tc>
          <w:tcPr>
            <w:tcW w:w="960" w:type="dxa"/>
            <w:vAlign w:val="bottom"/>
            <w:tcBorders>
              <w:bottom w:val="single" w:sz="8" w:color="auto"/>
              <w:right w:val="single" w:sz="8" w:color="auto"/>
            </w:tcBorders>
            <w:shd w:val="clear" w:color="auto" w:fill="33CCCC"/>
          </w:tcPr>
          <w:p>
            <w:pPr>
              <w:ind w:left="340"/>
              <w:spacing w:after="0"/>
              <w:rPr>
                <w:sz w:val="20"/>
                <w:szCs w:val="20"/>
                <w:color w:val="auto"/>
              </w:rPr>
            </w:pPr>
            <w:r>
              <w:rPr>
                <w:rFonts w:ascii="Arial" w:cs="Arial" w:eastAsia="Arial" w:hAnsi="Arial"/>
                <w:sz w:val="12"/>
                <w:szCs w:val="12"/>
                <w:b w:val="1"/>
                <w:bCs w:val="1"/>
                <w:color w:val="FFFFFF"/>
              </w:rPr>
              <w:t>YoY</w:t>
            </w:r>
          </w:p>
        </w:tc>
      </w:tr>
      <w:tr>
        <w:trPr>
          <w:trHeight w:val="147"/>
        </w:trPr>
        <w:tc>
          <w:tcPr>
            <w:tcW w:w="5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ASSETS</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r>
      <w:tr>
        <w:trPr>
          <w:trHeight w:val="156"/>
        </w:trPr>
        <w:tc>
          <w:tcPr>
            <w:tcW w:w="5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Cash and due from banks</w:t>
            </w:r>
          </w:p>
        </w:tc>
        <w:tc>
          <w:tcPr>
            <w:tcW w:w="940" w:type="dxa"/>
            <w:vAlign w:val="bottom"/>
          </w:tcPr>
          <w:p>
            <w:pPr>
              <w:jc w:val="center"/>
              <w:spacing w:after="0"/>
              <w:rPr>
                <w:sz w:val="20"/>
                <w:szCs w:val="20"/>
                <w:color w:val="auto"/>
              </w:rPr>
            </w:pPr>
            <w:r>
              <w:rPr>
                <w:rFonts w:ascii="Arial" w:cs="Arial" w:eastAsia="Arial" w:hAnsi="Arial"/>
                <w:sz w:val="12"/>
                <w:szCs w:val="12"/>
                <w:color w:val="auto"/>
                <w:w w:val="97"/>
              </w:rPr>
              <w:t>1,590,356</w:t>
            </w:r>
          </w:p>
        </w:tc>
        <w:tc>
          <w:tcPr>
            <w:tcW w:w="940" w:type="dxa"/>
            <w:vAlign w:val="bottom"/>
          </w:tcPr>
          <w:p>
            <w:pPr>
              <w:jc w:val="center"/>
              <w:spacing w:after="0"/>
              <w:rPr>
                <w:sz w:val="20"/>
                <w:szCs w:val="20"/>
                <w:color w:val="auto"/>
              </w:rPr>
            </w:pPr>
            <w:r>
              <w:rPr>
                <w:rFonts w:ascii="Arial" w:cs="Arial" w:eastAsia="Arial" w:hAnsi="Arial"/>
                <w:sz w:val="12"/>
                <w:szCs w:val="12"/>
                <w:color w:val="auto"/>
              </w:rPr>
              <w:t>1,668,841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2,109,302</w:t>
            </w:r>
          </w:p>
        </w:tc>
        <w:tc>
          <w:tcPr>
            <w:tcW w:w="660" w:type="dxa"/>
            <w:vAlign w:val="bottom"/>
          </w:tcPr>
          <w:p>
            <w:pPr>
              <w:jc w:val="center"/>
              <w:ind w:left="220"/>
              <w:spacing w:after="0"/>
              <w:rPr>
                <w:sz w:val="20"/>
                <w:szCs w:val="20"/>
                <w:color w:val="auto"/>
              </w:rPr>
            </w:pPr>
            <w:r>
              <w:rPr>
                <w:rFonts w:ascii="Arial" w:cs="Arial" w:eastAsia="Arial" w:hAnsi="Arial"/>
                <w:sz w:val="12"/>
                <w:szCs w:val="12"/>
                <w:color w:val="auto"/>
                <w:w w:val="99"/>
              </w:rPr>
              <w:t>26.4%</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32.6%</w:t>
            </w:r>
          </w:p>
        </w:tc>
      </w:tr>
      <w:tr>
        <w:trPr>
          <w:trHeight w:val="156"/>
        </w:trPr>
        <w:tc>
          <w:tcPr>
            <w:tcW w:w="5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Investments</w:t>
            </w:r>
          </w:p>
        </w:tc>
        <w:tc>
          <w:tcPr>
            <w:tcW w:w="940" w:type="dxa"/>
            <w:vAlign w:val="bottom"/>
          </w:tcPr>
          <w:p>
            <w:pPr>
              <w:jc w:val="center"/>
              <w:spacing w:after="0"/>
              <w:rPr>
                <w:sz w:val="20"/>
                <w:szCs w:val="20"/>
                <w:color w:val="auto"/>
              </w:rPr>
            </w:pPr>
            <w:r>
              <w:rPr>
                <w:rFonts w:ascii="Arial" w:cs="Arial" w:eastAsia="Arial" w:hAnsi="Arial"/>
                <w:sz w:val="12"/>
                <w:szCs w:val="12"/>
                <w:color w:val="auto"/>
                <w:w w:val="97"/>
              </w:rPr>
              <w:t>3,094,635</w:t>
            </w:r>
          </w:p>
        </w:tc>
        <w:tc>
          <w:tcPr>
            <w:tcW w:w="940" w:type="dxa"/>
            <w:vAlign w:val="bottom"/>
          </w:tcPr>
          <w:p>
            <w:pPr>
              <w:jc w:val="center"/>
              <w:spacing w:after="0"/>
              <w:rPr>
                <w:sz w:val="20"/>
                <w:szCs w:val="20"/>
                <w:color w:val="auto"/>
              </w:rPr>
            </w:pPr>
            <w:r>
              <w:rPr>
                <w:rFonts w:ascii="Arial" w:cs="Arial" w:eastAsia="Arial" w:hAnsi="Arial"/>
                <w:sz w:val="12"/>
                <w:szCs w:val="12"/>
                <w:color w:val="auto"/>
              </w:rPr>
              <w:t>2,878,335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2,488,277</w:t>
            </w:r>
          </w:p>
        </w:tc>
        <w:tc>
          <w:tcPr>
            <w:tcW w:w="660" w:type="dxa"/>
            <w:vAlign w:val="bottom"/>
          </w:tcPr>
          <w:p>
            <w:pPr>
              <w:jc w:val="center"/>
              <w:ind w:left="220"/>
              <w:spacing w:after="0"/>
              <w:rPr>
                <w:sz w:val="20"/>
                <w:szCs w:val="20"/>
                <w:color w:val="auto"/>
              </w:rPr>
            </w:pPr>
            <w:r>
              <w:rPr>
                <w:rFonts w:ascii="Arial" w:cs="Arial" w:eastAsia="Arial" w:hAnsi="Arial"/>
                <w:sz w:val="12"/>
                <w:szCs w:val="12"/>
                <w:color w:val="auto"/>
                <w:w w:val="99"/>
              </w:rPr>
              <w:t>-13.6%</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-19.6%</w:t>
            </w:r>
          </w:p>
        </w:tc>
      </w:tr>
      <w:tr>
        <w:trPr>
          <w:trHeight w:val="156"/>
        </w:trPr>
        <w:tc>
          <w:tcPr>
            <w:tcW w:w="5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Total loans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12,118,953</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12,785,249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13,095,856</w:t>
            </w:r>
          </w:p>
        </w:tc>
        <w:tc>
          <w:tcPr>
            <w:tcW w:w="660" w:type="dxa"/>
            <w:vAlign w:val="bottom"/>
          </w:tcPr>
          <w:p>
            <w:pPr>
              <w:jc w:val="center"/>
              <w:ind w:left="200"/>
              <w:spacing w:after="0"/>
              <w:rPr>
                <w:sz w:val="20"/>
                <w:szCs w:val="20"/>
                <w:color w:val="auto"/>
              </w:rPr>
            </w:pPr>
            <w:r>
              <w:rPr>
                <w:rFonts w:ascii="Arial" w:cs="Arial" w:eastAsia="Arial" w:hAnsi="Arial"/>
                <w:sz w:val="12"/>
                <w:szCs w:val="12"/>
                <w:b w:val="1"/>
                <w:bCs w:val="1"/>
                <w:color w:val="auto"/>
              </w:rPr>
              <w:t>2.4%</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8.1%</w:t>
            </w:r>
          </w:p>
        </w:tc>
      </w:tr>
      <w:tr>
        <w:trPr>
          <w:trHeight w:val="156"/>
        </w:trPr>
        <w:tc>
          <w:tcPr>
            <w:tcW w:w="52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2"/>
                <w:szCs w:val="12"/>
                <w:color w:val="auto"/>
              </w:rPr>
              <w:t>Current</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11,168,560</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12,004,020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12,349,782</w:t>
            </w:r>
          </w:p>
        </w:tc>
        <w:tc>
          <w:tcPr>
            <w:tcW w:w="660" w:type="dxa"/>
            <w:vAlign w:val="bottom"/>
          </w:tcPr>
          <w:p>
            <w:pPr>
              <w:jc w:val="center"/>
              <w:ind w:left="200"/>
              <w:spacing w:after="0"/>
              <w:rPr>
                <w:sz w:val="20"/>
                <w:szCs w:val="20"/>
                <w:color w:val="auto"/>
              </w:rPr>
            </w:pPr>
            <w:r>
              <w:rPr>
                <w:rFonts w:ascii="Arial" w:cs="Arial" w:eastAsia="Arial" w:hAnsi="Arial"/>
                <w:sz w:val="12"/>
                <w:szCs w:val="12"/>
                <w:color w:val="auto"/>
              </w:rPr>
              <w:t>2.9%</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10.6%</w:t>
            </w:r>
          </w:p>
        </w:tc>
      </w:tr>
      <w:tr>
        <w:trPr>
          <w:trHeight w:val="156"/>
        </w:trPr>
        <w:tc>
          <w:tcPr>
            <w:tcW w:w="52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2"/>
                <w:szCs w:val="12"/>
                <w:color w:val="auto"/>
              </w:rPr>
              <w:t>Internal overdue loans</w:t>
            </w:r>
          </w:p>
        </w:tc>
        <w:tc>
          <w:tcPr>
            <w:tcW w:w="940" w:type="dxa"/>
            <w:vAlign w:val="bottom"/>
          </w:tcPr>
          <w:p>
            <w:pPr>
              <w:jc w:val="center"/>
              <w:spacing w:after="0"/>
              <w:rPr>
                <w:sz w:val="20"/>
                <w:szCs w:val="20"/>
                <w:color w:val="auto"/>
              </w:rPr>
            </w:pPr>
            <w:r>
              <w:rPr>
                <w:rFonts w:ascii="Arial" w:cs="Arial" w:eastAsia="Arial" w:hAnsi="Arial"/>
                <w:sz w:val="12"/>
                <w:szCs w:val="12"/>
                <w:color w:val="auto"/>
              </w:rPr>
              <w:t>846,455</w:t>
            </w:r>
          </w:p>
        </w:tc>
        <w:tc>
          <w:tcPr>
            <w:tcW w:w="940" w:type="dxa"/>
            <w:vAlign w:val="bottom"/>
          </w:tcPr>
          <w:p>
            <w:pPr>
              <w:jc w:val="center"/>
              <w:spacing w:after="0"/>
              <w:rPr>
                <w:sz w:val="20"/>
                <w:szCs w:val="20"/>
                <w:color w:val="auto"/>
              </w:rPr>
            </w:pPr>
            <w:r>
              <w:rPr>
                <w:rFonts w:ascii="Arial" w:cs="Arial" w:eastAsia="Arial" w:hAnsi="Arial"/>
                <w:sz w:val="12"/>
                <w:szCs w:val="12"/>
                <w:color w:val="auto"/>
              </w:rPr>
              <w:t>659,287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614,819</w:t>
            </w:r>
          </w:p>
        </w:tc>
        <w:tc>
          <w:tcPr>
            <w:tcW w:w="660" w:type="dxa"/>
            <w:vAlign w:val="bottom"/>
          </w:tcPr>
          <w:p>
            <w:pPr>
              <w:jc w:val="center"/>
              <w:ind w:left="200"/>
              <w:spacing w:after="0"/>
              <w:rPr>
                <w:sz w:val="20"/>
                <w:szCs w:val="20"/>
                <w:color w:val="auto"/>
              </w:rPr>
            </w:pPr>
            <w:r>
              <w:rPr>
                <w:rFonts w:ascii="Arial" w:cs="Arial" w:eastAsia="Arial" w:hAnsi="Arial"/>
                <w:sz w:val="12"/>
                <w:szCs w:val="12"/>
                <w:color w:val="auto"/>
              </w:rPr>
              <w:t>-6.7%</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-27.4%</w:t>
            </w:r>
          </w:p>
        </w:tc>
      </w:tr>
      <w:tr>
        <w:trPr>
          <w:trHeight w:val="156"/>
        </w:trPr>
        <w:tc>
          <w:tcPr>
            <w:tcW w:w="52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2"/>
                <w:szCs w:val="12"/>
                <w:color w:val="auto"/>
              </w:rPr>
              <w:t>Refinanced</w:t>
            </w:r>
          </w:p>
        </w:tc>
        <w:tc>
          <w:tcPr>
            <w:tcW w:w="940" w:type="dxa"/>
            <w:vAlign w:val="bottom"/>
          </w:tcPr>
          <w:p>
            <w:pPr>
              <w:jc w:val="center"/>
              <w:spacing w:after="0"/>
              <w:rPr>
                <w:sz w:val="20"/>
                <w:szCs w:val="20"/>
                <w:color w:val="auto"/>
              </w:rPr>
            </w:pPr>
            <w:r>
              <w:rPr>
                <w:rFonts w:ascii="Arial" w:cs="Arial" w:eastAsia="Arial" w:hAnsi="Arial"/>
                <w:sz w:val="12"/>
                <w:szCs w:val="12"/>
                <w:color w:val="auto"/>
              </w:rPr>
              <w:t>103,938</w:t>
            </w:r>
          </w:p>
        </w:tc>
        <w:tc>
          <w:tcPr>
            <w:tcW w:w="940" w:type="dxa"/>
            <w:vAlign w:val="bottom"/>
          </w:tcPr>
          <w:p>
            <w:pPr>
              <w:jc w:val="center"/>
              <w:spacing w:after="0"/>
              <w:rPr>
                <w:sz w:val="20"/>
                <w:szCs w:val="20"/>
                <w:color w:val="auto"/>
              </w:rPr>
            </w:pPr>
            <w:r>
              <w:rPr>
                <w:rFonts w:ascii="Arial" w:cs="Arial" w:eastAsia="Arial" w:hAnsi="Arial"/>
                <w:sz w:val="12"/>
                <w:szCs w:val="12"/>
                <w:color w:val="auto"/>
              </w:rPr>
              <w:t>121,942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131,255</w:t>
            </w:r>
          </w:p>
        </w:tc>
        <w:tc>
          <w:tcPr>
            <w:tcW w:w="660" w:type="dxa"/>
            <w:vAlign w:val="bottom"/>
          </w:tcPr>
          <w:p>
            <w:pPr>
              <w:jc w:val="center"/>
              <w:ind w:left="200"/>
              <w:spacing w:after="0"/>
              <w:rPr>
                <w:sz w:val="20"/>
                <w:szCs w:val="20"/>
                <w:color w:val="auto"/>
              </w:rPr>
            </w:pPr>
            <w:r>
              <w:rPr>
                <w:rFonts w:ascii="Arial" w:cs="Arial" w:eastAsia="Arial" w:hAnsi="Arial"/>
                <w:sz w:val="12"/>
                <w:szCs w:val="12"/>
                <w:color w:val="auto"/>
              </w:rPr>
              <w:t>7.6%</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26.3%</w:t>
            </w:r>
          </w:p>
        </w:tc>
      </w:tr>
      <w:tr>
        <w:trPr>
          <w:trHeight w:val="156"/>
        </w:trPr>
        <w:tc>
          <w:tcPr>
            <w:tcW w:w="52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2"/>
                <w:szCs w:val="12"/>
                <w:color w:val="auto"/>
              </w:rPr>
              <w:t>Allowance for loan losses</w:t>
            </w:r>
          </w:p>
        </w:tc>
        <w:tc>
          <w:tcPr>
            <w:tcW w:w="940" w:type="dxa"/>
            <w:vAlign w:val="bottom"/>
          </w:tcPr>
          <w:p>
            <w:pPr>
              <w:jc w:val="center"/>
              <w:spacing w:after="0"/>
              <w:rPr>
                <w:sz w:val="20"/>
                <w:szCs w:val="20"/>
                <w:color w:val="auto"/>
              </w:rPr>
            </w:pPr>
            <w:r>
              <w:rPr>
                <w:rFonts w:ascii="Arial" w:cs="Arial" w:eastAsia="Arial" w:hAnsi="Arial"/>
                <w:sz w:val="12"/>
                <w:szCs w:val="12"/>
                <w:color w:val="auto"/>
              </w:rPr>
              <w:t>(940,310)</w:t>
            </w:r>
          </w:p>
        </w:tc>
        <w:tc>
          <w:tcPr>
            <w:tcW w:w="940" w:type="dxa"/>
            <w:vAlign w:val="bottom"/>
          </w:tcPr>
          <w:p>
            <w:pPr>
              <w:jc w:val="center"/>
              <w:spacing w:after="0"/>
              <w:rPr>
                <w:sz w:val="20"/>
                <w:szCs w:val="20"/>
                <w:color w:val="auto"/>
              </w:rPr>
            </w:pPr>
            <w:r>
              <w:rPr>
                <w:rFonts w:ascii="Arial" w:cs="Arial" w:eastAsia="Arial" w:hAnsi="Arial"/>
                <w:sz w:val="12"/>
                <w:szCs w:val="12"/>
                <w:color w:val="auto"/>
              </w:rPr>
              <w:t>(887,976)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(902,499)</w:t>
            </w:r>
          </w:p>
        </w:tc>
        <w:tc>
          <w:tcPr>
            <w:tcW w:w="660" w:type="dxa"/>
            <w:vAlign w:val="bottom"/>
          </w:tcPr>
          <w:p>
            <w:pPr>
              <w:jc w:val="center"/>
              <w:ind w:left="200"/>
              <w:spacing w:after="0"/>
              <w:rPr>
                <w:sz w:val="20"/>
                <w:szCs w:val="20"/>
                <w:color w:val="auto"/>
              </w:rPr>
            </w:pPr>
            <w:r>
              <w:rPr>
                <w:rFonts w:ascii="Arial" w:cs="Arial" w:eastAsia="Arial" w:hAnsi="Arial"/>
                <w:sz w:val="12"/>
                <w:szCs w:val="12"/>
                <w:color w:val="auto"/>
              </w:rPr>
              <w:t>1.6%</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-4.0%</w:t>
            </w:r>
          </w:p>
        </w:tc>
      </w:tr>
      <w:tr>
        <w:trPr>
          <w:trHeight w:val="156"/>
        </w:trPr>
        <w:tc>
          <w:tcPr>
            <w:tcW w:w="5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loans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11,178,643</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11,897,273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12,193,357</w:t>
            </w:r>
          </w:p>
        </w:tc>
        <w:tc>
          <w:tcPr>
            <w:tcW w:w="660" w:type="dxa"/>
            <w:vAlign w:val="bottom"/>
          </w:tcPr>
          <w:p>
            <w:pPr>
              <w:jc w:val="center"/>
              <w:ind w:left="200"/>
              <w:spacing w:after="0"/>
              <w:rPr>
                <w:sz w:val="20"/>
                <w:szCs w:val="20"/>
                <w:color w:val="auto"/>
              </w:rPr>
            </w:pPr>
            <w:r>
              <w:rPr>
                <w:rFonts w:ascii="Arial" w:cs="Arial" w:eastAsia="Arial" w:hAnsi="Arial"/>
                <w:sz w:val="12"/>
                <w:szCs w:val="12"/>
                <w:b w:val="1"/>
                <w:bCs w:val="1"/>
                <w:color w:val="auto"/>
              </w:rPr>
              <w:t>2.5%</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9.1%</w:t>
            </w:r>
          </w:p>
        </w:tc>
      </w:tr>
      <w:tr>
        <w:trPr>
          <w:trHeight w:val="156"/>
        </w:trPr>
        <w:tc>
          <w:tcPr>
            <w:tcW w:w="5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Property, plant and equipment, net</w:t>
            </w:r>
          </w:p>
        </w:tc>
        <w:tc>
          <w:tcPr>
            <w:tcW w:w="940" w:type="dxa"/>
            <w:vAlign w:val="bottom"/>
          </w:tcPr>
          <w:p>
            <w:pPr>
              <w:jc w:val="center"/>
              <w:spacing w:after="0"/>
              <w:rPr>
                <w:sz w:val="20"/>
                <w:szCs w:val="20"/>
                <w:color w:val="auto"/>
              </w:rPr>
            </w:pPr>
            <w:r>
              <w:rPr>
                <w:rFonts w:ascii="Arial" w:cs="Arial" w:eastAsia="Arial" w:hAnsi="Arial"/>
                <w:sz w:val="12"/>
                <w:szCs w:val="12"/>
                <w:color w:val="auto"/>
              </w:rPr>
              <w:t>132,430</w:t>
            </w:r>
          </w:p>
        </w:tc>
        <w:tc>
          <w:tcPr>
            <w:tcW w:w="940" w:type="dxa"/>
            <w:vAlign w:val="bottom"/>
          </w:tcPr>
          <w:p>
            <w:pPr>
              <w:jc w:val="center"/>
              <w:spacing w:after="0"/>
              <w:rPr>
                <w:sz w:val="20"/>
                <w:szCs w:val="20"/>
                <w:color w:val="auto"/>
              </w:rPr>
            </w:pPr>
            <w:r>
              <w:rPr>
                <w:rFonts w:ascii="Arial" w:cs="Arial" w:eastAsia="Arial" w:hAnsi="Arial"/>
                <w:sz w:val="12"/>
                <w:szCs w:val="12"/>
                <w:color w:val="auto"/>
              </w:rPr>
              <w:t>126,975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124,994</w:t>
            </w:r>
          </w:p>
        </w:tc>
        <w:tc>
          <w:tcPr>
            <w:tcW w:w="660" w:type="dxa"/>
            <w:vAlign w:val="bottom"/>
          </w:tcPr>
          <w:p>
            <w:pPr>
              <w:jc w:val="center"/>
              <w:ind w:left="200"/>
              <w:spacing w:after="0"/>
              <w:rPr>
                <w:sz w:val="20"/>
                <w:szCs w:val="20"/>
                <w:color w:val="auto"/>
              </w:rPr>
            </w:pPr>
            <w:r>
              <w:rPr>
                <w:rFonts w:ascii="Arial" w:cs="Arial" w:eastAsia="Arial" w:hAnsi="Arial"/>
                <w:sz w:val="12"/>
                <w:szCs w:val="12"/>
                <w:color w:val="auto"/>
              </w:rPr>
              <w:t>-1.6%</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-5.6%</w:t>
            </w:r>
          </w:p>
        </w:tc>
      </w:tr>
      <w:tr>
        <w:trPr>
          <w:trHeight w:val="156"/>
        </w:trPr>
        <w:tc>
          <w:tcPr>
            <w:tcW w:w="5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Other assets</w:t>
            </w:r>
          </w:p>
        </w:tc>
        <w:tc>
          <w:tcPr>
            <w:tcW w:w="940" w:type="dxa"/>
            <w:vAlign w:val="bottom"/>
          </w:tcPr>
          <w:p>
            <w:pPr>
              <w:jc w:val="center"/>
              <w:spacing w:after="0"/>
              <w:rPr>
                <w:sz w:val="20"/>
                <w:szCs w:val="20"/>
                <w:color w:val="auto"/>
              </w:rPr>
            </w:pPr>
            <w:r>
              <w:rPr>
                <w:rFonts w:ascii="Arial" w:cs="Arial" w:eastAsia="Arial" w:hAnsi="Arial"/>
                <w:sz w:val="12"/>
                <w:szCs w:val="12"/>
                <w:color w:val="auto"/>
              </w:rPr>
              <w:t>795,856</w:t>
            </w:r>
          </w:p>
        </w:tc>
        <w:tc>
          <w:tcPr>
            <w:tcW w:w="940" w:type="dxa"/>
            <w:vAlign w:val="bottom"/>
          </w:tcPr>
          <w:p>
            <w:pPr>
              <w:jc w:val="center"/>
              <w:spacing w:after="0"/>
              <w:rPr>
                <w:sz w:val="20"/>
                <w:szCs w:val="20"/>
                <w:color w:val="auto"/>
              </w:rPr>
            </w:pPr>
            <w:r>
              <w:rPr>
                <w:rFonts w:ascii="Arial" w:cs="Arial" w:eastAsia="Arial" w:hAnsi="Arial"/>
                <w:sz w:val="12"/>
                <w:szCs w:val="12"/>
                <w:color w:val="auto"/>
              </w:rPr>
              <w:t>715,448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636,681</w:t>
            </w:r>
          </w:p>
        </w:tc>
        <w:tc>
          <w:tcPr>
            <w:tcW w:w="660" w:type="dxa"/>
            <w:vAlign w:val="bottom"/>
          </w:tcPr>
          <w:p>
            <w:pPr>
              <w:jc w:val="center"/>
              <w:ind w:left="220"/>
              <w:spacing w:after="0"/>
              <w:rPr>
                <w:sz w:val="20"/>
                <w:szCs w:val="20"/>
                <w:color w:val="auto"/>
              </w:rPr>
            </w:pPr>
            <w:r>
              <w:rPr>
                <w:rFonts w:ascii="Arial" w:cs="Arial" w:eastAsia="Arial" w:hAnsi="Arial"/>
                <w:sz w:val="12"/>
                <w:szCs w:val="12"/>
                <w:color w:val="auto"/>
                <w:w w:val="99"/>
              </w:rPr>
              <w:t>-11.0%</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-20.0%</w:t>
            </w:r>
          </w:p>
        </w:tc>
      </w:tr>
      <w:tr>
        <w:trPr>
          <w:trHeight w:val="165"/>
        </w:trPr>
        <w:tc>
          <w:tcPr>
            <w:tcW w:w="5280" w:type="dxa"/>
            <w:vAlign w:val="bottom"/>
            <w:tcBorders>
              <w:left w:val="single" w:sz="8" w:color="auto"/>
              <w:right w:val="single" w:sz="8" w:color="auto"/>
            </w:tcBorders>
          </w:tcPr>
          <w:p>
            <w:pPr>
              <w:ind w:left="2280"/>
              <w:spacing w:after="0"/>
              <w:rPr>
                <w:sz w:val="20"/>
                <w:szCs w:val="20"/>
                <w:color w:val="auto"/>
              </w:rPr>
            </w:pPr>
            <w:r>
              <w:rPr>
                <w:rFonts w:ascii="Arial" w:cs="Arial" w:eastAsia="Arial" w:hAnsi="Arial"/>
                <w:sz w:val="12"/>
                <w:szCs w:val="12"/>
                <w:b w:val="1"/>
                <w:bCs w:val="1"/>
                <w:color w:val="auto"/>
              </w:rPr>
              <w:t>Total assets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16,791,920</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17,286,872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17,552,611</w:t>
            </w:r>
          </w:p>
        </w:tc>
        <w:tc>
          <w:tcPr>
            <w:tcW w:w="660" w:type="dxa"/>
            <w:vAlign w:val="bottom"/>
          </w:tcPr>
          <w:p>
            <w:pPr>
              <w:jc w:val="center"/>
              <w:ind w:left="200"/>
              <w:spacing w:after="0"/>
              <w:rPr>
                <w:sz w:val="20"/>
                <w:szCs w:val="20"/>
                <w:color w:val="auto"/>
              </w:rPr>
            </w:pPr>
            <w:r>
              <w:rPr>
                <w:rFonts w:ascii="Arial" w:cs="Arial" w:eastAsia="Arial" w:hAnsi="Arial"/>
                <w:sz w:val="12"/>
                <w:szCs w:val="12"/>
                <w:b w:val="1"/>
                <w:bCs w:val="1"/>
                <w:color w:val="auto"/>
              </w:rPr>
              <w:t>1.5%</w:t>
            </w:r>
          </w:p>
        </w:tc>
        <w:tc>
          <w:tcPr>
            <w:tcW w:w="3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4.5%</w:t>
            </w:r>
          </w:p>
        </w:tc>
      </w:tr>
      <w:tr>
        <w:trPr>
          <w:trHeight w:val="303"/>
        </w:trPr>
        <w:tc>
          <w:tcPr>
            <w:tcW w:w="5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LIABILITIES AND NET SHAREHOLDERS' EQUITY</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156"/>
        </w:trPr>
        <w:tc>
          <w:tcPr>
            <w:tcW w:w="5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Deposits and obligations</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10,800,163</w:t>
            </w:r>
          </w:p>
        </w:tc>
        <w:tc>
          <w:tcPr>
            <w:tcW w:w="940" w:type="dxa"/>
            <w:vAlign w:val="bottom"/>
          </w:tcPr>
          <w:p>
            <w:pPr>
              <w:jc w:val="center"/>
              <w:spacing w:after="0"/>
              <w:rPr>
                <w:sz w:val="20"/>
                <w:szCs w:val="20"/>
                <w:color w:val="auto"/>
              </w:rPr>
            </w:pPr>
            <w:r>
              <w:rPr>
                <w:rFonts w:ascii="Arial" w:cs="Arial" w:eastAsia="Arial" w:hAnsi="Arial"/>
                <w:sz w:val="12"/>
                <w:szCs w:val="12"/>
                <w:color w:val="auto"/>
                <w:w w:val="99"/>
              </w:rPr>
              <w:t>10,836,660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10,897,835</w:t>
            </w:r>
          </w:p>
        </w:tc>
        <w:tc>
          <w:tcPr>
            <w:tcW w:w="660" w:type="dxa"/>
            <w:vAlign w:val="bottom"/>
          </w:tcPr>
          <w:p>
            <w:pPr>
              <w:jc w:val="center"/>
              <w:ind w:left="200"/>
              <w:spacing w:after="0"/>
              <w:rPr>
                <w:sz w:val="20"/>
                <w:szCs w:val="20"/>
                <w:color w:val="auto"/>
              </w:rPr>
            </w:pPr>
            <w:r>
              <w:rPr>
                <w:rFonts w:ascii="Arial" w:cs="Arial" w:eastAsia="Arial" w:hAnsi="Arial"/>
                <w:sz w:val="12"/>
                <w:szCs w:val="12"/>
                <w:color w:val="auto"/>
              </w:rPr>
              <w:t>0.6%</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0.9%</w:t>
            </w:r>
          </w:p>
        </w:tc>
      </w:tr>
      <w:tr>
        <w:trPr>
          <w:trHeight w:val="156"/>
        </w:trPr>
        <w:tc>
          <w:tcPr>
            <w:tcW w:w="5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Due to banks and correspondents</w:t>
            </w:r>
          </w:p>
        </w:tc>
        <w:tc>
          <w:tcPr>
            <w:tcW w:w="940" w:type="dxa"/>
            <w:vAlign w:val="bottom"/>
          </w:tcPr>
          <w:p>
            <w:pPr>
              <w:jc w:val="center"/>
              <w:spacing w:after="0"/>
              <w:rPr>
                <w:sz w:val="20"/>
                <w:szCs w:val="20"/>
                <w:color w:val="auto"/>
              </w:rPr>
            </w:pPr>
            <w:r>
              <w:rPr>
                <w:rFonts w:ascii="Arial" w:cs="Arial" w:eastAsia="Arial" w:hAnsi="Arial"/>
                <w:sz w:val="12"/>
                <w:szCs w:val="12"/>
                <w:color w:val="auto"/>
                <w:w w:val="97"/>
              </w:rPr>
              <w:t>1,958,657</w:t>
            </w:r>
          </w:p>
        </w:tc>
        <w:tc>
          <w:tcPr>
            <w:tcW w:w="940" w:type="dxa"/>
            <w:vAlign w:val="bottom"/>
          </w:tcPr>
          <w:p>
            <w:pPr>
              <w:jc w:val="center"/>
              <w:spacing w:after="0"/>
              <w:rPr>
                <w:sz w:val="20"/>
                <w:szCs w:val="20"/>
                <w:color w:val="auto"/>
              </w:rPr>
            </w:pPr>
            <w:r>
              <w:rPr>
                <w:rFonts w:ascii="Arial" w:cs="Arial" w:eastAsia="Arial" w:hAnsi="Arial"/>
                <w:sz w:val="12"/>
                <w:szCs w:val="12"/>
                <w:color w:val="auto"/>
              </w:rPr>
              <w:t>2,309,869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2,418,667</w:t>
            </w:r>
          </w:p>
        </w:tc>
        <w:tc>
          <w:tcPr>
            <w:tcW w:w="660" w:type="dxa"/>
            <w:vAlign w:val="bottom"/>
          </w:tcPr>
          <w:p>
            <w:pPr>
              <w:jc w:val="center"/>
              <w:ind w:left="200"/>
              <w:spacing w:after="0"/>
              <w:rPr>
                <w:sz w:val="20"/>
                <w:szCs w:val="20"/>
                <w:color w:val="auto"/>
              </w:rPr>
            </w:pPr>
            <w:r>
              <w:rPr>
                <w:rFonts w:ascii="Arial" w:cs="Arial" w:eastAsia="Arial" w:hAnsi="Arial"/>
                <w:sz w:val="12"/>
                <w:szCs w:val="12"/>
                <w:color w:val="auto"/>
              </w:rPr>
              <w:t>4.7%</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23.5%</w:t>
            </w:r>
          </w:p>
        </w:tc>
      </w:tr>
      <w:tr>
        <w:trPr>
          <w:trHeight w:val="156"/>
        </w:trPr>
        <w:tc>
          <w:tcPr>
            <w:tcW w:w="5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Bonds and subordinated debt</w:t>
            </w:r>
          </w:p>
        </w:tc>
        <w:tc>
          <w:tcPr>
            <w:tcW w:w="940" w:type="dxa"/>
            <w:vAlign w:val="bottom"/>
          </w:tcPr>
          <w:p>
            <w:pPr>
              <w:jc w:val="center"/>
              <w:spacing w:after="0"/>
              <w:rPr>
                <w:sz w:val="20"/>
                <w:szCs w:val="20"/>
                <w:color w:val="auto"/>
              </w:rPr>
            </w:pPr>
            <w:r>
              <w:rPr>
                <w:rFonts w:ascii="Arial" w:cs="Arial" w:eastAsia="Arial" w:hAnsi="Arial"/>
                <w:sz w:val="12"/>
                <w:szCs w:val="12"/>
                <w:color w:val="auto"/>
              </w:rPr>
              <w:t>306,113</w:t>
            </w:r>
          </w:p>
        </w:tc>
        <w:tc>
          <w:tcPr>
            <w:tcW w:w="940" w:type="dxa"/>
            <w:vAlign w:val="bottom"/>
          </w:tcPr>
          <w:p>
            <w:pPr>
              <w:jc w:val="center"/>
              <w:spacing w:after="0"/>
              <w:rPr>
                <w:sz w:val="20"/>
                <w:szCs w:val="20"/>
                <w:color w:val="auto"/>
              </w:rPr>
            </w:pPr>
            <w:r>
              <w:rPr>
                <w:rFonts w:ascii="Arial" w:cs="Arial" w:eastAsia="Arial" w:hAnsi="Arial"/>
                <w:sz w:val="12"/>
                <w:szCs w:val="12"/>
                <w:color w:val="auto"/>
              </w:rPr>
              <w:t>398,037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606,683</w:t>
            </w:r>
          </w:p>
        </w:tc>
        <w:tc>
          <w:tcPr>
            <w:tcW w:w="660" w:type="dxa"/>
            <w:vAlign w:val="bottom"/>
          </w:tcPr>
          <w:p>
            <w:pPr>
              <w:jc w:val="center"/>
              <w:ind w:left="220"/>
              <w:spacing w:after="0"/>
              <w:rPr>
                <w:sz w:val="20"/>
                <w:szCs w:val="20"/>
                <w:color w:val="auto"/>
              </w:rPr>
            </w:pPr>
            <w:r>
              <w:rPr>
                <w:rFonts w:ascii="Arial" w:cs="Arial" w:eastAsia="Arial" w:hAnsi="Arial"/>
                <w:sz w:val="12"/>
                <w:szCs w:val="12"/>
                <w:color w:val="auto"/>
                <w:w w:val="99"/>
              </w:rPr>
              <w:t>52.4%</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98.2%</w:t>
            </w:r>
          </w:p>
        </w:tc>
      </w:tr>
      <w:tr>
        <w:trPr>
          <w:trHeight w:val="156"/>
        </w:trPr>
        <w:tc>
          <w:tcPr>
            <w:tcW w:w="5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Other liabilities</w:t>
            </w:r>
          </w:p>
        </w:tc>
        <w:tc>
          <w:tcPr>
            <w:tcW w:w="940" w:type="dxa"/>
            <w:vAlign w:val="bottom"/>
          </w:tcPr>
          <w:p>
            <w:pPr>
              <w:jc w:val="center"/>
              <w:spacing w:after="0"/>
              <w:rPr>
                <w:sz w:val="20"/>
                <w:szCs w:val="20"/>
                <w:color w:val="auto"/>
              </w:rPr>
            </w:pPr>
            <w:r>
              <w:rPr>
                <w:rFonts w:ascii="Arial" w:cs="Arial" w:eastAsia="Arial" w:hAnsi="Arial"/>
                <w:sz w:val="12"/>
                <w:szCs w:val="12"/>
                <w:color w:val="auto"/>
              </w:rPr>
              <w:t>983,614</w:t>
            </w:r>
          </w:p>
        </w:tc>
        <w:tc>
          <w:tcPr>
            <w:tcW w:w="940" w:type="dxa"/>
            <w:vAlign w:val="bottom"/>
          </w:tcPr>
          <w:p>
            <w:pPr>
              <w:jc w:val="center"/>
              <w:spacing w:after="0"/>
              <w:rPr>
                <w:sz w:val="20"/>
                <w:szCs w:val="20"/>
                <w:color w:val="auto"/>
              </w:rPr>
            </w:pPr>
            <w:r>
              <w:rPr>
                <w:rFonts w:ascii="Arial" w:cs="Arial" w:eastAsia="Arial" w:hAnsi="Arial"/>
                <w:sz w:val="12"/>
                <w:szCs w:val="12"/>
                <w:color w:val="auto"/>
              </w:rPr>
              <w:t>1,207,564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968,418</w:t>
            </w:r>
          </w:p>
        </w:tc>
        <w:tc>
          <w:tcPr>
            <w:tcW w:w="660" w:type="dxa"/>
            <w:vAlign w:val="bottom"/>
          </w:tcPr>
          <w:p>
            <w:pPr>
              <w:jc w:val="center"/>
              <w:ind w:left="220"/>
              <w:spacing w:after="0"/>
              <w:rPr>
                <w:sz w:val="20"/>
                <w:szCs w:val="20"/>
                <w:color w:val="auto"/>
              </w:rPr>
            </w:pPr>
            <w:r>
              <w:rPr>
                <w:rFonts w:ascii="Arial" w:cs="Arial" w:eastAsia="Arial" w:hAnsi="Arial"/>
                <w:sz w:val="12"/>
                <w:szCs w:val="12"/>
                <w:color w:val="auto"/>
                <w:w w:val="99"/>
              </w:rPr>
              <w:t>-19.8%</w:t>
            </w:r>
          </w:p>
        </w:tc>
        <w:tc>
          <w:tcPr>
            <w:tcW w:w="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-1.5%</w:t>
            </w:r>
          </w:p>
        </w:tc>
      </w:tr>
      <w:tr>
        <w:trPr>
          <w:trHeight w:val="165"/>
        </w:trPr>
        <w:tc>
          <w:tcPr>
            <w:tcW w:w="5280" w:type="dxa"/>
            <w:vAlign w:val="bottom"/>
            <w:tcBorders>
              <w:left w:val="single" w:sz="8" w:color="auto"/>
              <w:right w:val="single" w:sz="8" w:color="auto"/>
            </w:tcBorders>
          </w:tcPr>
          <w:p>
            <w:pPr>
              <w:ind w:left="2220"/>
              <w:spacing w:after="0"/>
              <w:rPr>
                <w:sz w:val="20"/>
                <w:szCs w:val="20"/>
                <w:color w:val="auto"/>
              </w:rPr>
            </w:pPr>
            <w:r>
              <w:rPr>
                <w:rFonts w:ascii="Arial" w:cs="Arial" w:eastAsia="Arial" w:hAnsi="Arial"/>
                <w:sz w:val="12"/>
                <w:szCs w:val="12"/>
                <w:b w:val="1"/>
                <w:bCs w:val="1"/>
                <w:color w:val="auto"/>
              </w:rPr>
              <w:t>Total liabilities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14,048,547</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14,752,130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14,891,603</w:t>
            </w:r>
          </w:p>
        </w:tc>
        <w:tc>
          <w:tcPr>
            <w:tcW w:w="660" w:type="dxa"/>
            <w:vAlign w:val="bottom"/>
          </w:tcPr>
          <w:p>
            <w:pPr>
              <w:jc w:val="center"/>
              <w:ind w:left="200"/>
              <w:spacing w:after="0"/>
              <w:rPr>
                <w:sz w:val="20"/>
                <w:szCs w:val="20"/>
                <w:color w:val="auto"/>
              </w:rPr>
            </w:pPr>
            <w:r>
              <w:rPr>
                <w:rFonts w:ascii="Arial" w:cs="Arial" w:eastAsia="Arial" w:hAnsi="Arial"/>
                <w:sz w:val="12"/>
                <w:szCs w:val="12"/>
                <w:b w:val="1"/>
                <w:bCs w:val="1"/>
                <w:color w:val="auto"/>
              </w:rPr>
              <w:t>0.9%</w:t>
            </w:r>
          </w:p>
        </w:tc>
        <w:tc>
          <w:tcPr>
            <w:tcW w:w="3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6.0%</w:t>
            </w:r>
          </w:p>
        </w:tc>
      </w:tr>
      <w:tr>
        <w:trPr>
          <w:trHeight w:val="312"/>
        </w:trPr>
        <w:tc>
          <w:tcPr>
            <w:tcW w:w="5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equity</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7"/>
              </w:rPr>
              <w:t>2,743,373</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2,534,742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2,661,008</w:t>
            </w:r>
          </w:p>
        </w:tc>
        <w:tc>
          <w:tcPr>
            <w:tcW w:w="660" w:type="dxa"/>
            <w:vAlign w:val="bottom"/>
          </w:tcPr>
          <w:p>
            <w:pPr>
              <w:jc w:val="center"/>
              <w:ind w:left="200"/>
              <w:spacing w:after="0"/>
              <w:rPr>
                <w:sz w:val="20"/>
                <w:szCs w:val="20"/>
                <w:color w:val="auto"/>
              </w:rPr>
            </w:pPr>
            <w:r>
              <w:rPr>
                <w:rFonts w:ascii="Arial" w:cs="Arial" w:eastAsia="Arial" w:hAnsi="Arial"/>
                <w:sz w:val="12"/>
                <w:szCs w:val="12"/>
                <w:b w:val="1"/>
                <w:bCs w:val="1"/>
                <w:color w:val="auto"/>
              </w:rPr>
              <w:t>5.0%</w:t>
            </w:r>
          </w:p>
        </w:tc>
        <w:tc>
          <w:tcPr>
            <w:tcW w:w="3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-3.0%</w:t>
            </w:r>
          </w:p>
        </w:tc>
      </w:tr>
      <w:tr>
        <w:trPr>
          <w:trHeight w:val="304"/>
        </w:trPr>
        <w:tc>
          <w:tcPr>
            <w:tcW w:w="52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TOTAL LIABILITIES AND NET SHAREHOLDERS' EQUITY</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16,791,920</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17,286,872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17,552,611</w:t>
            </w:r>
          </w:p>
        </w:tc>
        <w:tc>
          <w:tcPr>
            <w:tcW w:w="660" w:type="dxa"/>
            <w:vAlign w:val="bottom"/>
            <w:tcBorders>
              <w:bottom w:val="single" w:sz="8" w:color="auto"/>
            </w:tcBorders>
          </w:tcPr>
          <w:p>
            <w:pPr>
              <w:jc w:val="center"/>
              <w:ind w:left="200"/>
              <w:spacing w:after="0"/>
              <w:rPr>
                <w:sz w:val="20"/>
                <w:szCs w:val="20"/>
                <w:color w:val="auto"/>
              </w:rPr>
            </w:pPr>
            <w:r>
              <w:rPr>
                <w:rFonts w:ascii="Arial" w:cs="Arial" w:eastAsia="Arial" w:hAnsi="Arial"/>
                <w:sz w:val="12"/>
                <w:szCs w:val="12"/>
                <w:b w:val="1"/>
                <w:bCs w:val="1"/>
                <w:color w:val="auto"/>
              </w:rPr>
              <w:t>1.5%</w:t>
            </w:r>
          </w:p>
        </w:tc>
        <w:tc>
          <w:tcPr>
            <w:tcW w:w="3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4.5%</w:t>
            </w:r>
          </w:p>
        </w:tc>
      </w:tr>
    </w:tbl>
    <w:p>
      <w:pPr>
        <w:spacing w:after="0" w:line="167"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Statement of Income</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(S/ Thousands, IFRS)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020" w:type="dxa"/>
            <w:vAlign w:val="bottom"/>
            <w:tcBorders>
              <w:top w:val="single" w:sz="8" w:color="auto"/>
              <w:left w:val="single" w:sz="8" w:color="auto"/>
              <w:right w:val="single" w:sz="8" w:color="auto"/>
            </w:tcBorders>
            <w:shd w:val="clear" w:color="auto" w:fill="33CCCC"/>
          </w:tcPr>
          <w:p>
            <w:pPr>
              <w:spacing w:after="0"/>
              <w:rPr>
                <w:sz w:val="12"/>
                <w:szCs w:val="12"/>
                <w:color w:val="auto"/>
              </w:rPr>
            </w:pPr>
          </w:p>
        </w:tc>
        <w:tc>
          <w:tcPr>
            <w:tcW w:w="920" w:type="dxa"/>
            <w:vAlign w:val="bottom"/>
            <w:tcBorders>
              <w:top w:val="single" w:sz="8" w:color="auto"/>
            </w:tcBorders>
            <w:shd w:val="clear" w:color="auto" w:fill="33CCCC"/>
          </w:tcPr>
          <w:p>
            <w:pPr>
              <w:spacing w:after="0"/>
              <w:rPr>
                <w:sz w:val="12"/>
                <w:szCs w:val="12"/>
                <w:color w:val="auto"/>
              </w:rPr>
            </w:pPr>
          </w:p>
        </w:tc>
        <w:tc>
          <w:tcPr>
            <w:tcW w:w="900" w:type="dxa"/>
            <w:vAlign w:val="bottom"/>
            <w:tcBorders>
              <w:top w:val="single" w:sz="8" w:color="auto"/>
            </w:tcBorders>
            <w:shd w:val="clear" w:color="auto" w:fill="33CCCC"/>
          </w:tcPr>
          <w:p>
            <w:pPr>
              <w:ind w:left="240"/>
              <w:spacing w:after="0"/>
              <w:rPr>
                <w:sz w:val="20"/>
                <w:szCs w:val="20"/>
                <w:color w:val="auto"/>
              </w:rPr>
            </w:pPr>
            <w:r>
              <w:rPr>
                <w:rFonts w:ascii="Arial" w:cs="Arial" w:eastAsia="Arial" w:hAnsi="Arial"/>
                <w:sz w:val="11"/>
                <w:szCs w:val="11"/>
                <w:b w:val="1"/>
                <w:bCs w:val="1"/>
                <w:color w:val="FFFFFF"/>
              </w:rPr>
              <w:t>Quarter</w:t>
            </w:r>
          </w:p>
        </w:tc>
        <w:tc>
          <w:tcPr>
            <w:tcW w:w="940" w:type="dxa"/>
            <w:vAlign w:val="bottom"/>
            <w:tcBorders>
              <w:top w:val="single" w:sz="8" w:color="auto"/>
              <w:right w:val="single" w:sz="8" w:color="auto"/>
            </w:tcBorders>
            <w:shd w:val="clear" w:color="auto" w:fill="33CCCC"/>
          </w:tcPr>
          <w:p>
            <w:pPr>
              <w:spacing w:after="0"/>
              <w:rPr>
                <w:sz w:val="12"/>
                <w:szCs w:val="12"/>
                <w:color w:val="auto"/>
              </w:rPr>
            </w:pPr>
          </w:p>
        </w:tc>
        <w:tc>
          <w:tcPr>
            <w:tcW w:w="160" w:type="dxa"/>
            <w:vAlign w:val="bottom"/>
            <w:tcBorders>
              <w:top w:val="single" w:sz="8" w:color="auto"/>
              <w:right w:val="single" w:sz="8" w:color="33CCCC"/>
            </w:tcBorders>
            <w:shd w:val="clear" w:color="auto" w:fill="33CCCC"/>
          </w:tcPr>
          <w:p>
            <w:pPr>
              <w:spacing w:after="0"/>
              <w:rPr>
                <w:sz w:val="12"/>
                <w:szCs w:val="12"/>
                <w:color w:val="auto"/>
              </w:rPr>
            </w:pPr>
          </w:p>
        </w:tc>
        <w:tc>
          <w:tcPr>
            <w:tcW w:w="1040" w:type="dxa"/>
            <w:vAlign w:val="bottom"/>
            <w:tcBorders>
              <w:top w:val="single" w:sz="8" w:color="auto"/>
            </w:tcBorders>
            <w:shd w:val="clear" w:color="auto" w:fill="33CCCC"/>
          </w:tcPr>
          <w:p>
            <w:pPr>
              <w:jc w:val="right"/>
              <w:spacing w:after="0"/>
              <w:rPr>
                <w:sz w:val="20"/>
                <w:szCs w:val="20"/>
                <w:color w:val="auto"/>
              </w:rPr>
            </w:pPr>
            <w:r>
              <w:rPr>
                <w:rFonts w:ascii="Arial" w:cs="Arial" w:eastAsia="Arial" w:hAnsi="Arial"/>
                <w:sz w:val="11"/>
                <w:szCs w:val="11"/>
                <w:b w:val="1"/>
                <w:bCs w:val="1"/>
                <w:color w:val="FFFFFF"/>
              </w:rPr>
              <w:t>% change</w:t>
            </w:r>
          </w:p>
        </w:tc>
        <w:tc>
          <w:tcPr>
            <w:tcW w:w="720" w:type="dxa"/>
            <w:vAlign w:val="bottom"/>
            <w:tcBorders>
              <w:top w:val="single" w:sz="8" w:color="auto"/>
              <w:right w:val="single" w:sz="8" w:color="auto"/>
            </w:tcBorders>
            <w:shd w:val="clear" w:color="auto" w:fill="33CCCC"/>
          </w:tcPr>
          <w:p>
            <w:pPr>
              <w:spacing w:after="0"/>
              <w:rPr>
                <w:sz w:val="12"/>
                <w:szCs w:val="12"/>
                <w:color w:val="auto"/>
              </w:rPr>
            </w:pPr>
          </w:p>
        </w:tc>
        <w:tc>
          <w:tcPr>
            <w:tcW w:w="120" w:type="dxa"/>
            <w:vAlign w:val="bottom"/>
            <w:tcBorders>
              <w:top w:val="single" w:sz="8" w:color="auto"/>
              <w:right w:val="single" w:sz="8" w:color="33CCCC"/>
            </w:tcBorders>
            <w:shd w:val="clear" w:color="auto" w:fill="33CCCC"/>
          </w:tcPr>
          <w:p>
            <w:pPr>
              <w:spacing w:after="0"/>
              <w:rPr>
                <w:sz w:val="12"/>
                <w:szCs w:val="12"/>
                <w:color w:val="auto"/>
              </w:rPr>
            </w:pPr>
          </w:p>
        </w:tc>
        <w:tc>
          <w:tcPr>
            <w:tcW w:w="640" w:type="dxa"/>
            <w:vAlign w:val="bottom"/>
            <w:tcBorders>
              <w:top w:val="single" w:sz="8" w:color="auto"/>
            </w:tcBorders>
            <w:shd w:val="clear" w:color="auto" w:fill="33CCCC"/>
          </w:tcPr>
          <w:p>
            <w:pPr>
              <w:spacing w:after="0"/>
              <w:rPr>
                <w:sz w:val="12"/>
                <w:szCs w:val="12"/>
                <w:color w:val="auto"/>
              </w:rPr>
            </w:pPr>
          </w:p>
        </w:tc>
        <w:tc>
          <w:tcPr>
            <w:tcW w:w="1140" w:type="dxa"/>
            <w:vAlign w:val="bottom"/>
            <w:tcBorders>
              <w:top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1"/>
                <w:szCs w:val="11"/>
                <w:b w:val="1"/>
                <w:bCs w:val="1"/>
                <w:color w:val="FFFFFF"/>
              </w:rPr>
              <w:t>Up to</w:t>
            </w:r>
          </w:p>
        </w:tc>
        <w:tc>
          <w:tcPr>
            <w:tcW w:w="120" w:type="dxa"/>
            <w:vAlign w:val="bottom"/>
            <w:tcBorders>
              <w:top w:val="single" w:sz="8" w:color="auto"/>
              <w:right w:val="single" w:sz="8" w:color="33CCCC"/>
            </w:tcBorders>
            <w:shd w:val="clear" w:color="auto" w:fill="33CCCC"/>
          </w:tcPr>
          <w:p>
            <w:pPr>
              <w:spacing w:after="0"/>
              <w:rPr>
                <w:sz w:val="12"/>
                <w:szCs w:val="12"/>
                <w:color w:val="auto"/>
              </w:rPr>
            </w:pPr>
          </w:p>
        </w:tc>
        <w:tc>
          <w:tcPr>
            <w:tcW w:w="860" w:type="dxa"/>
            <w:vAlign w:val="bottom"/>
            <w:tcBorders>
              <w:top w:val="single" w:sz="8" w:color="auto"/>
              <w:right w:val="single" w:sz="8" w:color="auto"/>
            </w:tcBorders>
            <w:shd w:val="clear" w:color="auto" w:fill="33CCCC"/>
          </w:tcPr>
          <w:p>
            <w:pPr>
              <w:jc w:val="center"/>
              <w:ind w:right="111"/>
              <w:spacing w:after="0"/>
              <w:rPr>
                <w:sz w:val="20"/>
                <w:szCs w:val="20"/>
                <w:color w:val="auto"/>
              </w:rPr>
            </w:pPr>
            <w:r>
              <w:rPr>
                <w:rFonts w:ascii="Arial" w:cs="Arial" w:eastAsia="Arial" w:hAnsi="Arial"/>
                <w:sz w:val="11"/>
                <w:szCs w:val="11"/>
                <w:b w:val="1"/>
                <w:bCs w:val="1"/>
                <w:color w:val="FFFFFF"/>
                <w:w w:val="97"/>
              </w:rPr>
              <w:t>% change</w:t>
            </w:r>
          </w:p>
        </w:tc>
      </w:tr>
      <w:tr>
        <w:trPr>
          <w:trHeight w:val="132"/>
        </w:trPr>
        <w:tc>
          <w:tcPr>
            <w:tcW w:w="302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3Q24</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2Q25</w:t>
            </w:r>
          </w:p>
        </w:tc>
        <w:tc>
          <w:tcPr>
            <w:tcW w:w="9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3Q25</w:t>
            </w:r>
          </w:p>
        </w:tc>
        <w:tc>
          <w:tcPr>
            <w:tcW w:w="160" w:type="dxa"/>
            <w:vAlign w:val="bottom"/>
            <w:tcBorders>
              <w:bottom w:val="single" w:sz="8" w:color="auto"/>
              <w:right w:val="single" w:sz="8" w:color="33CCCC"/>
            </w:tcBorders>
            <w:shd w:val="clear" w:color="auto" w:fill="33CCCC"/>
          </w:tcPr>
          <w:p>
            <w:pPr>
              <w:spacing w:after="0"/>
              <w:rPr>
                <w:sz w:val="11"/>
                <w:szCs w:val="11"/>
                <w:color w:val="auto"/>
              </w:rPr>
            </w:pPr>
          </w:p>
        </w:tc>
        <w:tc>
          <w:tcPr>
            <w:tcW w:w="1040" w:type="dxa"/>
            <w:vAlign w:val="bottom"/>
            <w:tcBorders>
              <w:bottom w:val="single" w:sz="8" w:color="auto"/>
            </w:tcBorders>
            <w:shd w:val="clear" w:color="auto" w:fill="33CCCC"/>
          </w:tcPr>
          <w:p>
            <w:pPr>
              <w:jc w:val="right"/>
              <w:ind w:right="571"/>
              <w:spacing w:after="0"/>
              <w:rPr>
                <w:sz w:val="20"/>
                <w:szCs w:val="20"/>
                <w:color w:val="auto"/>
              </w:rPr>
            </w:pPr>
            <w:r>
              <w:rPr>
                <w:rFonts w:ascii="Arial" w:cs="Arial" w:eastAsia="Arial" w:hAnsi="Arial"/>
                <w:sz w:val="11"/>
                <w:szCs w:val="11"/>
                <w:b w:val="1"/>
                <w:bCs w:val="1"/>
                <w:color w:val="FFFFFF"/>
              </w:rPr>
              <w:t>QoQ</w:t>
            </w:r>
          </w:p>
        </w:tc>
        <w:tc>
          <w:tcPr>
            <w:tcW w:w="720" w:type="dxa"/>
            <w:vAlign w:val="bottom"/>
            <w:tcBorders>
              <w:bottom w:val="single" w:sz="8" w:color="auto"/>
              <w:right w:val="single" w:sz="8" w:color="auto"/>
            </w:tcBorders>
            <w:shd w:val="clear" w:color="auto" w:fill="33CCCC"/>
          </w:tcPr>
          <w:p>
            <w:pPr>
              <w:ind w:left="120"/>
              <w:spacing w:after="0"/>
              <w:rPr>
                <w:sz w:val="20"/>
                <w:szCs w:val="20"/>
                <w:color w:val="auto"/>
              </w:rPr>
            </w:pPr>
            <w:r>
              <w:rPr>
                <w:rFonts w:ascii="Arial" w:cs="Arial" w:eastAsia="Arial" w:hAnsi="Arial"/>
                <w:sz w:val="11"/>
                <w:szCs w:val="11"/>
                <w:b w:val="1"/>
                <w:bCs w:val="1"/>
                <w:color w:val="FFFFFF"/>
              </w:rPr>
              <w:t>YoY</w:t>
            </w:r>
          </w:p>
        </w:tc>
        <w:tc>
          <w:tcPr>
            <w:tcW w:w="120" w:type="dxa"/>
            <w:vAlign w:val="bottom"/>
            <w:tcBorders>
              <w:bottom w:val="single" w:sz="8" w:color="auto"/>
              <w:right w:val="single" w:sz="8" w:color="33CCCC"/>
            </w:tcBorders>
            <w:shd w:val="clear" w:color="auto" w:fill="33CCCC"/>
          </w:tcPr>
          <w:p>
            <w:pPr>
              <w:spacing w:after="0"/>
              <w:rPr>
                <w:sz w:val="11"/>
                <w:szCs w:val="11"/>
                <w:color w:val="auto"/>
              </w:rPr>
            </w:pPr>
          </w:p>
        </w:tc>
        <w:tc>
          <w:tcPr>
            <w:tcW w:w="640" w:type="dxa"/>
            <w:vAlign w:val="bottom"/>
            <w:tcBorders>
              <w:bottom w:val="single" w:sz="8" w:color="auto"/>
            </w:tcBorders>
            <w:shd w:val="clear" w:color="auto" w:fill="33CCCC"/>
          </w:tcPr>
          <w:p>
            <w:pPr>
              <w:ind w:left="160"/>
              <w:spacing w:after="0"/>
              <w:rPr>
                <w:sz w:val="20"/>
                <w:szCs w:val="20"/>
                <w:color w:val="auto"/>
              </w:rPr>
            </w:pPr>
            <w:r>
              <w:rPr>
                <w:rFonts w:ascii="Arial" w:cs="Arial" w:eastAsia="Arial" w:hAnsi="Arial"/>
                <w:sz w:val="11"/>
                <w:szCs w:val="11"/>
                <w:b w:val="1"/>
                <w:bCs w:val="1"/>
                <w:color w:val="FFFFFF"/>
              </w:rPr>
              <w:t>Sep 24</w:t>
            </w:r>
          </w:p>
        </w:tc>
        <w:tc>
          <w:tcPr>
            <w:tcW w:w="1140" w:type="dxa"/>
            <w:vAlign w:val="bottom"/>
            <w:tcBorders>
              <w:bottom w:val="single" w:sz="8" w:color="auto"/>
              <w:right w:val="single" w:sz="8" w:color="auto"/>
            </w:tcBorders>
            <w:shd w:val="clear" w:color="auto" w:fill="33CCCC"/>
          </w:tcPr>
          <w:p>
            <w:pPr>
              <w:ind w:left="480"/>
              <w:spacing w:after="0"/>
              <w:rPr>
                <w:sz w:val="20"/>
                <w:szCs w:val="20"/>
                <w:color w:val="auto"/>
              </w:rPr>
            </w:pPr>
            <w:r>
              <w:rPr>
                <w:rFonts w:ascii="Arial" w:cs="Arial" w:eastAsia="Arial" w:hAnsi="Arial"/>
                <w:sz w:val="11"/>
                <w:szCs w:val="11"/>
                <w:b w:val="1"/>
                <w:bCs w:val="1"/>
                <w:color w:val="FFFFFF"/>
              </w:rPr>
              <w:t>Sep 25</w:t>
            </w:r>
          </w:p>
        </w:tc>
        <w:tc>
          <w:tcPr>
            <w:tcW w:w="980" w:type="dxa"/>
            <w:vAlign w:val="bottom"/>
            <w:tcBorders>
              <w:bottom w:val="single" w:sz="8" w:color="auto"/>
              <w:right w:val="single" w:sz="8" w:color="auto"/>
            </w:tcBorders>
            <w:gridSpan w:val="2"/>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Sep 25 / Sep 24</w:t>
            </w:r>
          </w:p>
        </w:tc>
      </w:tr>
      <w:tr>
        <w:trPr>
          <w:trHeight w:val="124"/>
        </w:trPr>
        <w:tc>
          <w:tcPr>
            <w:tcW w:w="302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Net interest income</w:t>
            </w:r>
          </w:p>
        </w:tc>
        <w:tc>
          <w:tcPr>
            <w:tcW w:w="920" w:type="dxa"/>
            <w:vAlign w:val="bottom"/>
          </w:tcPr>
          <w:p>
            <w:pPr>
              <w:jc w:val="center"/>
              <w:spacing w:after="0" w:line="124" w:lineRule="exact"/>
              <w:rPr>
                <w:sz w:val="20"/>
                <w:szCs w:val="20"/>
                <w:color w:val="auto"/>
              </w:rPr>
            </w:pPr>
            <w:r>
              <w:rPr>
                <w:rFonts w:ascii="Arial" w:cs="Arial" w:eastAsia="Arial" w:hAnsi="Arial"/>
                <w:sz w:val="11"/>
                <w:szCs w:val="11"/>
                <w:color w:val="auto"/>
                <w:w w:val="95"/>
              </w:rPr>
              <w:t>562,421</w:t>
            </w:r>
          </w:p>
        </w:tc>
        <w:tc>
          <w:tcPr>
            <w:tcW w:w="900" w:type="dxa"/>
            <w:vAlign w:val="bottom"/>
          </w:tcPr>
          <w:p>
            <w:pPr>
              <w:jc w:val="center"/>
              <w:spacing w:after="0" w:line="124" w:lineRule="exact"/>
              <w:rPr>
                <w:sz w:val="20"/>
                <w:szCs w:val="20"/>
                <w:color w:val="auto"/>
              </w:rPr>
            </w:pPr>
            <w:r>
              <w:rPr>
                <w:rFonts w:ascii="Arial" w:cs="Arial" w:eastAsia="Arial" w:hAnsi="Arial"/>
                <w:sz w:val="11"/>
                <w:szCs w:val="11"/>
                <w:color w:val="auto"/>
                <w:w w:val="95"/>
              </w:rPr>
              <w:t>604,031</w:t>
            </w:r>
          </w:p>
        </w:tc>
        <w:tc>
          <w:tcPr>
            <w:tcW w:w="9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632,469</w:t>
            </w:r>
          </w:p>
        </w:tc>
        <w:tc>
          <w:tcPr>
            <w:tcW w:w="1200" w:type="dxa"/>
            <w:vAlign w:val="bottom"/>
            <w:gridSpan w:val="2"/>
          </w:tcPr>
          <w:p>
            <w:pPr>
              <w:jc w:val="center"/>
              <w:ind w:right="231"/>
              <w:spacing w:after="0" w:line="124" w:lineRule="exact"/>
              <w:rPr>
                <w:sz w:val="20"/>
                <w:szCs w:val="20"/>
                <w:color w:val="auto"/>
              </w:rPr>
            </w:pPr>
            <w:r>
              <w:rPr>
                <w:rFonts w:ascii="Arial" w:cs="Arial" w:eastAsia="Arial" w:hAnsi="Arial"/>
                <w:sz w:val="11"/>
                <w:szCs w:val="11"/>
                <w:color w:val="auto"/>
                <w:w w:val="95"/>
              </w:rPr>
              <w:t>4.7%</w:t>
            </w:r>
          </w:p>
        </w:tc>
        <w:tc>
          <w:tcPr>
            <w:tcW w:w="720" w:type="dxa"/>
            <w:vAlign w:val="bottom"/>
            <w:tcBorders>
              <w:right w:val="single" w:sz="8" w:color="auto"/>
            </w:tcBorders>
          </w:tcPr>
          <w:p>
            <w:pPr>
              <w:jc w:val="center"/>
              <w:ind w:right="249"/>
              <w:spacing w:after="0" w:line="124" w:lineRule="exact"/>
              <w:rPr>
                <w:sz w:val="20"/>
                <w:szCs w:val="20"/>
                <w:color w:val="auto"/>
              </w:rPr>
            </w:pPr>
            <w:r>
              <w:rPr>
                <w:rFonts w:ascii="Arial" w:cs="Arial" w:eastAsia="Arial" w:hAnsi="Arial"/>
                <w:sz w:val="11"/>
                <w:szCs w:val="11"/>
                <w:color w:val="auto"/>
                <w:w w:val="96"/>
              </w:rPr>
              <w:t>12.5%</w:t>
            </w:r>
          </w:p>
        </w:tc>
        <w:tc>
          <w:tcPr>
            <w:tcW w:w="760" w:type="dxa"/>
            <w:vAlign w:val="bottom"/>
            <w:gridSpan w:val="2"/>
          </w:tcPr>
          <w:p>
            <w:pPr>
              <w:jc w:val="center"/>
              <w:ind w:left="106"/>
              <w:spacing w:after="0" w:line="124" w:lineRule="exact"/>
              <w:rPr>
                <w:sz w:val="20"/>
                <w:szCs w:val="20"/>
                <w:color w:val="auto"/>
              </w:rPr>
            </w:pPr>
            <w:r>
              <w:rPr>
                <w:rFonts w:ascii="Arial" w:cs="Arial" w:eastAsia="Arial" w:hAnsi="Arial"/>
                <w:sz w:val="11"/>
                <w:szCs w:val="11"/>
                <w:color w:val="auto"/>
                <w:w w:val="97"/>
              </w:rPr>
              <w:t>1,665,550</w:t>
            </w:r>
          </w:p>
        </w:tc>
        <w:tc>
          <w:tcPr>
            <w:tcW w:w="1140" w:type="dxa"/>
            <w:vAlign w:val="bottom"/>
            <w:tcBorders>
              <w:right w:val="single" w:sz="8" w:color="auto"/>
            </w:tcBorders>
          </w:tcPr>
          <w:p>
            <w:pPr>
              <w:jc w:val="center"/>
              <w:ind w:left="128"/>
              <w:spacing w:after="0" w:line="124" w:lineRule="exact"/>
              <w:rPr>
                <w:sz w:val="20"/>
                <w:szCs w:val="20"/>
                <w:color w:val="auto"/>
              </w:rPr>
            </w:pPr>
            <w:r>
              <w:rPr>
                <w:rFonts w:ascii="Arial" w:cs="Arial" w:eastAsia="Arial" w:hAnsi="Arial"/>
                <w:sz w:val="11"/>
                <w:szCs w:val="11"/>
                <w:color w:val="auto"/>
                <w:w w:val="97"/>
              </w:rPr>
              <w:t>1,816,400</w:t>
            </w:r>
          </w:p>
        </w:tc>
        <w:tc>
          <w:tcPr>
            <w:tcW w:w="980" w:type="dxa"/>
            <w:vAlign w:val="bottom"/>
            <w:tcBorders>
              <w:right w:val="single" w:sz="8" w:color="auto"/>
            </w:tcBorders>
            <w:gridSpan w:val="2"/>
          </w:tcPr>
          <w:p>
            <w:pPr>
              <w:jc w:val="center"/>
              <w:spacing w:after="0" w:line="124" w:lineRule="exact"/>
              <w:rPr>
                <w:sz w:val="20"/>
                <w:szCs w:val="20"/>
                <w:color w:val="auto"/>
              </w:rPr>
            </w:pPr>
            <w:r>
              <w:rPr>
                <w:rFonts w:ascii="Arial" w:cs="Arial" w:eastAsia="Arial" w:hAnsi="Arial"/>
                <w:sz w:val="11"/>
                <w:szCs w:val="11"/>
                <w:color w:val="auto"/>
                <w:w w:val="95"/>
              </w:rPr>
              <w:t>9.1%</w:t>
            </w:r>
          </w:p>
        </w:tc>
      </w:tr>
      <w:tr>
        <w:trPr>
          <w:trHeight w:val="132"/>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Provision for loan losses, net of recoveries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(192,435)</w:t>
            </w:r>
          </w:p>
        </w:tc>
        <w:tc>
          <w:tcPr>
            <w:tcW w:w="900" w:type="dxa"/>
            <w:vAlign w:val="bottom"/>
          </w:tcPr>
          <w:p>
            <w:pPr>
              <w:jc w:val="center"/>
              <w:spacing w:after="0"/>
              <w:rPr>
                <w:sz w:val="20"/>
                <w:szCs w:val="20"/>
                <w:color w:val="auto"/>
              </w:rPr>
            </w:pPr>
            <w:r>
              <w:rPr>
                <w:rFonts w:ascii="Arial" w:cs="Arial" w:eastAsia="Arial" w:hAnsi="Arial"/>
                <w:sz w:val="11"/>
                <w:szCs w:val="11"/>
                <w:color w:val="auto"/>
                <w:w w:val="97"/>
              </w:rPr>
              <w:t>(169,741)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(167,975)</w:t>
            </w:r>
          </w:p>
        </w:tc>
        <w:tc>
          <w:tcPr>
            <w:tcW w:w="1200" w:type="dxa"/>
            <w:vAlign w:val="bottom"/>
            <w:gridSpan w:val="2"/>
          </w:tcPr>
          <w:p>
            <w:pPr>
              <w:jc w:val="center"/>
              <w:ind w:right="231"/>
              <w:spacing w:after="0"/>
              <w:rPr>
                <w:sz w:val="20"/>
                <w:szCs w:val="20"/>
                <w:color w:val="auto"/>
              </w:rPr>
            </w:pPr>
            <w:r>
              <w:rPr>
                <w:rFonts w:ascii="Arial" w:cs="Arial" w:eastAsia="Arial" w:hAnsi="Arial"/>
                <w:sz w:val="11"/>
                <w:szCs w:val="11"/>
                <w:color w:val="auto"/>
                <w:w w:val="97"/>
              </w:rPr>
              <w:t>-1.0%</w:t>
            </w:r>
          </w:p>
        </w:tc>
        <w:tc>
          <w:tcPr>
            <w:tcW w:w="720" w:type="dxa"/>
            <w:vAlign w:val="bottom"/>
            <w:tcBorders>
              <w:right w:val="single" w:sz="8" w:color="auto"/>
            </w:tcBorders>
          </w:tcPr>
          <w:p>
            <w:pPr>
              <w:jc w:val="center"/>
              <w:ind w:right="249"/>
              <w:spacing w:after="0"/>
              <w:rPr>
                <w:sz w:val="20"/>
                <w:szCs w:val="20"/>
                <w:color w:val="auto"/>
              </w:rPr>
            </w:pPr>
            <w:r>
              <w:rPr>
                <w:rFonts w:ascii="Arial" w:cs="Arial" w:eastAsia="Arial" w:hAnsi="Arial"/>
                <w:sz w:val="11"/>
                <w:szCs w:val="11"/>
                <w:color w:val="auto"/>
                <w:w w:val="97"/>
              </w:rPr>
              <w:t>-12.7%</w:t>
            </w:r>
          </w:p>
        </w:tc>
        <w:tc>
          <w:tcPr>
            <w:tcW w:w="760" w:type="dxa"/>
            <w:vAlign w:val="bottom"/>
            <w:gridSpan w:val="2"/>
          </w:tcPr>
          <w:p>
            <w:pPr>
              <w:jc w:val="center"/>
              <w:ind w:left="126"/>
              <w:spacing w:after="0"/>
              <w:rPr>
                <w:sz w:val="20"/>
                <w:szCs w:val="20"/>
                <w:color w:val="auto"/>
              </w:rPr>
            </w:pPr>
            <w:r>
              <w:rPr>
                <w:rFonts w:ascii="Arial" w:cs="Arial" w:eastAsia="Arial" w:hAnsi="Arial"/>
                <w:sz w:val="11"/>
                <w:szCs w:val="11"/>
                <w:color w:val="auto"/>
                <w:w w:val="97"/>
              </w:rPr>
              <w:t>(585,934)</w:t>
            </w:r>
          </w:p>
        </w:tc>
        <w:tc>
          <w:tcPr>
            <w:tcW w:w="1140" w:type="dxa"/>
            <w:vAlign w:val="bottom"/>
            <w:tcBorders>
              <w:right w:val="single" w:sz="8" w:color="auto"/>
            </w:tcBorders>
          </w:tcPr>
          <w:p>
            <w:pPr>
              <w:jc w:val="center"/>
              <w:ind w:left="108"/>
              <w:spacing w:after="0"/>
              <w:rPr>
                <w:sz w:val="20"/>
                <w:szCs w:val="20"/>
                <w:color w:val="auto"/>
              </w:rPr>
            </w:pPr>
            <w:r>
              <w:rPr>
                <w:rFonts w:ascii="Arial" w:cs="Arial" w:eastAsia="Arial" w:hAnsi="Arial"/>
                <w:sz w:val="11"/>
                <w:szCs w:val="11"/>
                <w:color w:val="auto"/>
                <w:w w:val="97"/>
              </w:rPr>
              <w:t>(495,928)</w:t>
            </w: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1"/>
                <w:szCs w:val="11"/>
                <w:color w:val="auto"/>
                <w:w w:val="97"/>
              </w:rPr>
              <w:t>-15.4%</w:t>
            </w:r>
          </w:p>
        </w:tc>
      </w:tr>
      <w:tr>
        <w:trPr>
          <w:trHeight w:val="132"/>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interest income after provisions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5"/>
              </w:rPr>
              <w:t>369,986</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5"/>
              </w:rPr>
              <w:t>434,290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464,494</w:t>
            </w:r>
          </w:p>
        </w:tc>
        <w:tc>
          <w:tcPr>
            <w:tcW w:w="1200" w:type="dxa"/>
            <w:vAlign w:val="bottom"/>
            <w:gridSpan w:val="2"/>
          </w:tcPr>
          <w:p>
            <w:pPr>
              <w:jc w:val="center"/>
              <w:ind w:right="231"/>
              <w:spacing w:after="0"/>
              <w:rPr>
                <w:sz w:val="20"/>
                <w:szCs w:val="20"/>
                <w:color w:val="auto"/>
              </w:rPr>
            </w:pPr>
            <w:r>
              <w:rPr>
                <w:rFonts w:ascii="Arial" w:cs="Arial" w:eastAsia="Arial" w:hAnsi="Arial"/>
                <w:sz w:val="11"/>
                <w:szCs w:val="11"/>
                <w:b w:val="1"/>
                <w:bCs w:val="1"/>
                <w:color w:val="auto"/>
                <w:w w:val="95"/>
              </w:rPr>
              <w:t>7.0%</w:t>
            </w:r>
          </w:p>
        </w:tc>
        <w:tc>
          <w:tcPr>
            <w:tcW w:w="720" w:type="dxa"/>
            <w:vAlign w:val="bottom"/>
            <w:tcBorders>
              <w:right w:val="single" w:sz="8" w:color="auto"/>
            </w:tcBorders>
          </w:tcPr>
          <w:p>
            <w:pPr>
              <w:jc w:val="center"/>
              <w:ind w:right="249"/>
              <w:spacing w:after="0"/>
              <w:rPr>
                <w:sz w:val="20"/>
                <w:szCs w:val="20"/>
                <w:color w:val="auto"/>
              </w:rPr>
            </w:pPr>
            <w:r>
              <w:rPr>
                <w:rFonts w:ascii="Arial" w:cs="Arial" w:eastAsia="Arial" w:hAnsi="Arial"/>
                <w:sz w:val="11"/>
                <w:szCs w:val="11"/>
                <w:b w:val="1"/>
                <w:bCs w:val="1"/>
                <w:color w:val="auto"/>
                <w:w w:val="96"/>
              </w:rPr>
              <w:t>25.5%</w:t>
            </w:r>
          </w:p>
        </w:tc>
        <w:tc>
          <w:tcPr>
            <w:tcW w:w="760" w:type="dxa"/>
            <w:vAlign w:val="bottom"/>
            <w:gridSpan w:val="2"/>
          </w:tcPr>
          <w:p>
            <w:pPr>
              <w:jc w:val="center"/>
              <w:ind w:left="106"/>
              <w:spacing w:after="0"/>
              <w:rPr>
                <w:sz w:val="20"/>
                <w:szCs w:val="20"/>
                <w:color w:val="auto"/>
              </w:rPr>
            </w:pPr>
            <w:r>
              <w:rPr>
                <w:rFonts w:ascii="Arial" w:cs="Arial" w:eastAsia="Arial" w:hAnsi="Arial"/>
                <w:sz w:val="11"/>
                <w:szCs w:val="11"/>
                <w:b w:val="1"/>
                <w:bCs w:val="1"/>
                <w:color w:val="auto"/>
                <w:w w:val="97"/>
              </w:rPr>
              <w:t>1,079,616</w:t>
            </w:r>
          </w:p>
        </w:tc>
        <w:tc>
          <w:tcPr>
            <w:tcW w:w="1140" w:type="dxa"/>
            <w:vAlign w:val="bottom"/>
            <w:tcBorders>
              <w:right w:val="single" w:sz="8" w:color="auto"/>
            </w:tcBorders>
          </w:tcPr>
          <w:p>
            <w:pPr>
              <w:jc w:val="center"/>
              <w:ind w:left="128"/>
              <w:spacing w:after="0"/>
              <w:rPr>
                <w:sz w:val="20"/>
                <w:szCs w:val="20"/>
                <w:color w:val="auto"/>
              </w:rPr>
            </w:pPr>
            <w:r>
              <w:rPr>
                <w:rFonts w:ascii="Arial" w:cs="Arial" w:eastAsia="Arial" w:hAnsi="Arial"/>
                <w:sz w:val="11"/>
                <w:szCs w:val="11"/>
                <w:b w:val="1"/>
                <w:bCs w:val="1"/>
                <w:color w:val="auto"/>
                <w:w w:val="97"/>
              </w:rPr>
              <w:t>1,320,472</w:t>
            </w: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22.3%</w:t>
            </w:r>
          </w:p>
        </w:tc>
      </w:tr>
      <w:tr>
        <w:trPr>
          <w:trHeight w:val="132"/>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Non-financial income</w:t>
            </w:r>
          </w:p>
        </w:tc>
        <w:tc>
          <w:tcPr>
            <w:tcW w:w="920" w:type="dxa"/>
            <w:vAlign w:val="bottom"/>
          </w:tcPr>
          <w:p>
            <w:pPr>
              <w:jc w:val="center"/>
              <w:spacing w:after="0"/>
              <w:rPr>
                <w:sz w:val="20"/>
                <w:szCs w:val="20"/>
                <w:color w:val="auto"/>
              </w:rPr>
            </w:pPr>
            <w:r>
              <w:rPr>
                <w:rFonts w:ascii="Arial" w:cs="Arial" w:eastAsia="Arial" w:hAnsi="Arial"/>
                <w:sz w:val="11"/>
                <w:szCs w:val="11"/>
                <w:color w:val="auto"/>
              </w:rPr>
              <w:t>30,861</w:t>
            </w:r>
          </w:p>
        </w:tc>
        <w:tc>
          <w:tcPr>
            <w:tcW w:w="900" w:type="dxa"/>
            <w:vAlign w:val="bottom"/>
          </w:tcPr>
          <w:p>
            <w:pPr>
              <w:jc w:val="center"/>
              <w:spacing w:after="0"/>
              <w:rPr>
                <w:sz w:val="20"/>
                <w:szCs w:val="20"/>
                <w:color w:val="auto"/>
              </w:rPr>
            </w:pPr>
            <w:r>
              <w:rPr>
                <w:rFonts w:ascii="Arial" w:cs="Arial" w:eastAsia="Arial" w:hAnsi="Arial"/>
                <w:sz w:val="11"/>
                <w:szCs w:val="11"/>
                <w:color w:val="auto"/>
              </w:rPr>
              <w:t>37,492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34,834</w:t>
            </w:r>
          </w:p>
        </w:tc>
        <w:tc>
          <w:tcPr>
            <w:tcW w:w="1200" w:type="dxa"/>
            <w:vAlign w:val="bottom"/>
            <w:gridSpan w:val="2"/>
          </w:tcPr>
          <w:p>
            <w:pPr>
              <w:jc w:val="center"/>
              <w:ind w:right="231"/>
              <w:spacing w:after="0"/>
              <w:rPr>
                <w:sz w:val="20"/>
                <w:szCs w:val="20"/>
                <w:color w:val="auto"/>
              </w:rPr>
            </w:pPr>
            <w:r>
              <w:rPr>
                <w:rFonts w:ascii="Arial" w:cs="Arial" w:eastAsia="Arial" w:hAnsi="Arial"/>
                <w:sz w:val="11"/>
                <w:szCs w:val="11"/>
                <w:color w:val="auto"/>
                <w:w w:val="97"/>
              </w:rPr>
              <w:t>-7.1%</w:t>
            </w:r>
          </w:p>
        </w:tc>
        <w:tc>
          <w:tcPr>
            <w:tcW w:w="720" w:type="dxa"/>
            <w:vAlign w:val="bottom"/>
            <w:tcBorders>
              <w:right w:val="single" w:sz="8" w:color="auto"/>
            </w:tcBorders>
          </w:tcPr>
          <w:p>
            <w:pPr>
              <w:jc w:val="center"/>
              <w:ind w:right="249"/>
              <w:spacing w:after="0"/>
              <w:rPr>
                <w:sz w:val="20"/>
                <w:szCs w:val="20"/>
                <w:color w:val="auto"/>
              </w:rPr>
            </w:pPr>
            <w:r>
              <w:rPr>
                <w:rFonts w:ascii="Arial" w:cs="Arial" w:eastAsia="Arial" w:hAnsi="Arial"/>
                <w:sz w:val="11"/>
                <w:szCs w:val="11"/>
                <w:color w:val="auto"/>
                <w:w w:val="96"/>
              </w:rPr>
              <w:t>12.9%</w:t>
            </w:r>
          </w:p>
        </w:tc>
        <w:tc>
          <w:tcPr>
            <w:tcW w:w="760" w:type="dxa"/>
            <w:vAlign w:val="bottom"/>
            <w:gridSpan w:val="2"/>
          </w:tcPr>
          <w:p>
            <w:pPr>
              <w:jc w:val="center"/>
              <w:ind w:left="106"/>
              <w:spacing w:after="0"/>
              <w:rPr>
                <w:sz w:val="20"/>
                <w:szCs w:val="20"/>
                <w:color w:val="auto"/>
              </w:rPr>
            </w:pPr>
            <w:r>
              <w:rPr>
                <w:rFonts w:ascii="Arial" w:cs="Arial" w:eastAsia="Arial" w:hAnsi="Arial"/>
                <w:sz w:val="11"/>
                <w:szCs w:val="11"/>
                <w:color w:val="auto"/>
                <w:w w:val="94"/>
              </w:rPr>
              <w:t>97,947</w:t>
            </w:r>
          </w:p>
        </w:tc>
        <w:tc>
          <w:tcPr>
            <w:tcW w:w="1140" w:type="dxa"/>
            <w:vAlign w:val="bottom"/>
            <w:tcBorders>
              <w:right w:val="single" w:sz="8" w:color="auto"/>
            </w:tcBorders>
          </w:tcPr>
          <w:p>
            <w:pPr>
              <w:jc w:val="center"/>
              <w:ind w:left="108"/>
              <w:spacing w:after="0"/>
              <w:rPr>
                <w:sz w:val="20"/>
                <w:szCs w:val="20"/>
                <w:color w:val="auto"/>
              </w:rPr>
            </w:pPr>
            <w:r>
              <w:rPr>
                <w:rFonts w:ascii="Arial" w:cs="Arial" w:eastAsia="Arial" w:hAnsi="Arial"/>
                <w:sz w:val="11"/>
                <w:szCs w:val="11"/>
                <w:color w:val="auto"/>
                <w:w w:val="95"/>
              </w:rPr>
              <w:t>105,141</w:t>
            </w: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1"/>
                <w:szCs w:val="11"/>
                <w:color w:val="auto"/>
                <w:w w:val="95"/>
              </w:rPr>
              <w:t>7.3%</w:t>
            </w:r>
          </w:p>
        </w:tc>
      </w:tr>
      <w:tr>
        <w:trPr>
          <w:trHeight w:val="132"/>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Total expenses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(320,796)</w:t>
            </w:r>
          </w:p>
        </w:tc>
        <w:tc>
          <w:tcPr>
            <w:tcW w:w="900" w:type="dxa"/>
            <w:vAlign w:val="bottom"/>
          </w:tcPr>
          <w:p>
            <w:pPr>
              <w:jc w:val="center"/>
              <w:spacing w:after="0"/>
              <w:rPr>
                <w:sz w:val="20"/>
                <w:szCs w:val="20"/>
                <w:color w:val="auto"/>
              </w:rPr>
            </w:pPr>
            <w:r>
              <w:rPr>
                <w:rFonts w:ascii="Arial" w:cs="Arial" w:eastAsia="Arial" w:hAnsi="Arial"/>
                <w:sz w:val="11"/>
                <w:szCs w:val="11"/>
                <w:color w:val="auto"/>
                <w:w w:val="97"/>
              </w:rPr>
              <w:t>(335,792)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(335,075)</w:t>
            </w:r>
          </w:p>
        </w:tc>
        <w:tc>
          <w:tcPr>
            <w:tcW w:w="1200" w:type="dxa"/>
            <w:vAlign w:val="bottom"/>
            <w:gridSpan w:val="2"/>
          </w:tcPr>
          <w:p>
            <w:pPr>
              <w:jc w:val="center"/>
              <w:ind w:right="231"/>
              <w:spacing w:after="0"/>
              <w:rPr>
                <w:sz w:val="20"/>
                <w:szCs w:val="20"/>
                <w:color w:val="auto"/>
              </w:rPr>
            </w:pPr>
            <w:r>
              <w:rPr>
                <w:rFonts w:ascii="Arial" w:cs="Arial" w:eastAsia="Arial" w:hAnsi="Arial"/>
                <w:sz w:val="11"/>
                <w:szCs w:val="11"/>
                <w:color w:val="auto"/>
                <w:w w:val="97"/>
              </w:rPr>
              <w:t>-0.2%</w:t>
            </w:r>
          </w:p>
        </w:tc>
        <w:tc>
          <w:tcPr>
            <w:tcW w:w="720" w:type="dxa"/>
            <w:vAlign w:val="bottom"/>
            <w:tcBorders>
              <w:right w:val="single" w:sz="8" w:color="auto"/>
            </w:tcBorders>
          </w:tcPr>
          <w:p>
            <w:pPr>
              <w:jc w:val="center"/>
              <w:ind w:right="229"/>
              <w:spacing w:after="0"/>
              <w:rPr>
                <w:sz w:val="20"/>
                <w:szCs w:val="20"/>
                <w:color w:val="auto"/>
              </w:rPr>
            </w:pPr>
            <w:r>
              <w:rPr>
                <w:rFonts w:ascii="Arial" w:cs="Arial" w:eastAsia="Arial" w:hAnsi="Arial"/>
                <w:sz w:val="11"/>
                <w:szCs w:val="11"/>
                <w:color w:val="auto"/>
                <w:w w:val="95"/>
              </w:rPr>
              <w:t>4.5%</w:t>
            </w:r>
          </w:p>
        </w:tc>
        <w:tc>
          <w:tcPr>
            <w:tcW w:w="760" w:type="dxa"/>
            <w:vAlign w:val="bottom"/>
            <w:gridSpan w:val="2"/>
          </w:tcPr>
          <w:p>
            <w:pPr>
              <w:jc w:val="center"/>
              <w:ind w:left="126"/>
              <w:spacing w:after="0"/>
              <w:rPr>
                <w:sz w:val="20"/>
                <w:szCs w:val="20"/>
                <w:color w:val="auto"/>
              </w:rPr>
            </w:pPr>
            <w:r>
              <w:rPr>
                <w:rFonts w:ascii="Arial" w:cs="Arial" w:eastAsia="Arial" w:hAnsi="Arial"/>
                <w:sz w:val="11"/>
                <w:szCs w:val="11"/>
                <w:color w:val="auto"/>
                <w:w w:val="97"/>
              </w:rPr>
              <w:t>(934,374)</w:t>
            </w:r>
          </w:p>
        </w:tc>
        <w:tc>
          <w:tcPr>
            <w:tcW w:w="1140" w:type="dxa"/>
            <w:vAlign w:val="bottom"/>
            <w:tcBorders>
              <w:right w:val="single" w:sz="8" w:color="auto"/>
            </w:tcBorders>
          </w:tcPr>
          <w:p>
            <w:pPr>
              <w:jc w:val="center"/>
              <w:ind w:left="108"/>
              <w:spacing w:after="0"/>
              <w:rPr>
                <w:sz w:val="20"/>
                <w:szCs w:val="20"/>
                <w:color w:val="auto"/>
              </w:rPr>
            </w:pPr>
            <w:r>
              <w:rPr>
                <w:rFonts w:ascii="Arial" w:cs="Arial" w:eastAsia="Arial" w:hAnsi="Arial"/>
                <w:sz w:val="11"/>
                <w:szCs w:val="11"/>
                <w:color w:val="auto"/>
                <w:w w:val="97"/>
              </w:rPr>
              <w:t>(998,811)</w:t>
            </w: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1"/>
                <w:szCs w:val="11"/>
                <w:color w:val="auto"/>
                <w:w w:val="95"/>
              </w:rPr>
              <w:t>6.9%</w:t>
            </w:r>
          </w:p>
        </w:tc>
      </w:tr>
      <w:tr>
        <w:trPr>
          <w:trHeight w:val="132"/>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Translation result</w:t>
            </w:r>
          </w:p>
        </w:tc>
        <w:tc>
          <w:tcPr>
            <w:tcW w:w="920" w:type="dxa"/>
            <w:vAlign w:val="bottom"/>
          </w:tcPr>
          <w:p>
            <w:pPr>
              <w:jc w:val="center"/>
              <w:spacing w:after="0"/>
              <w:rPr>
                <w:sz w:val="20"/>
                <w:szCs w:val="20"/>
                <w:color w:val="auto"/>
              </w:rPr>
            </w:pPr>
            <w:r>
              <w:rPr>
                <w:rFonts w:ascii="Arial" w:cs="Arial" w:eastAsia="Arial" w:hAnsi="Arial"/>
                <w:sz w:val="11"/>
                <w:szCs w:val="11"/>
                <w:color w:val="auto"/>
              </w:rPr>
              <w:t>(337)</w:t>
            </w: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(79)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54</w:t>
            </w:r>
          </w:p>
        </w:tc>
        <w:tc>
          <w:tcPr>
            <w:tcW w:w="1200" w:type="dxa"/>
            <w:vAlign w:val="bottom"/>
            <w:gridSpan w:val="2"/>
          </w:tcPr>
          <w:p>
            <w:pPr>
              <w:jc w:val="center"/>
              <w:ind w:right="231"/>
              <w:spacing w:after="0"/>
              <w:rPr>
                <w:sz w:val="20"/>
                <w:szCs w:val="20"/>
                <w:color w:val="auto"/>
              </w:rPr>
            </w:pPr>
            <w:r>
              <w:rPr>
                <w:rFonts w:ascii="Arial" w:cs="Arial" w:eastAsia="Arial" w:hAnsi="Arial"/>
                <w:sz w:val="11"/>
                <w:szCs w:val="11"/>
                <w:color w:val="auto"/>
                <w:w w:val="97"/>
              </w:rPr>
              <w:t>-168.4%</w:t>
            </w:r>
          </w:p>
        </w:tc>
        <w:tc>
          <w:tcPr>
            <w:tcW w:w="720" w:type="dxa"/>
            <w:vAlign w:val="bottom"/>
            <w:tcBorders>
              <w:right w:val="single" w:sz="8" w:color="auto"/>
            </w:tcBorders>
          </w:tcPr>
          <w:p>
            <w:pPr>
              <w:jc w:val="center"/>
              <w:ind w:right="229"/>
              <w:spacing w:after="0"/>
              <w:rPr>
                <w:sz w:val="20"/>
                <w:szCs w:val="20"/>
                <w:color w:val="auto"/>
              </w:rPr>
            </w:pPr>
            <w:r>
              <w:rPr>
                <w:rFonts w:ascii="Arial" w:cs="Arial" w:eastAsia="Arial" w:hAnsi="Arial"/>
                <w:sz w:val="11"/>
                <w:szCs w:val="11"/>
                <w:color w:val="auto"/>
                <w:w w:val="97"/>
              </w:rPr>
              <w:t>-116.0%</w:t>
            </w:r>
          </w:p>
        </w:tc>
        <w:tc>
          <w:tcPr>
            <w:tcW w:w="760" w:type="dxa"/>
            <w:vAlign w:val="bottom"/>
            <w:gridSpan w:val="2"/>
          </w:tcPr>
          <w:p>
            <w:pPr>
              <w:jc w:val="center"/>
              <w:ind w:left="126"/>
              <w:spacing w:after="0"/>
              <w:rPr>
                <w:sz w:val="20"/>
                <w:szCs w:val="20"/>
                <w:color w:val="auto"/>
              </w:rPr>
            </w:pPr>
            <w:r>
              <w:rPr>
                <w:rFonts w:ascii="Arial" w:cs="Arial" w:eastAsia="Arial" w:hAnsi="Arial"/>
                <w:sz w:val="11"/>
                <w:szCs w:val="11"/>
                <w:color w:val="auto"/>
                <w:w w:val="97"/>
              </w:rPr>
              <w:t>(1,394)</w:t>
            </w:r>
          </w:p>
        </w:tc>
        <w:tc>
          <w:tcPr>
            <w:tcW w:w="1140" w:type="dxa"/>
            <w:vAlign w:val="bottom"/>
            <w:tcBorders>
              <w:right w:val="single" w:sz="8" w:color="auto"/>
            </w:tcBorders>
          </w:tcPr>
          <w:p>
            <w:pPr>
              <w:jc w:val="center"/>
              <w:ind w:left="108"/>
              <w:spacing w:after="0"/>
              <w:rPr>
                <w:sz w:val="20"/>
                <w:szCs w:val="20"/>
                <w:color w:val="auto"/>
              </w:rPr>
            </w:pPr>
            <w:r>
              <w:rPr>
                <w:rFonts w:ascii="Arial" w:cs="Arial" w:eastAsia="Arial" w:hAnsi="Arial"/>
                <w:sz w:val="11"/>
                <w:szCs w:val="11"/>
                <w:color w:val="auto"/>
              </w:rPr>
              <w:t>(774)</w:t>
            </w: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1"/>
                <w:szCs w:val="11"/>
                <w:color w:val="auto"/>
                <w:w w:val="97"/>
              </w:rPr>
              <w:t>-44.5%</w:t>
            </w:r>
          </w:p>
        </w:tc>
      </w:tr>
      <w:tr>
        <w:trPr>
          <w:trHeight w:val="132"/>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Income taxes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(15,890)</w:t>
            </w:r>
          </w:p>
        </w:tc>
        <w:tc>
          <w:tcPr>
            <w:tcW w:w="900" w:type="dxa"/>
            <w:vAlign w:val="bottom"/>
          </w:tcPr>
          <w:p>
            <w:pPr>
              <w:jc w:val="center"/>
              <w:spacing w:after="0"/>
              <w:rPr>
                <w:sz w:val="20"/>
                <w:szCs w:val="20"/>
                <w:color w:val="auto"/>
              </w:rPr>
            </w:pPr>
            <w:r>
              <w:rPr>
                <w:rFonts w:ascii="Arial" w:cs="Arial" w:eastAsia="Arial" w:hAnsi="Arial"/>
                <w:sz w:val="11"/>
                <w:szCs w:val="11"/>
                <w:color w:val="auto"/>
                <w:w w:val="97"/>
              </w:rPr>
              <w:t>(33,369)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(42,430)</w:t>
            </w:r>
          </w:p>
        </w:tc>
        <w:tc>
          <w:tcPr>
            <w:tcW w:w="1200" w:type="dxa"/>
            <w:vAlign w:val="bottom"/>
            <w:gridSpan w:val="2"/>
          </w:tcPr>
          <w:p>
            <w:pPr>
              <w:jc w:val="center"/>
              <w:ind w:right="231"/>
              <w:spacing w:after="0"/>
              <w:rPr>
                <w:sz w:val="20"/>
                <w:szCs w:val="20"/>
                <w:color w:val="auto"/>
              </w:rPr>
            </w:pPr>
            <w:r>
              <w:rPr>
                <w:rFonts w:ascii="Arial" w:cs="Arial" w:eastAsia="Arial" w:hAnsi="Arial"/>
                <w:sz w:val="11"/>
                <w:szCs w:val="11"/>
                <w:color w:val="auto"/>
              </w:rPr>
              <w:t>27.2%</w:t>
            </w:r>
          </w:p>
        </w:tc>
        <w:tc>
          <w:tcPr>
            <w:tcW w:w="720" w:type="dxa"/>
            <w:vAlign w:val="bottom"/>
            <w:tcBorders>
              <w:right w:val="single" w:sz="8" w:color="auto"/>
            </w:tcBorders>
          </w:tcPr>
          <w:p>
            <w:pPr>
              <w:jc w:val="center"/>
              <w:ind w:right="229"/>
              <w:spacing w:after="0"/>
              <w:rPr>
                <w:sz w:val="20"/>
                <w:szCs w:val="20"/>
                <w:color w:val="auto"/>
              </w:rPr>
            </w:pPr>
            <w:r>
              <w:rPr>
                <w:rFonts w:ascii="Arial" w:cs="Arial" w:eastAsia="Arial" w:hAnsi="Arial"/>
                <w:sz w:val="11"/>
                <w:szCs w:val="11"/>
                <w:color w:val="auto"/>
                <w:w w:val="96"/>
              </w:rPr>
              <w:t>167.0%</w:t>
            </w:r>
          </w:p>
        </w:tc>
        <w:tc>
          <w:tcPr>
            <w:tcW w:w="760" w:type="dxa"/>
            <w:vAlign w:val="bottom"/>
            <w:gridSpan w:val="2"/>
          </w:tcPr>
          <w:p>
            <w:pPr>
              <w:jc w:val="center"/>
              <w:ind w:left="106"/>
              <w:spacing w:after="0"/>
              <w:rPr>
                <w:sz w:val="20"/>
                <w:szCs w:val="20"/>
                <w:color w:val="auto"/>
              </w:rPr>
            </w:pPr>
            <w:r>
              <w:rPr>
                <w:rFonts w:ascii="Arial" w:cs="Arial" w:eastAsia="Arial" w:hAnsi="Arial"/>
                <w:sz w:val="11"/>
                <w:szCs w:val="11"/>
                <w:color w:val="auto"/>
                <w:w w:val="97"/>
              </w:rPr>
              <w:t>(49,684)</w:t>
            </w:r>
          </w:p>
        </w:tc>
        <w:tc>
          <w:tcPr>
            <w:tcW w:w="1140" w:type="dxa"/>
            <w:vAlign w:val="bottom"/>
            <w:tcBorders>
              <w:right w:val="single" w:sz="8" w:color="auto"/>
            </w:tcBorders>
          </w:tcPr>
          <w:p>
            <w:pPr>
              <w:jc w:val="center"/>
              <w:ind w:left="108"/>
              <w:spacing w:after="0"/>
              <w:rPr>
                <w:sz w:val="20"/>
                <w:szCs w:val="20"/>
                <w:color w:val="auto"/>
              </w:rPr>
            </w:pPr>
            <w:r>
              <w:rPr>
                <w:rFonts w:ascii="Arial" w:cs="Arial" w:eastAsia="Arial" w:hAnsi="Arial"/>
                <w:sz w:val="11"/>
                <w:szCs w:val="11"/>
                <w:color w:val="auto"/>
                <w:w w:val="97"/>
              </w:rPr>
              <w:t>(107,222)</w:t>
            </w: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1"/>
                <w:szCs w:val="11"/>
                <w:color w:val="auto"/>
                <w:w w:val="96"/>
              </w:rPr>
              <w:t>115.8%</w:t>
            </w:r>
          </w:p>
        </w:tc>
      </w:tr>
      <w:tr>
        <w:trPr>
          <w:trHeight w:val="132"/>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income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63,824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102,542</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121,877</w:t>
            </w:r>
          </w:p>
        </w:tc>
        <w:tc>
          <w:tcPr>
            <w:tcW w:w="1200" w:type="dxa"/>
            <w:vAlign w:val="bottom"/>
            <w:tcBorders>
              <w:bottom w:val="single" w:sz="8" w:color="auto"/>
            </w:tcBorders>
            <w:gridSpan w:val="2"/>
          </w:tcPr>
          <w:p>
            <w:pPr>
              <w:jc w:val="center"/>
              <w:ind w:right="231"/>
              <w:spacing w:after="0"/>
              <w:rPr>
                <w:sz w:val="20"/>
                <w:szCs w:val="20"/>
                <w:color w:val="auto"/>
              </w:rPr>
            </w:pPr>
            <w:r>
              <w:rPr>
                <w:rFonts w:ascii="Arial" w:cs="Arial" w:eastAsia="Arial" w:hAnsi="Arial"/>
                <w:sz w:val="11"/>
                <w:szCs w:val="11"/>
                <w:b w:val="1"/>
                <w:bCs w:val="1"/>
                <w:color w:val="auto"/>
              </w:rPr>
              <w:t>18.9%</w:t>
            </w:r>
          </w:p>
        </w:tc>
        <w:tc>
          <w:tcPr>
            <w:tcW w:w="720" w:type="dxa"/>
            <w:vAlign w:val="bottom"/>
            <w:tcBorders>
              <w:bottom w:val="single" w:sz="8" w:color="auto"/>
              <w:right w:val="single" w:sz="8" w:color="auto"/>
            </w:tcBorders>
          </w:tcPr>
          <w:p>
            <w:pPr>
              <w:jc w:val="center"/>
              <w:ind w:right="249"/>
              <w:spacing w:after="0"/>
              <w:rPr>
                <w:sz w:val="20"/>
                <w:szCs w:val="20"/>
                <w:color w:val="auto"/>
              </w:rPr>
            </w:pPr>
            <w:r>
              <w:rPr>
                <w:rFonts w:ascii="Arial" w:cs="Arial" w:eastAsia="Arial" w:hAnsi="Arial"/>
                <w:sz w:val="11"/>
                <w:szCs w:val="11"/>
                <w:b w:val="1"/>
                <w:bCs w:val="1"/>
                <w:color w:val="auto"/>
                <w:w w:val="96"/>
              </w:rPr>
              <w:t>91.0%</w:t>
            </w:r>
          </w:p>
        </w:tc>
        <w:tc>
          <w:tcPr>
            <w:tcW w:w="760" w:type="dxa"/>
            <w:vAlign w:val="bottom"/>
            <w:tcBorders>
              <w:bottom w:val="single" w:sz="8" w:color="auto"/>
            </w:tcBorders>
            <w:gridSpan w:val="2"/>
          </w:tcPr>
          <w:p>
            <w:pPr>
              <w:jc w:val="center"/>
              <w:ind w:left="106"/>
              <w:spacing w:after="0"/>
              <w:rPr>
                <w:sz w:val="20"/>
                <w:szCs w:val="20"/>
                <w:color w:val="auto"/>
              </w:rPr>
            </w:pPr>
            <w:r>
              <w:rPr>
                <w:rFonts w:ascii="Arial" w:cs="Arial" w:eastAsia="Arial" w:hAnsi="Arial"/>
                <w:sz w:val="11"/>
                <w:szCs w:val="11"/>
                <w:b w:val="1"/>
                <w:bCs w:val="1"/>
                <w:color w:val="auto"/>
              </w:rPr>
              <w:t>192,111</w:t>
            </w:r>
          </w:p>
        </w:tc>
        <w:tc>
          <w:tcPr>
            <w:tcW w:w="114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1"/>
                <w:szCs w:val="11"/>
                <w:b w:val="1"/>
                <w:bCs w:val="1"/>
                <w:color w:val="auto"/>
                <w:w w:val="95"/>
              </w:rPr>
              <w:t>318,806</w:t>
            </w:r>
          </w:p>
        </w:tc>
        <w:tc>
          <w:tcPr>
            <w:tcW w:w="9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65.9%</w:t>
            </w:r>
          </w:p>
        </w:tc>
      </w:tr>
      <w:tr>
        <w:trPr>
          <w:trHeight w:val="374"/>
        </w:trPr>
        <w:tc>
          <w:tcPr>
            <w:tcW w:w="3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4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Selected Financial Indicators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8"/>
        </w:trPr>
        <w:tc>
          <w:tcPr>
            <w:tcW w:w="30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12"/>
        </w:trPr>
        <w:tc>
          <w:tcPr>
            <w:tcW w:w="3020" w:type="dxa"/>
            <w:vAlign w:val="bottom"/>
            <w:tcBorders>
              <w:left w:val="single" w:sz="8" w:color="auto"/>
              <w:right w:val="single" w:sz="8" w:color="auto"/>
            </w:tcBorders>
            <w:shd w:val="clear" w:color="auto" w:fill="33CCCC"/>
          </w:tcPr>
          <w:p>
            <w:pPr>
              <w:spacing w:after="0"/>
              <w:rPr>
                <w:sz w:val="9"/>
                <w:szCs w:val="9"/>
                <w:color w:val="auto"/>
              </w:rPr>
            </w:pPr>
          </w:p>
        </w:tc>
        <w:tc>
          <w:tcPr>
            <w:tcW w:w="920" w:type="dxa"/>
            <w:vAlign w:val="bottom"/>
            <w:shd w:val="clear" w:color="auto" w:fill="33CCCC"/>
          </w:tcPr>
          <w:p>
            <w:pPr>
              <w:spacing w:after="0"/>
              <w:rPr>
                <w:sz w:val="9"/>
                <w:szCs w:val="9"/>
                <w:color w:val="auto"/>
              </w:rPr>
            </w:pPr>
          </w:p>
        </w:tc>
        <w:tc>
          <w:tcPr>
            <w:tcW w:w="900" w:type="dxa"/>
            <w:vAlign w:val="bottom"/>
            <w:shd w:val="clear" w:color="auto" w:fill="33CCCC"/>
          </w:tcPr>
          <w:p>
            <w:pPr>
              <w:ind w:left="340"/>
              <w:spacing w:after="0" w:line="112" w:lineRule="exact"/>
              <w:rPr>
                <w:sz w:val="20"/>
                <w:szCs w:val="20"/>
                <w:color w:val="auto"/>
              </w:rPr>
            </w:pPr>
            <w:r>
              <w:rPr>
                <w:rFonts w:ascii="Arial" w:cs="Arial" w:eastAsia="Arial" w:hAnsi="Arial"/>
                <w:sz w:val="10"/>
                <w:szCs w:val="10"/>
                <w:b w:val="1"/>
                <w:bCs w:val="1"/>
                <w:color w:val="FFFFFF"/>
              </w:rPr>
              <w:t>Quarter</w:t>
            </w:r>
          </w:p>
        </w:tc>
        <w:tc>
          <w:tcPr>
            <w:tcW w:w="940" w:type="dxa"/>
            <w:vAlign w:val="bottom"/>
            <w:tcBorders>
              <w:right w:val="single" w:sz="8" w:color="33CCCC"/>
            </w:tcBorders>
            <w:shd w:val="clear" w:color="auto" w:fill="33CCCC"/>
          </w:tcPr>
          <w:p>
            <w:pPr>
              <w:spacing w:after="0"/>
              <w:rPr>
                <w:sz w:val="9"/>
                <w:szCs w:val="9"/>
                <w:color w:val="auto"/>
              </w:rPr>
            </w:pPr>
          </w:p>
        </w:tc>
        <w:tc>
          <w:tcPr>
            <w:tcW w:w="160" w:type="dxa"/>
            <w:vAlign w:val="bottom"/>
            <w:tcBorders>
              <w:right w:val="single" w:sz="8" w:color="auto"/>
            </w:tcBorders>
            <w:shd w:val="clear" w:color="auto" w:fill="33CCCC"/>
          </w:tcPr>
          <w:p>
            <w:pPr>
              <w:spacing w:after="0"/>
              <w:rPr>
                <w:sz w:val="9"/>
                <w:szCs w:val="9"/>
                <w:color w:val="auto"/>
              </w:rPr>
            </w:pPr>
          </w:p>
        </w:tc>
        <w:tc>
          <w:tcPr>
            <w:tcW w:w="1760" w:type="dxa"/>
            <w:vAlign w:val="bottom"/>
            <w:tcBorders>
              <w:right w:val="single" w:sz="8" w:color="33CCCC"/>
            </w:tcBorders>
            <w:gridSpan w:val="2"/>
            <w:shd w:val="clear" w:color="auto" w:fill="33CCCC"/>
          </w:tcPr>
          <w:p>
            <w:pPr>
              <w:ind w:left="760"/>
              <w:spacing w:after="0" w:line="112" w:lineRule="exact"/>
              <w:rPr>
                <w:sz w:val="20"/>
                <w:szCs w:val="20"/>
                <w:color w:val="auto"/>
              </w:rPr>
            </w:pPr>
            <w:r>
              <w:rPr>
                <w:rFonts w:ascii="Arial" w:cs="Arial" w:eastAsia="Arial" w:hAnsi="Arial"/>
                <w:sz w:val="10"/>
                <w:szCs w:val="10"/>
                <w:b w:val="1"/>
                <w:bCs w:val="1"/>
                <w:color w:val="FFFFFF"/>
              </w:rPr>
              <w:t>Change</w:t>
            </w:r>
          </w:p>
        </w:tc>
        <w:tc>
          <w:tcPr>
            <w:tcW w:w="120" w:type="dxa"/>
            <w:vAlign w:val="bottom"/>
            <w:tcBorders>
              <w:right w:val="single" w:sz="8" w:color="auto"/>
            </w:tcBorders>
            <w:shd w:val="clear" w:color="auto" w:fill="33CCCC"/>
          </w:tcPr>
          <w:p>
            <w:pPr>
              <w:spacing w:after="0"/>
              <w:rPr>
                <w:sz w:val="9"/>
                <w:szCs w:val="9"/>
                <w:color w:val="auto"/>
              </w:rPr>
            </w:pPr>
          </w:p>
        </w:tc>
        <w:tc>
          <w:tcPr>
            <w:tcW w:w="640" w:type="dxa"/>
            <w:vAlign w:val="bottom"/>
            <w:shd w:val="clear" w:color="auto" w:fill="33CCCC"/>
          </w:tcPr>
          <w:p>
            <w:pPr>
              <w:spacing w:after="0"/>
              <w:rPr>
                <w:sz w:val="9"/>
                <w:szCs w:val="9"/>
                <w:color w:val="auto"/>
              </w:rPr>
            </w:pPr>
          </w:p>
        </w:tc>
        <w:tc>
          <w:tcPr>
            <w:tcW w:w="1140" w:type="dxa"/>
            <w:vAlign w:val="bottom"/>
            <w:tcBorders>
              <w:right w:val="single" w:sz="8" w:color="33CCCC"/>
            </w:tcBorders>
            <w:shd w:val="clear" w:color="auto" w:fill="33CCCC"/>
          </w:tcPr>
          <w:p>
            <w:pPr>
              <w:ind w:left="180"/>
              <w:spacing w:after="0" w:line="112" w:lineRule="exact"/>
              <w:rPr>
                <w:sz w:val="20"/>
                <w:szCs w:val="20"/>
                <w:color w:val="auto"/>
              </w:rPr>
            </w:pPr>
            <w:r>
              <w:rPr>
                <w:rFonts w:ascii="Arial" w:cs="Arial" w:eastAsia="Arial" w:hAnsi="Arial"/>
                <w:sz w:val="10"/>
                <w:szCs w:val="10"/>
                <w:b w:val="1"/>
                <w:bCs w:val="1"/>
                <w:color w:val="FFFFFF"/>
              </w:rPr>
              <w:t>Up to</w:t>
            </w:r>
          </w:p>
        </w:tc>
        <w:tc>
          <w:tcPr>
            <w:tcW w:w="120" w:type="dxa"/>
            <w:vAlign w:val="bottom"/>
            <w:tcBorders>
              <w:right w:val="single" w:sz="8" w:color="auto"/>
            </w:tcBorders>
            <w:shd w:val="clear" w:color="auto" w:fill="33CCCC"/>
          </w:tcPr>
          <w:p>
            <w:pPr>
              <w:spacing w:after="0"/>
              <w:rPr>
                <w:sz w:val="9"/>
                <w:szCs w:val="9"/>
                <w:color w:val="auto"/>
              </w:rPr>
            </w:pPr>
          </w:p>
        </w:tc>
        <w:tc>
          <w:tcPr>
            <w:tcW w:w="860" w:type="dxa"/>
            <w:vAlign w:val="bottom"/>
            <w:tcBorders>
              <w:right w:val="single" w:sz="8" w:color="auto"/>
            </w:tcBorders>
            <w:shd w:val="clear" w:color="auto" w:fill="33CCCC"/>
          </w:tcPr>
          <w:p>
            <w:pPr>
              <w:jc w:val="center"/>
              <w:spacing w:after="0" w:line="112" w:lineRule="exact"/>
              <w:rPr>
                <w:sz w:val="20"/>
                <w:szCs w:val="20"/>
                <w:color w:val="auto"/>
              </w:rPr>
            </w:pPr>
            <w:r>
              <w:rPr>
                <w:rFonts w:ascii="Arial" w:cs="Arial" w:eastAsia="Arial" w:hAnsi="Arial"/>
                <w:sz w:val="10"/>
                <w:szCs w:val="10"/>
                <w:b w:val="1"/>
                <w:bCs w:val="1"/>
                <w:color w:val="FFFFFF"/>
                <w:w w:val="92"/>
              </w:rPr>
              <w:t>Change</w:t>
            </w:r>
          </w:p>
        </w:tc>
      </w:tr>
      <w:tr>
        <w:trPr>
          <w:trHeight w:val="120"/>
        </w:trPr>
        <w:tc>
          <w:tcPr>
            <w:tcW w:w="3020" w:type="dxa"/>
            <w:vAlign w:val="bottom"/>
            <w:tcBorders>
              <w:left w:val="single" w:sz="8" w:color="auto"/>
              <w:bottom w:val="single" w:sz="8" w:color="auto"/>
              <w:right w:val="single" w:sz="8" w:color="auto"/>
            </w:tcBorders>
            <w:shd w:val="clear" w:color="auto" w:fill="33CCCC"/>
          </w:tcPr>
          <w:p>
            <w:pPr>
              <w:spacing w:after="0"/>
              <w:rPr>
                <w:sz w:val="10"/>
                <w:szCs w:val="10"/>
                <w:color w:val="auto"/>
              </w:rPr>
            </w:pPr>
          </w:p>
        </w:tc>
        <w:tc>
          <w:tcPr>
            <w:tcW w:w="920" w:type="dxa"/>
            <w:vAlign w:val="bottom"/>
            <w:tcBorders>
              <w:bottom w:val="single" w:sz="8" w:color="auto"/>
            </w:tcBorders>
            <w:shd w:val="clear" w:color="auto" w:fill="33CCCC"/>
          </w:tcPr>
          <w:p>
            <w:pPr>
              <w:jc w:val="center"/>
              <w:ind w:right="9"/>
              <w:spacing w:after="0"/>
              <w:rPr>
                <w:sz w:val="20"/>
                <w:szCs w:val="20"/>
                <w:color w:val="auto"/>
              </w:rPr>
            </w:pPr>
            <w:r>
              <w:rPr>
                <w:rFonts w:ascii="Arial" w:cs="Arial" w:eastAsia="Arial" w:hAnsi="Arial"/>
                <w:sz w:val="10"/>
                <w:szCs w:val="10"/>
                <w:b w:val="1"/>
                <w:bCs w:val="1"/>
                <w:color w:val="FFFFFF"/>
                <w:w w:val="89"/>
              </w:rPr>
              <w:t>3Q24</w:t>
            </w:r>
          </w:p>
        </w:tc>
        <w:tc>
          <w:tcPr>
            <w:tcW w:w="900" w:type="dxa"/>
            <w:vAlign w:val="bottom"/>
            <w:tcBorders>
              <w:bottom w:val="single" w:sz="8" w:color="auto"/>
            </w:tcBorders>
            <w:shd w:val="clear" w:color="auto" w:fill="33CCCC"/>
          </w:tcPr>
          <w:p>
            <w:pPr>
              <w:jc w:val="center"/>
              <w:ind w:left="8"/>
              <w:spacing w:after="0"/>
              <w:rPr>
                <w:sz w:val="20"/>
                <w:szCs w:val="20"/>
                <w:color w:val="auto"/>
              </w:rPr>
            </w:pPr>
            <w:r>
              <w:rPr>
                <w:rFonts w:ascii="Arial" w:cs="Arial" w:eastAsia="Arial" w:hAnsi="Arial"/>
                <w:sz w:val="10"/>
                <w:szCs w:val="10"/>
                <w:b w:val="1"/>
                <w:bCs w:val="1"/>
                <w:color w:val="FFFFFF"/>
                <w:w w:val="97"/>
              </w:rPr>
              <w:t>2Q25</w:t>
            </w:r>
          </w:p>
        </w:tc>
        <w:tc>
          <w:tcPr>
            <w:tcW w:w="940" w:type="dxa"/>
            <w:vAlign w:val="bottom"/>
            <w:tcBorders>
              <w:bottom w:val="single" w:sz="8" w:color="auto"/>
              <w:right w:val="single" w:sz="8" w:color="33CCCC"/>
            </w:tcBorders>
            <w:shd w:val="clear" w:color="auto" w:fill="33CCCC"/>
          </w:tcPr>
          <w:p>
            <w:pPr>
              <w:jc w:val="center"/>
              <w:ind w:left="149"/>
              <w:spacing w:after="0"/>
              <w:rPr>
                <w:sz w:val="20"/>
                <w:szCs w:val="20"/>
                <w:color w:val="auto"/>
              </w:rPr>
            </w:pPr>
            <w:r>
              <w:rPr>
                <w:rFonts w:ascii="Arial" w:cs="Arial" w:eastAsia="Arial" w:hAnsi="Arial"/>
                <w:sz w:val="10"/>
                <w:szCs w:val="10"/>
                <w:b w:val="1"/>
                <w:bCs w:val="1"/>
                <w:color w:val="FFFFFF"/>
                <w:w w:val="89"/>
              </w:rPr>
              <w:t>3Q25</w:t>
            </w:r>
          </w:p>
        </w:tc>
        <w:tc>
          <w:tcPr>
            <w:tcW w:w="160" w:type="dxa"/>
            <w:vAlign w:val="bottom"/>
            <w:tcBorders>
              <w:bottom w:val="single" w:sz="8" w:color="auto"/>
              <w:right w:val="single" w:sz="8" w:color="auto"/>
            </w:tcBorders>
            <w:shd w:val="clear" w:color="auto" w:fill="33CCCC"/>
          </w:tcPr>
          <w:p>
            <w:pPr>
              <w:spacing w:after="0"/>
              <w:rPr>
                <w:sz w:val="10"/>
                <w:szCs w:val="10"/>
                <w:color w:val="auto"/>
              </w:rPr>
            </w:pPr>
          </w:p>
        </w:tc>
        <w:tc>
          <w:tcPr>
            <w:tcW w:w="1040" w:type="dxa"/>
            <w:vAlign w:val="bottom"/>
            <w:tcBorders>
              <w:bottom w:val="single" w:sz="8" w:color="auto"/>
            </w:tcBorders>
            <w:shd w:val="clear" w:color="auto" w:fill="33CCCC"/>
          </w:tcPr>
          <w:p>
            <w:pPr>
              <w:jc w:val="center"/>
              <w:ind w:right="91"/>
              <w:spacing w:after="0"/>
              <w:rPr>
                <w:sz w:val="20"/>
                <w:szCs w:val="20"/>
                <w:color w:val="auto"/>
              </w:rPr>
            </w:pPr>
            <w:r>
              <w:rPr>
                <w:rFonts w:ascii="Arial" w:cs="Arial" w:eastAsia="Arial" w:hAnsi="Arial"/>
                <w:sz w:val="10"/>
                <w:szCs w:val="10"/>
                <w:b w:val="1"/>
                <w:bCs w:val="1"/>
                <w:color w:val="FFFFFF"/>
              </w:rPr>
              <w:t>QoQ</w:t>
            </w:r>
          </w:p>
        </w:tc>
        <w:tc>
          <w:tcPr>
            <w:tcW w:w="720" w:type="dxa"/>
            <w:vAlign w:val="bottom"/>
            <w:tcBorders>
              <w:bottom w:val="single" w:sz="8" w:color="auto"/>
              <w:right w:val="single" w:sz="8" w:color="33CCCC"/>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2"/>
              </w:rPr>
              <w:t>YoY</w:t>
            </w:r>
          </w:p>
        </w:tc>
        <w:tc>
          <w:tcPr>
            <w:tcW w:w="120" w:type="dxa"/>
            <w:vAlign w:val="bottom"/>
            <w:tcBorders>
              <w:bottom w:val="single" w:sz="8" w:color="auto"/>
              <w:right w:val="single" w:sz="8" w:color="auto"/>
            </w:tcBorders>
            <w:shd w:val="clear" w:color="auto" w:fill="33CCCC"/>
          </w:tcPr>
          <w:p>
            <w:pPr>
              <w:spacing w:after="0"/>
              <w:rPr>
                <w:sz w:val="10"/>
                <w:szCs w:val="10"/>
                <w:color w:val="auto"/>
              </w:rPr>
            </w:pPr>
          </w:p>
        </w:tc>
        <w:tc>
          <w:tcPr>
            <w:tcW w:w="640" w:type="dxa"/>
            <w:vAlign w:val="bottom"/>
            <w:tcBorders>
              <w:bottom w:val="single" w:sz="8" w:color="auto"/>
            </w:tcBorders>
            <w:shd w:val="clear" w:color="auto" w:fill="33CCCC"/>
          </w:tcPr>
          <w:p>
            <w:pPr>
              <w:jc w:val="center"/>
              <w:ind w:left="251"/>
              <w:spacing w:after="0"/>
              <w:rPr>
                <w:sz w:val="20"/>
                <w:szCs w:val="20"/>
                <w:color w:val="auto"/>
              </w:rPr>
            </w:pPr>
            <w:r>
              <w:rPr>
                <w:rFonts w:ascii="Arial" w:cs="Arial" w:eastAsia="Arial" w:hAnsi="Arial"/>
                <w:sz w:val="10"/>
                <w:szCs w:val="10"/>
                <w:b w:val="1"/>
                <w:bCs w:val="1"/>
                <w:color w:val="FFFFFF"/>
                <w:w w:val="92"/>
              </w:rPr>
              <w:t>Sep 24</w:t>
            </w:r>
          </w:p>
        </w:tc>
        <w:tc>
          <w:tcPr>
            <w:tcW w:w="1140" w:type="dxa"/>
            <w:vAlign w:val="bottom"/>
            <w:tcBorders>
              <w:bottom w:val="single" w:sz="8" w:color="auto"/>
              <w:right w:val="single" w:sz="8" w:color="33CCCC"/>
            </w:tcBorders>
            <w:shd w:val="clear" w:color="auto" w:fill="33CCCC"/>
          </w:tcPr>
          <w:p>
            <w:pPr>
              <w:jc w:val="center"/>
              <w:ind w:left="328"/>
              <w:spacing w:after="0"/>
              <w:rPr>
                <w:sz w:val="20"/>
                <w:szCs w:val="20"/>
                <w:color w:val="auto"/>
              </w:rPr>
            </w:pPr>
            <w:r>
              <w:rPr>
                <w:rFonts w:ascii="Arial" w:cs="Arial" w:eastAsia="Arial" w:hAnsi="Arial"/>
                <w:sz w:val="10"/>
                <w:szCs w:val="10"/>
                <w:b w:val="1"/>
                <w:bCs w:val="1"/>
                <w:color w:val="FFFFFF"/>
                <w:w w:val="99"/>
              </w:rPr>
              <w:t>Sep 25</w:t>
            </w:r>
          </w:p>
        </w:tc>
        <w:tc>
          <w:tcPr>
            <w:tcW w:w="120" w:type="dxa"/>
            <w:vAlign w:val="bottom"/>
            <w:tcBorders>
              <w:bottom w:val="single" w:sz="8" w:color="auto"/>
              <w:right w:val="single" w:sz="8" w:color="auto"/>
            </w:tcBorders>
            <w:shd w:val="clear" w:color="auto" w:fill="33CCCC"/>
          </w:tcPr>
          <w:p>
            <w:pPr>
              <w:spacing w:after="0"/>
              <w:rPr>
                <w:sz w:val="10"/>
                <w:szCs w:val="10"/>
                <w:color w:val="auto"/>
              </w:rPr>
            </w:pPr>
          </w:p>
        </w:tc>
        <w:tc>
          <w:tcPr>
            <w:tcW w:w="8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6"/>
              </w:rPr>
              <w:t>Sep 25 / Sep 24</w:t>
            </w:r>
          </w:p>
        </w:tc>
      </w:tr>
      <w:tr>
        <w:trPr>
          <w:trHeight w:val="113"/>
        </w:trPr>
        <w:tc>
          <w:tcPr>
            <w:tcW w:w="3020" w:type="dxa"/>
            <w:vAlign w:val="bottom"/>
            <w:tcBorders>
              <w:left w:val="single" w:sz="8" w:color="auto"/>
              <w:right w:val="single" w:sz="8" w:color="auto"/>
            </w:tcBorders>
          </w:tcPr>
          <w:p>
            <w:pPr>
              <w:ind w:left="20"/>
              <w:spacing w:after="0" w:line="114" w:lineRule="exact"/>
              <w:rPr>
                <w:sz w:val="20"/>
                <w:szCs w:val="20"/>
                <w:color w:val="auto"/>
              </w:rPr>
            </w:pPr>
            <w:r>
              <w:rPr>
                <w:rFonts w:ascii="Arial" w:cs="Arial" w:eastAsia="Arial" w:hAnsi="Arial"/>
                <w:sz w:val="10"/>
                <w:szCs w:val="10"/>
                <w:color w:val="auto"/>
              </w:rPr>
              <w:t>Efficiency ratio</w:t>
            </w:r>
          </w:p>
        </w:tc>
        <w:tc>
          <w:tcPr>
            <w:tcW w:w="920" w:type="dxa"/>
            <w:vAlign w:val="bottom"/>
          </w:tcPr>
          <w:p>
            <w:pPr>
              <w:jc w:val="center"/>
              <w:ind w:right="9"/>
              <w:spacing w:after="0" w:line="114" w:lineRule="exact"/>
              <w:rPr>
                <w:sz w:val="20"/>
                <w:szCs w:val="20"/>
                <w:color w:val="auto"/>
              </w:rPr>
            </w:pPr>
            <w:r>
              <w:rPr>
                <w:rFonts w:ascii="Arial" w:cs="Arial" w:eastAsia="Arial" w:hAnsi="Arial"/>
                <w:sz w:val="10"/>
                <w:szCs w:val="10"/>
                <w:color w:val="auto"/>
                <w:w w:val="91"/>
              </w:rPr>
              <w:t>54.2%</w:t>
            </w:r>
          </w:p>
        </w:tc>
        <w:tc>
          <w:tcPr>
            <w:tcW w:w="900" w:type="dxa"/>
            <w:vAlign w:val="bottom"/>
          </w:tcPr>
          <w:p>
            <w:pPr>
              <w:jc w:val="center"/>
              <w:ind w:left="8"/>
              <w:spacing w:after="0" w:line="114" w:lineRule="exact"/>
              <w:rPr>
                <w:sz w:val="20"/>
                <w:szCs w:val="20"/>
                <w:color w:val="auto"/>
              </w:rPr>
            </w:pPr>
            <w:r>
              <w:rPr>
                <w:rFonts w:ascii="Arial" w:cs="Arial" w:eastAsia="Arial" w:hAnsi="Arial"/>
                <w:sz w:val="10"/>
                <w:szCs w:val="10"/>
                <w:color w:val="auto"/>
                <w:w w:val="98"/>
              </w:rPr>
              <w:t>52.0%</w:t>
            </w:r>
          </w:p>
        </w:tc>
        <w:tc>
          <w:tcPr>
            <w:tcW w:w="940" w:type="dxa"/>
            <w:vAlign w:val="bottom"/>
          </w:tcPr>
          <w:p>
            <w:pPr>
              <w:jc w:val="center"/>
              <w:ind w:left="149"/>
              <w:spacing w:after="0" w:line="114" w:lineRule="exact"/>
              <w:rPr>
                <w:sz w:val="20"/>
                <w:szCs w:val="20"/>
                <w:color w:val="auto"/>
              </w:rPr>
            </w:pPr>
            <w:r>
              <w:rPr>
                <w:rFonts w:ascii="Arial" w:cs="Arial" w:eastAsia="Arial" w:hAnsi="Arial"/>
                <w:sz w:val="10"/>
                <w:szCs w:val="10"/>
                <w:color w:val="auto"/>
                <w:w w:val="91"/>
              </w:rPr>
              <w:t>49.4%</w:t>
            </w:r>
          </w:p>
        </w:tc>
        <w:tc>
          <w:tcPr>
            <w:tcW w:w="160" w:type="dxa"/>
            <w:vAlign w:val="bottom"/>
            <w:tcBorders>
              <w:right w:val="single" w:sz="8" w:color="auto"/>
            </w:tcBorders>
          </w:tcPr>
          <w:p>
            <w:pPr>
              <w:spacing w:after="0"/>
              <w:rPr>
                <w:sz w:val="9"/>
                <w:szCs w:val="9"/>
                <w:color w:val="auto"/>
              </w:rPr>
            </w:pPr>
          </w:p>
        </w:tc>
        <w:tc>
          <w:tcPr>
            <w:tcW w:w="1040" w:type="dxa"/>
            <w:vAlign w:val="bottom"/>
          </w:tcPr>
          <w:p>
            <w:pPr>
              <w:jc w:val="center"/>
              <w:ind w:right="91"/>
              <w:spacing w:after="0" w:line="114" w:lineRule="exact"/>
              <w:rPr>
                <w:sz w:val="20"/>
                <w:szCs w:val="20"/>
                <w:color w:val="auto"/>
              </w:rPr>
            </w:pPr>
            <w:r>
              <w:rPr>
                <w:rFonts w:ascii="Arial" w:cs="Arial" w:eastAsia="Arial" w:hAnsi="Arial"/>
                <w:sz w:val="10"/>
                <w:szCs w:val="10"/>
                <w:color w:val="auto"/>
                <w:w w:val="97"/>
              </w:rPr>
              <w:t>-255 bps</w:t>
            </w:r>
          </w:p>
        </w:tc>
        <w:tc>
          <w:tcPr>
            <w:tcW w:w="720" w:type="dxa"/>
            <w:vAlign w:val="bottom"/>
          </w:tcPr>
          <w:p>
            <w:pPr>
              <w:jc w:val="center"/>
              <w:spacing w:after="0" w:line="114" w:lineRule="exact"/>
              <w:rPr>
                <w:sz w:val="20"/>
                <w:szCs w:val="20"/>
                <w:color w:val="auto"/>
              </w:rPr>
            </w:pPr>
            <w:r>
              <w:rPr>
                <w:rFonts w:ascii="Arial" w:cs="Arial" w:eastAsia="Arial" w:hAnsi="Arial"/>
                <w:sz w:val="10"/>
                <w:szCs w:val="10"/>
                <w:color w:val="auto"/>
                <w:w w:val="97"/>
              </w:rPr>
              <w:t>-476 bps</w:t>
            </w:r>
          </w:p>
        </w:tc>
        <w:tc>
          <w:tcPr>
            <w:tcW w:w="120" w:type="dxa"/>
            <w:vAlign w:val="bottom"/>
            <w:tcBorders>
              <w:right w:val="single" w:sz="8" w:color="auto"/>
            </w:tcBorders>
          </w:tcPr>
          <w:p>
            <w:pPr>
              <w:spacing w:after="0"/>
              <w:rPr>
                <w:sz w:val="9"/>
                <w:szCs w:val="9"/>
                <w:color w:val="auto"/>
              </w:rPr>
            </w:pPr>
          </w:p>
        </w:tc>
        <w:tc>
          <w:tcPr>
            <w:tcW w:w="640" w:type="dxa"/>
            <w:vAlign w:val="bottom"/>
          </w:tcPr>
          <w:p>
            <w:pPr>
              <w:jc w:val="center"/>
              <w:ind w:left="251"/>
              <w:spacing w:after="0" w:line="114" w:lineRule="exact"/>
              <w:rPr>
                <w:sz w:val="20"/>
                <w:szCs w:val="20"/>
                <w:color w:val="auto"/>
              </w:rPr>
            </w:pPr>
            <w:r>
              <w:rPr>
                <w:rFonts w:ascii="Arial" w:cs="Arial" w:eastAsia="Arial" w:hAnsi="Arial"/>
                <w:sz w:val="10"/>
                <w:szCs w:val="10"/>
                <w:color w:val="auto"/>
                <w:w w:val="91"/>
              </w:rPr>
              <w:t>52.8%</w:t>
            </w:r>
          </w:p>
        </w:tc>
        <w:tc>
          <w:tcPr>
            <w:tcW w:w="1140" w:type="dxa"/>
            <w:vAlign w:val="bottom"/>
          </w:tcPr>
          <w:p>
            <w:pPr>
              <w:jc w:val="center"/>
              <w:ind w:left="328"/>
              <w:spacing w:after="0" w:line="114" w:lineRule="exact"/>
              <w:rPr>
                <w:sz w:val="20"/>
                <w:szCs w:val="20"/>
                <w:color w:val="auto"/>
              </w:rPr>
            </w:pPr>
            <w:r>
              <w:rPr>
                <w:rFonts w:ascii="Arial" w:cs="Arial" w:eastAsia="Arial" w:hAnsi="Arial"/>
                <w:sz w:val="10"/>
                <w:szCs w:val="10"/>
                <w:color w:val="auto"/>
                <w:w w:val="98"/>
              </w:rPr>
              <w:t>51.4%</w:t>
            </w:r>
          </w:p>
        </w:tc>
        <w:tc>
          <w:tcPr>
            <w:tcW w:w="12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0"/>
                <w:szCs w:val="10"/>
                <w:color w:val="auto"/>
                <w:w w:val="97"/>
              </w:rPr>
              <w:t>-144 bps</w:t>
            </w:r>
          </w:p>
        </w:tc>
      </w:tr>
      <w:tr>
        <w:trPr>
          <w:trHeight w:val="120"/>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ROAE</w:t>
            </w:r>
          </w:p>
        </w:tc>
        <w:tc>
          <w:tcPr>
            <w:tcW w:w="920" w:type="dxa"/>
            <w:vAlign w:val="bottom"/>
          </w:tcPr>
          <w:p>
            <w:pPr>
              <w:jc w:val="center"/>
              <w:ind w:right="9"/>
              <w:spacing w:after="0"/>
              <w:rPr>
                <w:sz w:val="20"/>
                <w:szCs w:val="20"/>
                <w:color w:val="auto"/>
              </w:rPr>
            </w:pPr>
            <w:r>
              <w:rPr>
                <w:rFonts w:ascii="Arial" w:cs="Arial" w:eastAsia="Arial" w:hAnsi="Arial"/>
                <w:sz w:val="10"/>
                <w:szCs w:val="10"/>
                <w:color w:val="auto"/>
                <w:w w:val="96"/>
              </w:rPr>
              <w:t>9.4%</w:t>
            </w:r>
          </w:p>
        </w:tc>
        <w:tc>
          <w:tcPr>
            <w:tcW w:w="900" w:type="dxa"/>
            <w:vAlign w:val="bottom"/>
          </w:tcPr>
          <w:p>
            <w:pPr>
              <w:jc w:val="center"/>
              <w:ind w:left="8"/>
              <w:spacing w:after="0"/>
              <w:rPr>
                <w:sz w:val="20"/>
                <w:szCs w:val="20"/>
                <w:color w:val="auto"/>
              </w:rPr>
            </w:pPr>
            <w:r>
              <w:rPr>
                <w:rFonts w:ascii="Arial" w:cs="Arial" w:eastAsia="Arial" w:hAnsi="Arial"/>
                <w:sz w:val="10"/>
                <w:szCs w:val="10"/>
                <w:color w:val="auto"/>
                <w:w w:val="98"/>
              </w:rPr>
              <w:t>16.3%</w:t>
            </w:r>
          </w:p>
        </w:tc>
        <w:tc>
          <w:tcPr>
            <w:tcW w:w="940" w:type="dxa"/>
            <w:vAlign w:val="bottom"/>
          </w:tcPr>
          <w:p>
            <w:pPr>
              <w:jc w:val="center"/>
              <w:ind w:left="149"/>
              <w:spacing w:after="0"/>
              <w:rPr>
                <w:sz w:val="20"/>
                <w:szCs w:val="20"/>
                <w:color w:val="auto"/>
              </w:rPr>
            </w:pPr>
            <w:r>
              <w:rPr>
                <w:rFonts w:ascii="Arial" w:cs="Arial" w:eastAsia="Arial" w:hAnsi="Arial"/>
                <w:sz w:val="10"/>
                <w:szCs w:val="10"/>
                <w:color w:val="auto"/>
                <w:w w:val="91"/>
              </w:rPr>
              <w:t>18.8%</w:t>
            </w:r>
          </w:p>
        </w:tc>
        <w:tc>
          <w:tcPr>
            <w:tcW w:w="160" w:type="dxa"/>
            <w:vAlign w:val="bottom"/>
            <w:tcBorders>
              <w:right w:val="single" w:sz="8" w:color="auto"/>
            </w:tcBorders>
          </w:tcPr>
          <w:p>
            <w:pPr>
              <w:spacing w:after="0"/>
              <w:rPr>
                <w:sz w:val="10"/>
                <w:szCs w:val="10"/>
                <w:color w:val="auto"/>
              </w:rPr>
            </w:pPr>
          </w:p>
        </w:tc>
        <w:tc>
          <w:tcPr>
            <w:tcW w:w="1040" w:type="dxa"/>
            <w:vAlign w:val="bottom"/>
          </w:tcPr>
          <w:p>
            <w:pPr>
              <w:jc w:val="center"/>
              <w:ind w:right="91"/>
              <w:spacing w:after="0"/>
              <w:rPr>
                <w:sz w:val="20"/>
                <w:szCs w:val="20"/>
                <w:color w:val="auto"/>
              </w:rPr>
            </w:pPr>
            <w:r>
              <w:rPr>
                <w:rFonts w:ascii="Arial" w:cs="Arial" w:eastAsia="Arial" w:hAnsi="Arial"/>
                <w:sz w:val="10"/>
                <w:szCs w:val="10"/>
                <w:color w:val="auto"/>
                <w:w w:val="95"/>
              </w:rPr>
              <w:t>242 bps</w:t>
            </w:r>
          </w:p>
        </w:tc>
        <w:tc>
          <w:tcPr>
            <w:tcW w:w="720" w:type="dxa"/>
            <w:vAlign w:val="bottom"/>
          </w:tcPr>
          <w:p>
            <w:pPr>
              <w:jc w:val="center"/>
              <w:spacing w:after="0"/>
              <w:rPr>
                <w:sz w:val="20"/>
                <w:szCs w:val="20"/>
                <w:color w:val="auto"/>
              </w:rPr>
            </w:pPr>
            <w:r>
              <w:rPr>
                <w:rFonts w:ascii="Arial" w:cs="Arial" w:eastAsia="Arial" w:hAnsi="Arial"/>
                <w:sz w:val="10"/>
                <w:szCs w:val="10"/>
                <w:color w:val="auto"/>
                <w:w w:val="95"/>
              </w:rPr>
              <w:t>934 bps</w:t>
            </w:r>
          </w:p>
        </w:tc>
        <w:tc>
          <w:tcPr>
            <w:tcW w:w="120" w:type="dxa"/>
            <w:vAlign w:val="bottom"/>
            <w:tcBorders>
              <w:right w:val="single" w:sz="8" w:color="auto"/>
            </w:tcBorders>
          </w:tcPr>
          <w:p>
            <w:pPr>
              <w:spacing w:after="0"/>
              <w:rPr>
                <w:sz w:val="10"/>
                <w:szCs w:val="10"/>
                <w:color w:val="auto"/>
              </w:rPr>
            </w:pPr>
          </w:p>
        </w:tc>
        <w:tc>
          <w:tcPr>
            <w:tcW w:w="640" w:type="dxa"/>
            <w:vAlign w:val="bottom"/>
          </w:tcPr>
          <w:p>
            <w:pPr>
              <w:jc w:val="center"/>
              <w:ind w:left="251"/>
              <w:spacing w:after="0"/>
              <w:rPr>
                <w:sz w:val="20"/>
                <w:szCs w:val="20"/>
                <w:color w:val="auto"/>
              </w:rPr>
            </w:pPr>
            <w:r>
              <w:rPr>
                <w:rFonts w:ascii="Arial" w:cs="Arial" w:eastAsia="Arial" w:hAnsi="Arial"/>
                <w:sz w:val="10"/>
                <w:szCs w:val="10"/>
                <w:color w:val="auto"/>
                <w:w w:val="96"/>
              </w:rPr>
              <w:t>8.9%</w:t>
            </w:r>
          </w:p>
        </w:tc>
        <w:tc>
          <w:tcPr>
            <w:tcW w:w="1140" w:type="dxa"/>
            <w:vAlign w:val="bottom"/>
          </w:tcPr>
          <w:p>
            <w:pPr>
              <w:jc w:val="center"/>
              <w:ind w:left="328"/>
              <w:spacing w:after="0"/>
              <w:rPr>
                <w:sz w:val="20"/>
                <w:szCs w:val="20"/>
                <w:color w:val="auto"/>
              </w:rPr>
            </w:pPr>
            <w:r>
              <w:rPr>
                <w:rFonts w:ascii="Arial" w:cs="Arial" w:eastAsia="Arial" w:hAnsi="Arial"/>
                <w:sz w:val="10"/>
                <w:szCs w:val="10"/>
                <w:color w:val="auto"/>
                <w:w w:val="98"/>
              </w:rPr>
              <w:t>16.0%</w:t>
            </w:r>
          </w:p>
        </w:tc>
        <w:tc>
          <w:tcPr>
            <w:tcW w:w="1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703 bps</w:t>
            </w:r>
          </w:p>
        </w:tc>
      </w:tr>
      <w:tr>
        <w:trPr>
          <w:trHeight w:val="131"/>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ROAE incl. GoodWill</w:t>
            </w:r>
          </w:p>
        </w:tc>
        <w:tc>
          <w:tcPr>
            <w:tcW w:w="920" w:type="dxa"/>
            <w:vAlign w:val="bottom"/>
          </w:tcPr>
          <w:p>
            <w:pPr>
              <w:jc w:val="center"/>
              <w:ind w:right="9"/>
              <w:spacing w:after="0"/>
              <w:rPr>
                <w:sz w:val="20"/>
                <w:szCs w:val="20"/>
                <w:color w:val="auto"/>
              </w:rPr>
            </w:pPr>
            <w:r>
              <w:rPr>
                <w:rFonts w:ascii="Arial" w:cs="Arial" w:eastAsia="Arial" w:hAnsi="Arial"/>
                <w:sz w:val="10"/>
                <w:szCs w:val="10"/>
                <w:color w:val="auto"/>
                <w:w w:val="96"/>
              </w:rPr>
              <w:t>9.0%</w:t>
            </w:r>
          </w:p>
        </w:tc>
        <w:tc>
          <w:tcPr>
            <w:tcW w:w="900" w:type="dxa"/>
            <w:vAlign w:val="bottom"/>
          </w:tcPr>
          <w:p>
            <w:pPr>
              <w:jc w:val="center"/>
              <w:ind w:left="8"/>
              <w:spacing w:after="0"/>
              <w:rPr>
                <w:sz w:val="20"/>
                <w:szCs w:val="20"/>
                <w:color w:val="auto"/>
              </w:rPr>
            </w:pPr>
            <w:r>
              <w:rPr>
                <w:rFonts w:ascii="Arial" w:cs="Arial" w:eastAsia="Arial" w:hAnsi="Arial"/>
                <w:sz w:val="10"/>
                <w:szCs w:val="10"/>
                <w:color w:val="auto"/>
                <w:w w:val="98"/>
              </w:rPr>
              <w:t>15.5%</w:t>
            </w:r>
          </w:p>
        </w:tc>
        <w:tc>
          <w:tcPr>
            <w:tcW w:w="940" w:type="dxa"/>
            <w:vAlign w:val="bottom"/>
          </w:tcPr>
          <w:p>
            <w:pPr>
              <w:jc w:val="center"/>
              <w:ind w:left="149"/>
              <w:spacing w:after="0"/>
              <w:rPr>
                <w:sz w:val="20"/>
                <w:szCs w:val="20"/>
                <w:color w:val="auto"/>
              </w:rPr>
            </w:pPr>
            <w:r>
              <w:rPr>
                <w:rFonts w:ascii="Arial" w:cs="Arial" w:eastAsia="Arial" w:hAnsi="Arial"/>
                <w:sz w:val="10"/>
                <w:szCs w:val="10"/>
                <w:color w:val="auto"/>
                <w:w w:val="91"/>
              </w:rPr>
              <w:t>17.8%</w:t>
            </w:r>
          </w:p>
        </w:tc>
        <w:tc>
          <w:tcPr>
            <w:tcW w:w="160" w:type="dxa"/>
            <w:vAlign w:val="bottom"/>
            <w:tcBorders>
              <w:right w:val="single" w:sz="8" w:color="auto"/>
            </w:tcBorders>
          </w:tcPr>
          <w:p>
            <w:pPr>
              <w:spacing w:after="0"/>
              <w:rPr>
                <w:sz w:val="11"/>
                <w:szCs w:val="11"/>
                <w:color w:val="auto"/>
              </w:rPr>
            </w:pPr>
          </w:p>
        </w:tc>
        <w:tc>
          <w:tcPr>
            <w:tcW w:w="1040" w:type="dxa"/>
            <w:vAlign w:val="bottom"/>
          </w:tcPr>
          <w:p>
            <w:pPr>
              <w:jc w:val="center"/>
              <w:ind w:right="91"/>
              <w:spacing w:after="0"/>
              <w:rPr>
                <w:sz w:val="20"/>
                <w:szCs w:val="20"/>
                <w:color w:val="auto"/>
              </w:rPr>
            </w:pPr>
            <w:r>
              <w:rPr>
                <w:rFonts w:ascii="Arial" w:cs="Arial" w:eastAsia="Arial" w:hAnsi="Arial"/>
                <w:sz w:val="10"/>
                <w:szCs w:val="10"/>
                <w:color w:val="auto"/>
                <w:w w:val="95"/>
              </w:rPr>
              <w:t>232 bps</w:t>
            </w:r>
          </w:p>
        </w:tc>
        <w:tc>
          <w:tcPr>
            <w:tcW w:w="720" w:type="dxa"/>
            <w:vAlign w:val="bottom"/>
          </w:tcPr>
          <w:p>
            <w:pPr>
              <w:jc w:val="center"/>
              <w:spacing w:after="0"/>
              <w:rPr>
                <w:sz w:val="20"/>
                <w:szCs w:val="20"/>
                <w:color w:val="auto"/>
              </w:rPr>
            </w:pPr>
            <w:r>
              <w:rPr>
                <w:rFonts w:ascii="Arial" w:cs="Arial" w:eastAsia="Arial" w:hAnsi="Arial"/>
                <w:sz w:val="10"/>
                <w:szCs w:val="10"/>
                <w:color w:val="auto"/>
                <w:w w:val="95"/>
              </w:rPr>
              <w:t>884 bps</w:t>
            </w:r>
          </w:p>
        </w:tc>
        <w:tc>
          <w:tcPr>
            <w:tcW w:w="120" w:type="dxa"/>
            <w:vAlign w:val="bottom"/>
            <w:tcBorders>
              <w:right w:val="single" w:sz="8" w:color="auto"/>
            </w:tcBorders>
          </w:tcPr>
          <w:p>
            <w:pPr>
              <w:spacing w:after="0"/>
              <w:rPr>
                <w:sz w:val="11"/>
                <w:szCs w:val="11"/>
                <w:color w:val="auto"/>
              </w:rPr>
            </w:pPr>
          </w:p>
        </w:tc>
        <w:tc>
          <w:tcPr>
            <w:tcW w:w="640" w:type="dxa"/>
            <w:vAlign w:val="bottom"/>
            <w:tcBorders>
              <w:bottom w:val="single" w:sz="8" w:color="auto"/>
            </w:tcBorders>
          </w:tcPr>
          <w:p>
            <w:pPr>
              <w:jc w:val="center"/>
              <w:ind w:left="251"/>
              <w:spacing w:after="0"/>
              <w:rPr>
                <w:sz w:val="20"/>
                <w:szCs w:val="20"/>
                <w:color w:val="auto"/>
              </w:rPr>
            </w:pPr>
            <w:r>
              <w:rPr>
                <w:rFonts w:ascii="Arial" w:cs="Arial" w:eastAsia="Arial" w:hAnsi="Arial"/>
                <w:sz w:val="10"/>
                <w:szCs w:val="10"/>
                <w:color w:val="auto"/>
                <w:w w:val="96"/>
              </w:rPr>
              <w:t>8.5%</w:t>
            </w: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0"/>
                <w:szCs w:val="10"/>
                <w:color w:val="auto"/>
                <w:w w:val="98"/>
              </w:rPr>
              <w:t>15.1%</w:t>
            </w:r>
          </w:p>
        </w:tc>
        <w:tc>
          <w:tcPr>
            <w:tcW w:w="12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664 bps</w:t>
            </w:r>
          </w:p>
        </w:tc>
      </w:tr>
      <w:tr>
        <w:trPr>
          <w:trHeight w:val="113"/>
        </w:trPr>
        <w:tc>
          <w:tcPr>
            <w:tcW w:w="3020" w:type="dxa"/>
            <w:vAlign w:val="bottom"/>
            <w:tcBorders>
              <w:left w:val="single" w:sz="8" w:color="auto"/>
              <w:right w:val="single" w:sz="8" w:color="auto"/>
            </w:tcBorders>
          </w:tcPr>
          <w:p>
            <w:pPr>
              <w:ind w:left="20"/>
              <w:spacing w:after="0" w:line="106" w:lineRule="exact"/>
              <w:rPr>
                <w:sz w:val="20"/>
                <w:szCs w:val="20"/>
                <w:color w:val="auto"/>
              </w:rPr>
            </w:pPr>
            <w:r>
              <w:rPr>
                <w:rFonts w:ascii="Arial" w:cs="Arial" w:eastAsia="Arial" w:hAnsi="Arial"/>
                <w:sz w:val="10"/>
                <w:szCs w:val="10"/>
                <w:color w:val="auto"/>
              </w:rPr>
              <w:t>L/D ratio</w:t>
            </w:r>
          </w:p>
        </w:tc>
        <w:tc>
          <w:tcPr>
            <w:tcW w:w="920" w:type="dxa"/>
            <w:vAlign w:val="bottom"/>
          </w:tcPr>
          <w:p>
            <w:pPr>
              <w:jc w:val="center"/>
              <w:ind w:right="9"/>
              <w:spacing w:after="0" w:line="114" w:lineRule="exact"/>
              <w:rPr>
                <w:sz w:val="20"/>
                <w:szCs w:val="20"/>
                <w:color w:val="auto"/>
              </w:rPr>
            </w:pPr>
            <w:r>
              <w:rPr>
                <w:rFonts w:ascii="Arial" w:cs="Arial" w:eastAsia="Arial" w:hAnsi="Arial"/>
                <w:sz w:val="10"/>
                <w:szCs w:val="10"/>
                <w:color w:val="auto"/>
              </w:rPr>
              <w:t>112.2%</w:t>
            </w:r>
          </w:p>
        </w:tc>
        <w:tc>
          <w:tcPr>
            <w:tcW w:w="900" w:type="dxa"/>
            <w:vAlign w:val="bottom"/>
          </w:tcPr>
          <w:p>
            <w:pPr>
              <w:jc w:val="center"/>
              <w:ind w:left="8"/>
              <w:spacing w:after="0" w:line="114" w:lineRule="exact"/>
              <w:rPr>
                <w:sz w:val="20"/>
                <w:szCs w:val="20"/>
                <w:color w:val="auto"/>
              </w:rPr>
            </w:pPr>
            <w:r>
              <w:rPr>
                <w:rFonts w:ascii="Arial" w:cs="Arial" w:eastAsia="Arial" w:hAnsi="Arial"/>
                <w:sz w:val="10"/>
                <w:szCs w:val="10"/>
                <w:color w:val="auto"/>
                <w:w w:val="94"/>
              </w:rPr>
              <w:t>118.0%</w:t>
            </w:r>
          </w:p>
        </w:tc>
        <w:tc>
          <w:tcPr>
            <w:tcW w:w="940" w:type="dxa"/>
            <w:vAlign w:val="bottom"/>
          </w:tcPr>
          <w:p>
            <w:pPr>
              <w:jc w:val="center"/>
              <w:ind w:left="169"/>
              <w:spacing w:after="0" w:line="114" w:lineRule="exact"/>
              <w:rPr>
                <w:sz w:val="20"/>
                <w:szCs w:val="20"/>
                <w:color w:val="auto"/>
              </w:rPr>
            </w:pPr>
            <w:r>
              <w:rPr>
                <w:rFonts w:ascii="Arial" w:cs="Arial" w:eastAsia="Arial" w:hAnsi="Arial"/>
                <w:sz w:val="10"/>
                <w:szCs w:val="10"/>
                <w:color w:val="auto"/>
                <w:w w:val="94"/>
              </w:rPr>
              <w:t>120.2%</w:t>
            </w:r>
          </w:p>
        </w:tc>
        <w:tc>
          <w:tcPr>
            <w:tcW w:w="160" w:type="dxa"/>
            <w:vAlign w:val="bottom"/>
            <w:tcBorders>
              <w:right w:val="single" w:sz="8" w:color="auto"/>
            </w:tcBorders>
          </w:tcPr>
          <w:p>
            <w:pPr>
              <w:spacing w:after="0"/>
              <w:rPr>
                <w:sz w:val="9"/>
                <w:szCs w:val="9"/>
                <w:color w:val="auto"/>
              </w:rPr>
            </w:pPr>
          </w:p>
        </w:tc>
        <w:tc>
          <w:tcPr>
            <w:tcW w:w="1040" w:type="dxa"/>
            <w:vAlign w:val="bottom"/>
          </w:tcPr>
          <w:p>
            <w:pPr>
              <w:jc w:val="center"/>
              <w:ind w:right="91"/>
              <w:spacing w:after="0" w:line="106" w:lineRule="exact"/>
              <w:rPr>
                <w:sz w:val="20"/>
                <w:szCs w:val="20"/>
                <w:color w:val="auto"/>
              </w:rPr>
            </w:pPr>
            <w:r>
              <w:rPr>
                <w:rFonts w:ascii="Arial" w:cs="Arial" w:eastAsia="Arial" w:hAnsi="Arial"/>
                <w:sz w:val="10"/>
                <w:szCs w:val="10"/>
                <w:color w:val="auto"/>
                <w:w w:val="95"/>
              </w:rPr>
              <w:t>219 bps</w:t>
            </w:r>
          </w:p>
        </w:tc>
        <w:tc>
          <w:tcPr>
            <w:tcW w:w="720" w:type="dxa"/>
            <w:vAlign w:val="bottom"/>
          </w:tcPr>
          <w:p>
            <w:pPr>
              <w:jc w:val="center"/>
              <w:spacing w:after="0" w:line="106" w:lineRule="exact"/>
              <w:rPr>
                <w:sz w:val="20"/>
                <w:szCs w:val="20"/>
                <w:color w:val="auto"/>
              </w:rPr>
            </w:pPr>
            <w:r>
              <w:rPr>
                <w:rFonts w:ascii="Arial" w:cs="Arial" w:eastAsia="Arial" w:hAnsi="Arial"/>
                <w:sz w:val="10"/>
                <w:szCs w:val="10"/>
                <w:color w:val="auto"/>
                <w:w w:val="95"/>
              </w:rPr>
              <w:t>796 bps</w:t>
            </w:r>
          </w:p>
        </w:tc>
        <w:tc>
          <w:tcPr>
            <w:tcW w:w="12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20"/>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IOL ratio</w:t>
            </w:r>
          </w:p>
        </w:tc>
        <w:tc>
          <w:tcPr>
            <w:tcW w:w="920" w:type="dxa"/>
            <w:vAlign w:val="bottom"/>
          </w:tcPr>
          <w:p>
            <w:pPr>
              <w:jc w:val="center"/>
              <w:ind w:right="9"/>
              <w:spacing w:after="0"/>
              <w:rPr>
                <w:sz w:val="20"/>
                <w:szCs w:val="20"/>
                <w:color w:val="auto"/>
              </w:rPr>
            </w:pPr>
            <w:r>
              <w:rPr>
                <w:rFonts w:ascii="Arial" w:cs="Arial" w:eastAsia="Arial" w:hAnsi="Arial"/>
                <w:sz w:val="10"/>
                <w:szCs w:val="10"/>
                <w:color w:val="auto"/>
                <w:w w:val="96"/>
              </w:rPr>
              <w:t>7.0%</w:t>
            </w:r>
          </w:p>
        </w:tc>
        <w:tc>
          <w:tcPr>
            <w:tcW w:w="900" w:type="dxa"/>
            <w:vAlign w:val="bottom"/>
          </w:tcPr>
          <w:p>
            <w:pPr>
              <w:jc w:val="center"/>
              <w:spacing w:after="0"/>
              <w:rPr>
                <w:sz w:val="20"/>
                <w:szCs w:val="20"/>
                <w:color w:val="auto"/>
              </w:rPr>
            </w:pPr>
            <w:r>
              <w:rPr>
                <w:rFonts w:ascii="Arial" w:cs="Arial" w:eastAsia="Arial" w:hAnsi="Arial"/>
                <w:sz w:val="10"/>
                <w:szCs w:val="10"/>
                <w:color w:val="auto"/>
                <w:w w:val="96"/>
              </w:rPr>
              <w:t>5.2%</w:t>
            </w:r>
          </w:p>
        </w:tc>
        <w:tc>
          <w:tcPr>
            <w:tcW w:w="940" w:type="dxa"/>
            <w:vAlign w:val="bottom"/>
          </w:tcPr>
          <w:p>
            <w:pPr>
              <w:jc w:val="center"/>
              <w:ind w:left="149"/>
              <w:spacing w:after="0"/>
              <w:rPr>
                <w:sz w:val="20"/>
                <w:szCs w:val="20"/>
                <w:color w:val="auto"/>
              </w:rPr>
            </w:pPr>
            <w:r>
              <w:rPr>
                <w:rFonts w:ascii="Arial" w:cs="Arial" w:eastAsia="Arial" w:hAnsi="Arial"/>
                <w:sz w:val="10"/>
                <w:szCs w:val="10"/>
                <w:color w:val="auto"/>
                <w:w w:val="96"/>
              </w:rPr>
              <w:t>4.7%</w:t>
            </w:r>
          </w:p>
        </w:tc>
        <w:tc>
          <w:tcPr>
            <w:tcW w:w="160" w:type="dxa"/>
            <w:vAlign w:val="bottom"/>
            <w:tcBorders>
              <w:right w:val="single" w:sz="8" w:color="auto"/>
            </w:tcBorders>
          </w:tcPr>
          <w:p>
            <w:pPr>
              <w:spacing w:after="0"/>
              <w:rPr>
                <w:sz w:val="10"/>
                <w:szCs w:val="10"/>
                <w:color w:val="auto"/>
              </w:rPr>
            </w:pPr>
          </w:p>
        </w:tc>
        <w:tc>
          <w:tcPr>
            <w:tcW w:w="1040" w:type="dxa"/>
            <w:vAlign w:val="bottom"/>
          </w:tcPr>
          <w:p>
            <w:pPr>
              <w:jc w:val="center"/>
              <w:ind w:right="111"/>
              <w:spacing w:after="0"/>
              <w:rPr>
                <w:sz w:val="20"/>
                <w:szCs w:val="20"/>
                <w:color w:val="auto"/>
              </w:rPr>
            </w:pPr>
            <w:r>
              <w:rPr>
                <w:rFonts w:ascii="Arial" w:cs="Arial" w:eastAsia="Arial" w:hAnsi="Arial"/>
                <w:sz w:val="10"/>
                <w:szCs w:val="10"/>
                <w:color w:val="auto"/>
                <w:w w:val="95"/>
              </w:rPr>
              <w:t>-46 bps</w:t>
            </w:r>
          </w:p>
        </w:tc>
        <w:tc>
          <w:tcPr>
            <w:tcW w:w="720" w:type="dxa"/>
            <w:vAlign w:val="bottom"/>
          </w:tcPr>
          <w:p>
            <w:pPr>
              <w:jc w:val="center"/>
              <w:spacing w:after="0"/>
              <w:rPr>
                <w:sz w:val="20"/>
                <w:szCs w:val="20"/>
                <w:color w:val="auto"/>
              </w:rPr>
            </w:pPr>
            <w:r>
              <w:rPr>
                <w:rFonts w:ascii="Arial" w:cs="Arial" w:eastAsia="Arial" w:hAnsi="Arial"/>
                <w:sz w:val="10"/>
                <w:szCs w:val="10"/>
                <w:color w:val="auto"/>
                <w:w w:val="97"/>
              </w:rPr>
              <w:t>-229 bps</w:t>
            </w:r>
          </w:p>
        </w:tc>
        <w:tc>
          <w:tcPr>
            <w:tcW w:w="12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0"/>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NPL ratio</w:t>
            </w:r>
          </w:p>
        </w:tc>
        <w:tc>
          <w:tcPr>
            <w:tcW w:w="920" w:type="dxa"/>
            <w:vAlign w:val="bottom"/>
          </w:tcPr>
          <w:p>
            <w:pPr>
              <w:jc w:val="center"/>
              <w:ind w:right="9"/>
              <w:spacing w:after="0"/>
              <w:rPr>
                <w:sz w:val="20"/>
                <w:szCs w:val="20"/>
                <w:color w:val="auto"/>
              </w:rPr>
            </w:pPr>
            <w:r>
              <w:rPr>
                <w:rFonts w:ascii="Arial" w:cs="Arial" w:eastAsia="Arial" w:hAnsi="Arial"/>
                <w:sz w:val="10"/>
                <w:szCs w:val="10"/>
                <w:color w:val="auto"/>
                <w:w w:val="96"/>
              </w:rPr>
              <w:t>7.8%</w:t>
            </w:r>
          </w:p>
        </w:tc>
        <w:tc>
          <w:tcPr>
            <w:tcW w:w="900" w:type="dxa"/>
            <w:vAlign w:val="bottom"/>
          </w:tcPr>
          <w:p>
            <w:pPr>
              <w:jc w:val="center"/>
              <w:spacing w:after="0"/>
              <w:rPr>
                <w:sz w:val="20"/>
                <w:szCs w:val="20"/>
                <w:color w:val="auto"/>
              </w:rPr>
            </w:pPr>
            <w:r>
              <w:rPr>
                <w:rFonts w:ascii="Arial" w:cs="Arial" w:eastAsia="Arial" w:hAnsi="Arial"/>
                <w:sz w:val="10"/>
                <w:szCs w:val="10"/>
                <w:color w:val="auto"/>
                <w:w w:val="96"/>
              </w:rPr>
              <w:t>6.1%</w:t>
            </w:r>
          </w:p>
        </w:tc>
        <w:tc>
          <w:tcPr>
            <w:tcW w:w="940" w:type="dxa"/>
            <w:vAlign w:val="bottom"/>
          </w:tcPr>
          <w:p>
            <w:pPr>
              <w:jc w:val="center"/>
              <w:ind w:left="149"/>
              <w:spacing w:after="0"/>
              <w:rPr>
                <w:sz w:val="20"/>
                <w:szCs w:val="20"/>
                <w:color w:val="auto"/>
              </w:rPr>
            </w:pPr>
            <w:r>
              <w:rPr>
                <w:rFonts w:ascii="Arial" w:cs="Arial" w:eastAsia="Arial" w:hAnsi="Arial"/>
                <w:sz w:val="10"/>
                <w:szCs w:val="10"/>
                <w:color w:val="auto"/>
                <w:w w:val="96"/>
              </w:rPr>
              <w:t>5.7%</w:t>
            </w:r>
          </w:p>
        </w:tc>
        <w:tc>
          <w:tcPr>
            <w:tcW w:w="160" w:type="dxa"/>
            <w:vAlign w:val="bottom"/>
            <w:tcBorders>
              <w:right w:val="single" w:sz="8" w:color="auto"/>
            </w:tcBorders>
          </w:tcPr>
          <w:p>
            <w:pPr>
              <w:spacing w:after="0"/>
              <w:rPr>
                <w:sz w:val="10"/>
                <w:szCs w:val="10"/>
                <w:color w:val="auto"/>
              </w:rPr>
            </w:pPr>
          </w:p>
        </w:tc>
        <w:tc>
          <w:tcPr>
            <w:tcW w:w="1040" w:type="dxa"/>
            <w:vAlign w:val="bottom"/>
          </w:tcPr>
          <w:p>
            <w:pPr>
              <w:jc w:val="center"/>
              <w:ind w:right="111"/>
              <w:spacing w:after="0"/>
              <w:rPr>
                <w:sz w:val="20"/>
                <w:szCs w:val="20"/>
                <w:color w:val="auto"/>
              </w:rPr>
            </w:pPr>
            <w:r>
              <w:rPr>
                <w:rFonts w:ascii="Arial" w:cs="Arial" w:eastAsia="Arial" w:hAnsi="Arial"/>
                <w:sz w:val="10"/>
                <w:szCs w:val="10"/>
                <w:color w:val="auto"/>
                <w:w w:val="95"/>
              </w:rPr>
              <w:t>-41 bps</w:t>
            </w:r>
          </w:p>
        </w:tc>
        <w:tc>
          <w:tcPr>
            <w:tcW w:w="720" w:type="dxa"/>
            <w:vAlign w:val="bottom"/>
          </w:tcPr>
          <w:p>
            <w:pPr>
              <w:jc w:val="center"/>
              <w:spacing w:after="0"/>
              <w:rPr>
                <w:sz w:val="20"/>
                <w:szCs w:val="20"/>
                <w:color w:val="auto"/>
              </w:rPr>
            </w:pPr>
            <w:r>
              <w:rPr>
                <w:rFonts w:ascii="Arial" w:cs="Arial" w:eastAsia="Arial" w:hAnsi="Arial"/>
                <w:sz w:val="10"/>
                <w:szCs w:val="10"/>
                <w:color w:val="auto"/>
                <w:w w:val="97"/>
              </w:rPr>
              <w:t>-215 bps</w:t>
            </w:r>
          </w:p>
        </w:tc>
        <w:tc>
          <w:tcPr>
            <w:tcW w:w="12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0"/>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Coverage of IOLs</w:t>
            </w:r>
          </w:p>
        </w:tc>
        <w:tc>
          <w:tcPr>
            <w:tcW w:w="920" w:type="dxa"/>
            <w:vAlign w:val="bottom"/>
          </w:tcPr>
          <w:p>
            <w:pPr>
              <w:jc w:val="center"/>
              <w:ind w:right="9"/>
              <w:spacing w:after="0"/>
              <w:rPr>
                <w:sz w:val="20"/>
                <w:szCs w:val="20"/>
                <w:color w:val="auto"/>
              </w:rPr>
            </w:pPr>
            <w:r>
              <w:rPr>
                <w:rFonts w:ascii="Arial" w:cs="Arial" w:eastAsia="Arial" w:hAnsi="Arial"/>
                <w:sz w:val="10"/>
                <w:szCs w:val="10"/>
                <w:color w:val="auto"/>
              </w:rPr>
              <w:t>111.1%</w:t>
            </w:r>
          </w:p>
        </w:tc>
        <w:tc>
          <w:tcPr>
            <w:tcW w:w="900" w:type="dxa"/>
            <w:vAlign w:val="bottom"/>
          </w:tcPr>
          <w:p>
            <w:pPr>
              <w:jc w:val="center"/>
              <w:ind w:left="8"/>
              <w:spacing w:after="0"/>
              <w:rPr>
                <w:sz w:val="20"/>
                <w:szCs w:val="20"/>
                <w:color w:val="auto"/>
              </w:rPr>
            </w:pPr>
            <w:r>
              <w:rPr>
                <w:rFonts w:ascii="Arial" w:cs="Arial" w:eastAsia="Arial" w:hAnsi="Arial"/>
                <w:sz w:val="10"/>
                <w:szCs w:val="10"/>
                <w:color w:val="auto"/>
                <w:w w:val="94"/>
              </w:rPr>
              <w:t>134.7%</w:t>
            </w:r>
          </w:p>
        </w:tc>
        <w:tc>
          <w:tcPr>
            <w:tcW w:w="940" w:type="dxa"/>
            <w:vAlign w:val="bottom"/>
          </w:tcPr>
          <w:p>
            <w:pPr>
              <w:jc w:val="center"/>
              <w:ind w:left="169"/>
              <w:spacing w:after="0"/>
              <w:rPr>
                <w:sz w:val="20"/>
                <w:szCs w:val="20"/>
                <w:color w:val="auto"/>
              </w:rPr>
            </w:pPr>
            <w:r>
              <w:rPr>
                <w:rFonts w:ascii="Arial" w:cs="Arial" w:eastAsia="Arial" w:hAnsi="Arial"/>
                <w:sz w:val="10"/>
                <w:szCs w:val="10"/>
                <w:color w:val="auto"/>
                <w:w w:val="94"/>
              </w:rPr>
              <w:t>146.8%</w:t>
            </w:r>
          </w:p>
        </w:tc>
        <w:tc>
          <w:tcPr>
            <w:tcW w:w="160" w:type="dxa"/>
            <w:vAlign w:val="bottom"/>
            <w:tcBorders>
              <w:right w:val="single" w:sz="8" w:color="auto"/>
            </w:tcBorders>
          </w:tcPr>
          <w:p>
            <w:pPr>
              <w:spacing w:after="0"/>
              <w:rPr>
                <w:sz w:val="10"/>
                <w:szCs w:val="10"/>
                <w:color w:val="auto"/>
              </w:rPr>
            </w:pPr>
          </w:p>
        </w:tc>
        <w:tc>
          <w:tcPr>
            <w:tcW w:w="1040" w:type="dxa"/>
            <w:vAlign w:val="bottom"/>
          </w:tcPr>
          <w:p>
            <w:pPr>
              <w:jc w:val="center"/>
              <w:ind w:right="91"/>
              <w:spacing w:after="0"/>
              <w:rPr>
                <w:sz w:val="20"/>
                <w:szCs w:val="20"/>
                <w:color w:val="auto"/>
              </w:rPr>
            </w:pPr>
            <w:r>
              <w:rPr>
                <w:rFonts w:ascii="Arial" w:cs="Arial" w:eastAsia="Arial" w:hAnsi="Arial"/>
                <w:sz w:val="10"/>
                <w:szCs w:val="10"/>
                <w:color w:val="auto"/>
                <w:w w:val="92"/>
              </w:rPr>
              <w:t>1210 bps</w:t>
            </w:r>
          </w:p>
        </w:tc>
        <w:tc>
          <w:tcPr>
            <w:tcW w:w="720" w:type="dxa"/>
            <w:vAlign w:val="bottom"/>
          </w:tcPr>
          <w:p>
            <w:pPr>
              <w:jc w:val="center"/>
              <w:spacing w:after="0"/>
              <w:rPr>
                <w:sz w:val="20"/>
                <w:szCs w:val="20"/>
                <w:color w:val="auto"/>
              </w:rPr>
            </w:pPr>
            <w:r>
              <w:rPr>
                <w:rFonts w:ascii="Arial" w:cs="Arial" w:eastAsia="Arial" w:hAnsi="Arial"/>
                <w:sz w:val="10"/>
                <w:szCs w:val="10"/>
                <w:color w:val="auto"/>
                <w:w w:val="92"/>
              </w:rPr>
              <w:t>3570 bps</w:t>
            </w:r>
          </w:p>
        </w:tc>
        <w:tc>
          <w:tcPr>
            <w:tcW w:w="12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31"/>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Coverage of NPLs</w:t>
            </w:r>
          </w:p>
        </w:tc>
        <w:tc>
          <w:tcPr>
            <w:tcW w:w="920" w:type="dxa"/>
            <w:vAlign w:val="bottom"/>
            <w:tcBorders>
              <w:bottom w:val="single" w:sz="8" w:color="auto"/>
            </w:tcBorders>
          </w:tcPr>
          <w:p>
            <w:pPr>
              <w:jc w:val="center"/>
              <w:ind w:right="9"/>
              <w:spacing w:after="0"/>
              <w:rPr>
                <w:sz w:val="20"/>
                <w:szCs w:val="20"/>
                <w:color w:val="auto"/>
              </w:rPr>
            </w:pPr>
            <w:r>
              <w:rPr>
                <w:rFonts w:ascii="Arial" w:cs="Arial" w:eastAsia="Arial" w:hAnsi="Arial"/>
                <w:sz w:val="10"/>
                <w:szCs w:val="10"/>
                <w:color w:val="auto"/>
                <w:w w:val="91"/>
              </w:rPr>
              <w:t>98.9%</w:t>
            </w:r>
          </w:p>
        </w:tc>
        <w:tc>
          <w:tcPr>
            <w:tcW w:w="900" w:type="dxa"/>
            <w:vAlign w:val="bottom"/>
            <w:tcBorders>
              <w:bottom w:val="single" w:sz="8" w:color="auto"/>
            </w:tcBorders>
          </w:tcPr>
          <w:p>
            <w:pPr>
              <w:jc w:val="center"/>
              <w:ind w:left="8"/>
              <w:spacing w:after="0"/>
              <w:rPr>
                <w:sz w:val="20"/>
                <w:szCs w:val="20"/>
                <w:color w:val="auto"/>
              </w:rPr>
            </w:pPr>
            <w:r>
              <w:rPr>
                <w:rFonts w:ascii="Arial" w:cs="Arial" w:eastAsia="Arial" w:hAnsi="Arial"/>
                <w:sz w:val="10"/>
                <w:szCs w:val="10"/>
                <w:color w:val="auto"/>
                <w:w w:val="94"/>
              </w:rPr>
              <w:t>113.7%</w:t>
            </w:r>
          </w:p>
        </w:tc>
        <w:tc>
          <w:tcPr>
            <w:tcW w:w="940" w:type="dxa"/>
            <w:vAlign w:val="bottom"/>
            <w:tcBorders>
              <w:bottom w:val="single" w:sz="8" w:color="auto"/>
            </w:tcBorders>
          </w:tcPr>
          <w:p>
            <w:pPr>
              <w:jc w:val="center"/>
              <w:ind w:left="169"/>
              <w:spacing w:after="0"/>
              <w:rPr>
                <w:sz w:val="20"/>
                <w:szCs w:val="20"/>
                <w:color w:val="auto"/>
              </w:rPr>
            </w:pPr>
            <w:r>
              <w:rPr>
                <w:rFonts w:ascii="Arial" w:cs="Arial" w:eastAsia="Arial" w:hAnsi="Arial"/>
                <w:sz w:val="10"/>
                <w:szCs w:val="10"/>
                <w:color w:val="auto"/>
                <w:w w:val="94"/>
              </w:rPr>
              <w:t>121.0%</w:t>
            </w:r>
          </w:p>
        </w:tc>
        <w:tc>
          <w:tcPr>
            <w:tcW w:w="16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tcBorders>
          </w:tcPr>
          <w:p>
            <w:pPr>
              <w:jc w:val="center"/>
              <w:ind w:right="91"/>
              <w:spacing w:after="0"/>
              <w:rPr>
                <w:sz w:val="20"/>
                <w:szCs w:val="20"/>
                <w:color w:val="auto"/>
              </w:rPr>
            </w:pPr>
            <w:r>
              <w:rPr>
                <w:rFonts w:ascii="Arial" w:cs="Arial" w:eastAsia="Arial" w:hAnsi="Arial"/>
                <w:sz w:val="10"/>
                <w:szCs w:val="10"/>
                <w:color w:val="auto"/>
                <w:w w:val="95"/>
              </w:rPr>
              <w:t>730 bps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2"/>
              </w:rPr>
              <w:t>2203 bps</w:t>
            </w:r>
          </w:p>
        </w:tc>
        <w:tc>
          <w:tcPr>
            <w:tcW w:w="120" w:type="dxa"/>
            <w:vAlign w:val="bottom"/>
            <w:tcBorders>
              <w:bottom w:val="single" w:sz="8" w:color="auto"/>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13"/>
        </w:trPr>
        <w:tc>
          <w:tcPr>
            <w:tcW w:w="3020" w:type="dxa"/>
            <w:vAlign w:val="bottom"/>
            <w:tcBorders>
              <w:left w:val="single" w:sz="8" w:color="auto"/>
              <w:right w:val="single" w:sz="8" w:color="auto"/>
            </w:tcBorders>
          </w:tcPr>
          <w:p>
            <w:pPr>
              <w:ind w:left="20"/>
              <w:spacing w:after="0" w:line="113" w:lineRule="exact"/>
              <w:rPr>
                <w:sz w:val="20"/>
                <w:szCs w:val="20"/>
                <w:color w:val="auto"/>
              </w:rPr>
            </w:pPr>
            <w:r>
              <w:rPr>
                <w:rFonts w:ascii="Arial" w:cs="Arial" w:eastAsia="Arial" w:hAnsi="Arial"/>
                <w:sz w:val="8"/>
                <w:szCs w:val="8"/>
                <w:color w:val="auto"/>
              </w:rPr>
              <w:t xml:space="preserve">Branches </w:t>
            </w:r>
            <w:r>
              <w:rPr>
                <w:rFonts w:ascii="Arial" w:cs="Arial" w:eastAsia="Arial" w:hAnsi="Arial"/>
                <w:sz w:val="13"/>
                <w:szCs w:val="13"/>
                <w:color w:val="auto"/>
                <w:vertAlign w:val="superscript"/>
              </w:rPr>
              <w:t>(1)</w:t>
            </w:r>
          </w:p>
        </w:tc>
        <w:tc>
          <w:tcPr>
            <w:tcW w:w="920" w:type="dxa"/>
            <w:vAlign w:val="bottom"/>
          </w:tcPr>
          <w:p>
            <w:pPr>
              <w:jc w:val="center"/>
              <w:spacing w:after="0" w:line="114" w:lineRule="exact"/>
              <w:rPr>
                <w:sz w:val="20"/>
                <w:szCs w:val="20"/>
                <w:color w:val="auto"/>
              </w:rPr>
            </w:pPr>
            <w:r>
              <w:rPr>
                <w:rFonts w:ascii="Arial" w:cs="Arial" w:eastAsia="Arial" w:hAnsi="Arial"/>
                <w:sz w:val="10"/>
                <w:szCs w:val="10"/>
                <w:color w:val="auto"/>
                <w:w w:val="95"/>
              </w:rPr>
              <w:t>285</w:t>
            </w:r>
          </w:p>
        </w:tc>
        <w:tc>
          <w:tcPr>
            <w:tcW w:w="900" w:type="dxa"/>
            <w:vAlign w:val="bottom"/>
          </w:tcPr>
          <w:p>
            <w:pPr>
              <w:jc w:val="center"/>
              <w:ind w:left="8"/>
              <w:spacing w:after="0" w:line="114" w:lineRule="exact"/>
              <w:rPr>
                <w:sz w:val="20"/>
                <w:szCs w:val="20"/>
                <w:color w:val="auto"/>
              </w:rPr>
            </w:pPr>
            <w:r>
              <w:rPr>
                <w:rFonts w:ascii="Arial" w:cs="Arial" w:eastAsia="Arial" w:hAnsi="Arial"/>
                <w:sz w:val="10"/>
                <w:szCs w:val="10"/>
                <w:color w:val="auto"/>
                <w:w w:val="95"/>
              </w:rPr>
              <w:t>283</w:t>
            </w:r>
          </w:p>
        </w:tc>
        <w:tc>
          <w:tcPr>
            <w:tcW w:w="940" w:type="dxa"/>
            <w:vAlign w:val="bottom"/>
          </w:tcPr>
          <w:p>
            <w:pPr>
              <w:jc w:val="center"/>
              <w:ind w:left="169"/>
              <w:spacing w:after="0" w:line="114" w:lineRule="exact"/>
              <w:rPr>
                <w:sz w:val="20"/>
                <w:szCs w:val="20"/>
                <w:color w:val="auto"/>
              </w:rPr>
            </w:pPr>
            <w:r>
              <w:rPr>
                <w:rFonts w:ascii="Arial" w:cs="Arial" w:eastAsia="Arial" w:hAnsi="Arial"/>
                <w:sz w:val="10"/>
                <w:szCs w:val="10"/>
                <w:color w:val="auto"/>
                <w:w w:val="95"/>
              </w:rPr>
              <w:t>284</w:t>
            </w:r>
          </w:p>
        </w:tc>
        <w:tc>
          <w:tcPr>
            <w:tcW w:w="160" w:type="dxa"/>
            <w:vAlign w:val="bottom"/>
            <w:tcBorders>
              <w:right w:val="single" w:sz="8" w:color="auto"/>
            </w:tcBorders>
          </w:tcPr>
          <w:p>
            <w:pPr>
              <w:spacing w:after="0"/>
              <w:rPr>
                <w:sz w:val="9"/>
                <w:szCs w:val="9"/>
                <w:color w:val="auto"/>
              </w:rPr>
            </w:pPr>
          </w:p>
        </w:tc>
        <w:tc>
          <w:tcPr>
            <w:tcW w:w="1040" w:type="dxa"/>
            <w:vAlign w:val="bottom"/>
          </w:tcPr>
          <w:p>
            <w:pPr>
              <w:jc w:val="center"/>
              <w:ind w:right="91"/>
              <w:spacing w:after="0" w:line="114" w:lineRule="exact"/>
              <w:rPr>
                <w:sz w:val="20"/>
                <w:szCs w:val="20"/>
                <w:color w:val="auto"/>
              </w:rPr>
            </w:pPr>
            <w:r>
              <w:rPr>
                <w:rFonts w:ascii="Arial" w:cs="Arial" w:eastAsia="Arial" w:hAnsi="Arial"/>
                <w:sz w:val="10"/>
                <w:szCs w:val="10"/>
                <w:color w:val="auto"/>
              </w:rPr>
              <w:t>1</w:t>
            </w:r>
          </w:p>
        </w:tc>
        <w:tc>
          <w:tcPr>
            <w:tcW w:w="720" w:type="dxa"/>
            <w:vAlign w:val="bottom"/>
          </w:tcPr>
          <w:p>
            <w:pPr>
              <w:jc w:val="right"/>
              <w:ind w:right="269"/>
              <w:spacing w:after="0" w:line="114" w:lineRule="exact"/>
              <w:rPr>
                <w:sz w:val="20"/>
                <w:szCs w:val="20"/>
                <w:color w:val="auto"/>
              </w:rPr>
            </w:pPr>
            <w:r>
              <w:rPr>
                <w:rFonts w:ascii="Arial" w:cs="Arial" w:eastAsia="Arial" w:hAnsi="Arial"/>
                <w:sz w:val="10"/>
                <w:szCs w:val="10"/>
                <w:color w:val="auto"/>
              </w:rPr>
              <w:t>-1</w:t>
            </w:r>
          </w:p>
        </w:tc>
        <w:tc>
          <w:tcPr>
            <w:tcW w:w="12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28"/>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Employees</w:t>
            </w:r>
          </w:p>
        </w:tc>
        <w:tc>
          <w:tcPr>
            <w:tcW w:w="920" w:type="dxa"/>
            <w:vAlign w:val="bottom"/>
            <w:tcBorders>
              <w:bottom w:val="single" w:sz="8" w:color="auto"/>
            </w:tcBorders>
          </w:tcPr>
          <w:p>
            <w:pPr>
              <w:jc w:val="center"/>
              <w:ind w:right="9"/>
              <w:spacing w:after="0"/>
              <w:rPr>
                <w:sz w:val="20"/>
                <w:szCs w:val="20"/>
                <w:color w:val="auto"/>
              </w:rPr>
            </w:pPr>
            <w:r>
              <w:rPr>
                <w:rFonts w:ascii="Arial" w:cs="Arial" w:eastAsia="Arial" w:hAnsi="Arial"/>
                <w:sz w:val="10"/>
                <w:szCs w:val="10"/>
                <w:color w:val="auto"/>
                <w:w w:val="97"/>
              </w:rPr>
              <w:t>10,107</w:t>
            </w:r>
          </w:p>
        </w:tc>
        <w:tc>
          <w:tcPr>
            <w:tcW w:w="900" w:type="dxa"/>
            <w:vAlign w:val="bottom"/>
            <w:tcBorders>
              <w:bottom w:val="single" w:sz="8" w:color="auto"/>
            </w:tcBorders>
          </w:tcPr>
          <w:p>
            <w:pPr>
              <w:jc w:val="center"/>
              <w:ind w:left="8"/>
              <w:spacing w:after="0"/>
              <w:rPr>
                <w:sz w:val="20"/>
                <w:szCs w:val="20"/>
                <w:color w:val="auto"/>
              </w:rPr>
            </w:pPr>
            <w:r>
              <w:rPr>
                <w:rFonts w:ascii="Arial" w:cs="Arial" w:eastAsia="Arial" w:hAnsi="Arial"/>
                <w:sz w:val="10"/>
                <w:szCs w:val="10"/>
                <w:color w:val="auto"/>
                <w:w w:val="95"/>
              </w:rPr>
              <w:t>9,679</w:t>
            </w:r>
          </w:p>
        </w:tc>
        <w:tc>
          <w:tcPr>
            <w:tcW w:w="940" w:type="dxa"/>
            <w:vAlign w:val="bottom"/>
            <w:tcBorders>
              <w:bottom w:val="single" w:sz="8" w:color="auto"/>
            </w:tcBorders>
          </w:tcPr>
          <w:p>
            <w:pPr>
              <w:jc w:val="center"/>
              <w:ind w:left="169"/>
              <w:spacing w:after="0"/>
              <w:rPr>
                <w:sz w:val="20"/>
                <w:szCs w:val="20"/>
                <w:color w:val="auto"/>
              </w:rPr>
            </w:pPr>
            <w:r>
              <w:rPr>
                <w:rFonts w:ascii="Arial" w:cs="Arial" w:eastAsia="Arial" w:hAnsi="Arial"/>
                <w:sz w:val="10"/>
                <w:szCs w:val="10"/>
                <w:color w:val="auto"/>
                <w:w w:val="95"/>
              </w:rPr>
              <w:t>9,756</w:t>
            </w:r>
          </w:p>
        </w:tc>
        <w:tc>
          <w:tcPr>
            <w:tcW w:w="16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tcBorders>
          </w:tcPr>
          <w:p>
            <w:pPr>
              <w:jc w:val="center"/>
              <w:ind w:right="91"/>
              <w:spacing w:after="0"/>
              <w:rPr>
                <w:sz w:val="20"/>
                <w:szCs w:val="20"/>
                <w:color w:val="auto"/>
              </w:rPr>
            </w:pPr>
            <w:r>
              <w:rPr>
                <w:rFonts w:ascii="Arial" w:cs="Arial" w:eastAsia="Arial" w:hAnsi="Arial"/>
                <w:sz w:val="10"/>
                <w:szCs w:val="10"/>
                <w:color w:val="auto"/>
                <w:w w:val="89"/>
              </w:rPr>
              <w:t>77</w:t>
            </w: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rPr>
              <w:t>-351</w:t>
            </w:r>
          </w:p>
        </w:tc>
        <w:tc>
          <w:tcPr>
            <w:tcW w:w="120" w:type="dxa"/>
            <w:vAlign w:val="bottom"/>
            <w:tcBorders>
              <w:bottom w:val="single" w:sz="8" w:color="auto"/>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180"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(1) Includes Banco de la Nacion branches, which in September 24 were 36, in June 25 were 36 and in September 25 were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727710</wp:posOffset>
            </wp:positionV>
            <wp:extent cx="6707505"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117475</wp:posOffset>
            </wp:positionV>
            <wp:extent cx="6387465" cy="518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387465" cy="518160"/>
                    </a:xfrm>
                    <a:prstGeom prst="rect">
                      <a:avLst/>
                    </a:prstGeom>
                    <a:noFill/>
                  </pic:spPr>
                </pic:pic>
              </a:graphicData>
            </a:graphic>
          </wp:anchor>
        </w:drawing>
      </w:r>
    </w:p>
    <w:p>
      <w:pPr>
        <w:sectPr>
          <w:pgSz w:w="11900" w:h="16840" w:orient="portrait"/>
          <w:cols w:equalWidth="0" w:num="1">
            <w:col w:w="10560"/>
          </w:cols>
          <w:pgMar w:left="660" w:top="931" w:right="680" w:bottom="1440" w:gutter="0" w:footer="0" w:header="0"/>
        </w:sectPr>
      </w:pPr>
    </w:p>
    <w:bookmarkStart w:id="68" w:name="page69"/>
    <w:bookmarkEnd w:id="68"/>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12.7.7. Prima AFP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Financial Position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53" w:lineRule="exact"/>
        <w:rPr>
          <w:sz w:val="20"/>
          <w:szCs w:val="20"/>
          <w:color w:val="auto"/>
        </w:rPr>
      </w:pPr>
    </w:p>
    <w:tbl>
      <w:tblPr>
        <w:tblLayout w:type="fixed"/>
        <w:tblInd w:w="550" w:type="dxa"/>
        <w:tblCellMar>
          <w:top w:w="0" w:type="dxa"/>
          <w:left w:w="0" w:type="dxa"/>
          <w:bottom w:w="0" w:type="dxa"/>
          <w:right w:w="0" w:type="dxa"/>
        </w:tblCellMar>
      </w:tblPr>
      <w:tr>
        <w:trPr>
          <w:trHeight w:val="144"/>
        </w:trPr>
        <w:tc>
          <w:tcPr>
            <w:tcW w:w="4740" w:type="dxa"/>
            <w:vAlign w:val="bottom"/>
            <w:tcBorders>
              <w:top w:val="single" w:sz="8" w:color="auto"/>
              <w:left w:val="single" w:sz="8" w:color="auto"/>
              <w:right w:val="single" w:sz="8" w:color="auto"/>
            </w:tcBorders>
            <w:shd w:val="clear" w:color="auto" w:fill="33CCCC"/>
          </w:tcPr>
          <w:p>
            <w:pPr>
              <w:spacing w:after="0"/>
              <w:rPr>
                <w:sz w:val="12"/>
                <w:szCs w:val="12"/>
                <w:color w:val="auto"/>
              </w:rPr>
            </w:pPr>
          </w:p>
        </w:tc>
        <w:tc>
          <w:tcPr>
            <w:tcW w:w="940" w:type="dxa"/>
            <w:vAlign w:val="bottom"/>
            <w:tcBorders>
              <w:top w:val="single" w:sz="8" w:color="auto"/>
            </w:tcBorders>
            <w:shd w:val="clear" w:color="auto" w:fill="33CCCC"/>
          </w:tcPr>
          <w:p>
            <w:pPr>
              <w:spacing w:after="0"/>
              <w:rPr>
                <w:sz w:val="12"/>
                <w:szCs w:val="12"/>
                <w:color w:val="auto"/>
              </w:rPr>
            </w:pPr>
          </w:p>
        </w:tc>
        <w:tc>
          <w:tcPr>
            <w:tcW w:w="960" w:type="dxa"/>
            <w:vAlign w:val="bottom"/>
            <w:tcBorders>
              <w:top w:val="single" w:sz="8" w:color="auto"/>
            </w:tcBorders>
            <w:shd w:val="clear" w:color="auto" w:fill="33CCCC"/>
          </w:tcPr>
          <w:p>
            <w:pPr>
              <w:jc w:val="right"/>
              <w:ind w:right="266"/>
              <w:spacing w:after="0"/>
              <w:rPr>
                <w:sz w:val="20"/>
                <w:szCs w:val="20"/>
                <w:color w:val="auto"/>
              </w:rPr>
            </w:pPr>
            <w:r>
              <w:rPr>
                <w:rFonts w:ascii="Arial" w:cs="Arial" w:eastAsia="Arial" w:hAnsi="Arial"/>
                <w:sz w:val="11"/>
                <w:szCs w:val="11"/>
                <w:b w:val="1"/>
                <w:bCs w:val="1"/>
                <w:color w:val="FFFFFF"/>
              </w:rPr>
              <w:t>As of</w:t>
            </w:r>
          </w:p>
        </w:tc>
        <w:tc>
          <w:tcPr>
            <w:tcW w:w="1000" w:type="dxa"/>
            <w:vAlign w:val="bottom"/>
            <w:tcBorders>
              <w:top w:val="single" w:sz="8" w:color="auto"/>
              <w:right w:val="single" w:sz="8" w:color="auto"/>
            </w:tcBorders>
            <w:shd w:val="clear" w:color="auto" w:fill="33CCCC"/>
          </w:tcPr>
          <w:p>
            <w:pPr>
              <w:spacing w:after="0"/>
              <w:rPr>
                <w:sz w:val="12"/>
                <w:szCs w:val="12"/>
                <w:color w:val="auto"/>
              </w:rPr>
            </w:pPr>
          </w:p>
        </w:tc>
        <w:tc>
          <w:tcPr>
            <w:tcW w:w="660" w:type="dxa"/>
            <w:vAlign w:val="bottom"/>
            <w:tcBorders>
              <w:top w:val="single" w:sz="8" w:color="auto"/>
            </w:tcBorders>
            <w:shd w:val="clear" w:color="auto" w:fill="33CCCC"/>
          </w:tcPr>
          <w:p>
            <w:pPr>
              <w:spacing w:after="0"/>
              <w:rPr>
                <w:sz w:val="12"/>
                <w:szCs w:val="12"/>
                <w:color w:val="auto"/>
              </w:rPr>
            </w:pPr>
          </w:p>
        </w:tc>
        <w:tc>
          <w:tcPr>
            <w:tcW w:w="1200" w:type="dxa"/>
            <w:vAlign w:val="bottom"/>
            <w:tcBorders>
              <w:top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 change</w:t>
            </w:r>
          </w:p>
        </w:tc>
      </w:tr>
      <w:tr>
        <w:trPr>
          <w:trHeight w:val="132"/>
        </w:trPr>
        <w:tc>
          <w:tcPr>
            <w:tcW w:w="474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94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11"/>
                <w:szCs w:val="11"/>
                <w:b w:val="1"/>
                <w:bCs w:val="1"/>
                <w:color w:val="FFFFFF"/>
              </w:rPr>
              <w:t>Sep 24</w:t>
            </w:r>
          </w:p>
        </w:tc>
        <w:tc>
          <w:tcPr>
            <w:tcW w:w="960" w:type="dxa"/>
            <w:vAlign w:val="bottom"/>
            <w:tcBorders>
              <w:bottom w:val="single" w:sz="8" w:color="auto"/>
            </w:tcBorders>
            <w:shd w:val="clear" w:color="auto" w:fill="33CCCC"/>
          </w:tcPr>
          <w:p>
            <w:pPr>
              <w:jc w:val="right"/>
              <w:ind w:right="266"/>
              <w:spacing w:after="0"/>
              <w:rPr>
                <w:sz w:val="20"/>
                <w:szCs w:val="20"/>
                <w:color w:val="auto"/>
              </w:rPr>
            </w:pPr>
            <w:r>
              <w:rPr>
                <w:rFonts w:ascii="Arial" w:cs="Arial" w:eastAsia="Arial" w:hAnsi="Arial"/>
                <w:sz w:val="11"/>
                <w:szCs w:val="11"/>
                <w:b w:val="1"/>
                <w:bCs w:val="1"/>
                <w:color w:val="FFFFFF"/>
              </w:rPr>
              <w:t>Jun 25</w:t>
            </w:r>
          </w:p>
        </w:tc>
        <w:tc>
          <w:tcPr>
            <w:tcW w:w="1000" w:type="dxa"/>
            <w:vAlign w:val="bottom"/>
            <w:tcBorders>
              <w:bottom w:val="single" w:sz="8" w:color="auto"/>
              <w:right w:val="single" w:sz="8" w:color="auto"/>
            </w:tcBorders>
            <w:shd w:val="clear" w:color="auto" w:fill="33CCCC"/>
          </w:tcPr>
          <w:p>
            <w:pPr>
              <w:ind w:left="320"/>
              <w:spacing w:after="0"/>
              <w:rPr>
                <w:sz w:val="20"/>
                <w:szCs w:val="20"/>
                <w:color w:val="auto"/>
              </w:rPr>
            </w:pPr>
            <w:r>
              <w:rPr>
                <w:rFonts w:ascii="Arial" w:cs="Arial" w:eastAsia="Arial" w:hAnsi="Arial"/>
                <w:sz w:val="11"/>
                <w:szCs w:val="11"/>
                <w:b w:val="1"/>
                <w:bCs w:val="1"/>
                <w:color w:val="FFFFFF"/>
              </w:rPr>
              <w:t>Sep 25</w:t>
            </w:r>
          </w:p>
        </w:tc>
        <w:tc>
          <w:tcPr>
            <w:tcW w:w="660" w:type="dxa"/>
            <w:vAlign w:val="bottom"/>
            <w:tcBorders>
              <w:bottom w:val="single" w:sz="8" w:color="auto"/>
            </w:tcBorders>
            <w:shd w:val="clear" w:color="auto" w:fill="33CCCC"/>
          </w:tcPr>
          <w:p>
            <w:pPr>
              <w:jc w:val="center"/>
              <w:ind w:left="226"/>
              <w:spacing w:after="0"/>
              <w:rPr>
                <w:sz w:val="20"/>
                <w:szCs w:val="20"/>
                <w:color w:val="auto"/>
              </w:rPr>
            </w:pPr>
            <w:r>
              <w:rPr>
                <w:rFonts w:ascii="Arial" w:cs="Arial" w:eastAsia="Arial" w:hAnsi="Arial"/>
                <w:sz w:val="11"/>
                <w:szCs w:val="11"/>
                <w:b w:val="1"/>
                <w:bCs w:val="1"/>
                <w:color w:val="FFFFFF"/>
                <w:w w:val="92"/>
              </w:rPr>
              <w:t>QoQ</w:t>
            </w:r>
          </w:p>
        </w:tc>
        <w:tc>
          <w:tcPr>
            <w:tcW w:w="1200" w:type="dxa"/>
            <w:vAlign w:val="bottom"/>
            <w:tcBorders>
              <w:bottom w:val="single" w:sz="8" w:color="auto"/>
              <w:right w:val="single" w:sz="8" w:color="auto"/>
            </w:tcBorders>
            <w:shd w:val="clear" w:color="auto" w:fill="33CCCC"/>
          </w:tcPr>
          <w:p>
            <w:pPr>
              <w:ind w:left="640"/>
              <w:spacing w:after="0"/>
              <w:rPr>
                <w:sz w:val="20"/>
                <w:szCs w:val="20"/>
                <w:color w:val="auto"/>
              </w:rPr>
            </w:pPr>
            <w:r>
              <w:rPr>
                <w:rFonts w:ascii="Arial" w:cs="Arial" w:eastAsia="Arial" w:hAnsi="Arial"/>
                <w:sz w:val="11"/>
                <w:szCs w:val="11"/>
                <w:b w:val="1"/>
                <w:bCs w:val="1"/>
                <w:color w:val="FFFFFF"/>
              </w:rPr>
              <w:t>YoY</w:t>
            </w:r>
          </w:p>
        </w:tc>
      </w:tr>
      <w:tr>
        <w:trPr>
          <w:trHeight w:val="124"/>
        </w:trPr>
        <w:tc>
          <w:tcPr>
            <w:tcW w:w="474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b w:val="1"/>
                <w:bCs w:val="1"/>
                <w:color w:val="auto"/>
              </w:rPr>
              <w:t>Cash and due from banks</w:t>
            </w:r>
          </w:p>
        </w:tc>
        <w:tc>
          <w:tcPr>
            <w:tcW w:w="9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5"/>
              </w:rPr>
              <w:t>144,402</w:t>
            </w:r>
          </w:p>
        </w:tc>
        <w:tc>
          <w:tcPr>
            <w:tcW w:w="9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4"/>
              </w:rPr>
              <w:t>5,582</w:t>
            </w:r>
          </w:p>
        </w:tc>
        <w:tc>
          <w:tcPr>
            <w:tcW w:w="10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52,644</w:t>
            </w:r>
          </w:p>
        </w:tc>
        <w:tc>
          <w:tcPr>
            <w:tcW w:w="660" w:type="dxa"/>
            <w:vAlign w:val="bottom"/>
          </w:tcPr>
          <w:p>
            <w:pPr>
              <w:jc w:val="center"/>
              <w:ind w:left="226"/>
              <w:spacing w:after="0" w:line="124" w:lineRule="exact"/>
              <w:rPr>
                <w:sz w:val="20"/>
                <w:szCs w:val="20"/>
                <w:color w:val="auto"/>
              </w:rPr>
            </w:pPr>
            <w:r>
              <w:rPr>
                <w:rFonts w:ascii="Arial" w:cs="Arial" w:eastAsia="Arial" w:hAnsi="Arial"/>
                <w:sz w:val="11"/>
                <w:szCs w:val="11"/>
                <w:b w:val="1"/>
                <w:bCs w:val="1"/>
                <w:color w:val="auto"/>
                <w:w w:val="94"/>
              </w:rPr>
              <w:t>n.a.</w:t>
            </w:r>
          </w:p>
        </w:tc>
        <w:tc>
          <w:tcPr>
            <w:tcW w:w="1200" w:type="dxa"/>
            <w:vAlign w:val="bottom"/>
            <w:tcBorders>
              <w:right w:val="single" w:sz="8" w:color="auto"/>
            </w:tcBorders>
          </w:tcPr>
          <w:p>
            <w:pPr>
              <w:jc w:val="center"/>
              <w:ind w:left="206"/>
              <w:spacing w:after="0" w:line="124" w:lineRule="exact"/>
              <w:rPr>
                <w:sz w:val="20"/>
                <w:szCs w:val="20"/>
                <w:color w:val="auto"/>
              </w:rPr>
            </w:pPr>
            <w:r>
              <w:rPr>
                <w:rFonts w:ascii="Arial" w:cs="Arial" w:eastAsia="Arial" w:hAnsi="Arial"/>
                <w:sz w:val="11"/>
                <w:szCs w:val="11"/>
                <w:b w:val="1"/>
                <w:bCs w:val="1"/>
                <w:color w:val="auto"/>
                <w:w w:val="97"/>
              </w:rPr>
              <w:t>-63.5%</w:t>
            </w:r>
          </w:p>
        </w:tc>
      </w:tr>
      <w:tr>
        <w:trPr>
          <w:trHeight w:val="132"/>
        </w:trPr>
        <w:tc>
          <w:tcPr>
            <w:tcW w:w="47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Non-interest bearing</w:t>
            </w:r>
          </w:p>
        </w:tc>
        <w:tc>
          <w:tcPr>
            <w:tcW w:w="940" w:type="dxa"/>
            <w:vAlign w:val="bottom"/>
          </w:tcPr>
          <w:p>
            <w:pPr>
              <w:jc w:val="center"/>
              <w:spacing w:after="0"/>
              <w:rPr>
                <w:sz w:val="20"/>
                <w:szCs w:val="20"/>
                <w:color w:val="auto"/>
              </w:rPr>
            </w:pPr>
            <w:r>
              <w:rPr>
                <w:rFonts w:ascii="Arial" w:cs="Arial" w:eastAsia="Arial" w:hAnsi="Arial"/>
                <w:sz w:val="11"/>
                <w:szCs w:val="11"/>
                <w:color w:val="auto"/>
                <w:w w:val="94"/>
              </w:rPr>
              <w:t>4,555</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3,876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3,595</w:t>
            </w:r>
          </w:p>
        </w:tc>
        <w:tc>
          <w:tcPr>
            <w:tcW w:w="660" w:type="dxa"/>
            <w:vAlign w:val="bottom"/>
          </w:tcPr>
          <w:p>
            <w:pPr>
              <w:jc w:val="center"/>
              <w:ind w:left="206"/>
              <w:spacing w:after="0"/>
              <w:rPr>
                <w:sz w:val="20"/>
                <w:szCs w:val="20"/>
                <w:color w:val="auto"/>
              </w:rPr>
            </w:pPr>
            <w:r>
              <w:rPr>
                <w:rFonts w:ascii="Arial" w:cs="Arial" w:eastAsia="Arial" w:hAnsi="Arial"/>
                <w:sz w:val="11"/>
                <w:szCs w:val="11"/>
                <w:color w:val="auto"/>
                <w:w w:val="97"/>
              </w:rPr>
              <w:t>-7.2%</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-21.1%</w:t>
            </w:r>
          </w:p>
        </w:tc>
      </w:tr>
      <w:tr>
        <w:trPr>
          <w:trHeight w:val="132"/>
        </w:trPr>
        <w:tc>
          <w:tcPr>
            <w:tcW w:w="47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Interest bearing</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139,847</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1,706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49,049</w:t>
            </w:r>
          </w:p>
        </w:tc>
        <w:tc>
          <w:tcPr>
            <w:tcW w:w="660" w:type="dxa"/>
            <w:vAlign w:val="bottom"/>
          </w:tcPr>
          <w:p>
            <w:pPr>
              <w:jc w:val="center"/>
              <w:ind w:left="226"/>
              <w:spacing w:after="0"/>
              <w:rPr>
                <w:sz w:val="20"/>
                <w:szCs w:val="20"/>
                <w:color w:val="auto"/>
              </w:rPr>
            </w:pPr>
            <w:r>
              <w:rPr>
                <w:rFonts w:ascii="Arial" w:cs="Arial" w:eastAsia="Arial" w:hAnsi="Arial"/>
                <w:sz w:val="11"/>
                <w:szCs w:val="11"/>
                <w:color w:val="auto"/>
                <w:w w:val="97"/>
              </w:rPr>
              <w:t>n.a.</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-64.9%</w:t>
            </w:r>
          </w:p>
        </w:tc>
      </w:tr>
      <w:tr>
        <w:trPr>
          <w:trHeight w:val="132"/>
        </w:trPr>
        <w:tc>
          <w:tcPr>
            <w:tcW w:w="47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Fair value through profit or loss investments</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317,682</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361,646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371,402</w:t>
            </w:r>
          </w:p>
        </w:tc>
        <w:tc>
          <w:tcPr>
            <w:tcW w:w="660" w:type="dxa"/>
            <w:vAlign w:val="bottom"/>
          </w:tcPr>
          <w:p>
            <w:pPr>
              <w:jc w:val="center"/>
              <w:ind w:left="206"/>
              <w:spacing w:after="0"/>
              <w:rPr>
                <w:sz w:val="20"/>
                <w:szCs w:val="20"/>
                <w:color w:val="auto"/>
              </w:rPr>
            </w:pPr>
            <w:r>
              <w:rPr>
                <w:rFonts w:ascii="Arial" w:cs="Arial" w:eastAsia="Arial" w:hAnsi="Arial"/>
                <w:sz w:val="11"/>
                <w:szCs w:val="11"/>
                <w:color w:val="auto"/>
                <w:w w:val="95"/>
              </w:rPr>
              <w:t>2.7%</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6"/>
              </w:rPr>
              <w:t>16.9%</w:t>
            </w:r>
          </w:p>
        </w:tc>
      </w:tr>
      <w:tr>
        <w:trPr>
          <w:trHeight w:val="132"/>
        </w:trPr>
        <w:tc>
          <w:tcPr>
            <w:tcW w:w="47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Fair value through other comprehensive income investments</w:t>
            </w:r>
          </w:p>
        </w:tc>
        <w:tc>
          <w:tcPr>
            <w:tcW w:w="940" w:type="dxa"/>
            <w:vAlign w:val="bottom"/>
          </w:tcPr>
          <w:p>
            <w:pPr>
              <w:jc w:val="center"/>
              <w:spacing w:after="0"/>
              <w:rPr>
                <w:sz w:val="20"/>
                <w:szCs w:val="20"/>
                <w:color w:val="auto"/>
              </w:rPr>
            </w:pPr>
            <w:r>
              <w:rPr>
                <w:rFonts w:ascii="Arial" w:cs="Arial" w:eastAsia="Arial" w:hAnsi="Arial"/>
                <w:sz w:val="11"/>
                <w:szCs w:val="11"/>
                <w:color w:val="auto"/>
                <w:w w:val="94"/>
              </w:rPr>
              <w:t>1,171</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1,405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1,729</w:t>
            </w:r>
          </w:p>
        </w:tc>
        <w:tc>
          <w:tcPr>
            <w:tcW w:w="660" w:type="dxa"/>
            <w:vAlign w:val="bottom"/>
          </w:tcPr>
          <w:p>
            <w:pPr>
              <w:jc w:val="center"/>
              <w:ind w:left="226"/>
              <w:spacing w:after="0"/>
              <w:rPr>
                <w:sz w:val="20"/>
                <w:szCs w:val="20"/>
                <w:color w:val="auto"/>
              </w:rPr>
            </w:pPr>
            <w:r>
              <w:rPr>
                <w:rFonts w:ascii="Arial" w:cs="Arial" w:eastAsia="Arial" w:hAnsi="Arial"/>
                <w:sz w:val="11"/>
                <w:szCs w:val="11"/>
                <w:color w:val="auto"/>
                <w:w w:val="96"/>
              </w:rPr>
              <w:t>23.1%</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6"/>
              </w:rPr>
              <w:t>47.7%</w:t>
            </w:r>
          </w:p>
        </w:tc>
      </w:tr>
      <w:tr>
        <w:trPr>
          <w:trHeight w:val="132"/>
        </w:trPr>
        <w:tc>
          <w:tcPr>
            <w:tcW w:w="47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Property, plant and equipment, net</w:t>
            </w:r>
          </w:p>
        </w:tc>
        <w:tc>
          <w:tcPr>
            <w:tcW w:w="940" w:type="dxa"/>
            <w:vAlign w:val="bottom"/>
          </w:tcPr>
          <w:p>
            <w:pPr>
              <w:jc w:val="center"/>
              <w:spacing w:after="0"/>
              <w:rPr>
                <w:sz w:val="20"/>
                <w:szCs w:val="20"/>
                <w:color w:val="auto"/>
              </w:rPr>
            </w:pPr>
            <w:r>
              <w:rPr>
                <w:rFonts w:ascii="Arial" w:cs="Arial" w:eastAsia="Arial" w:hAnsi="Arial"/>
                <w:sz w:val="11"/>
                <w:szCs w:val="11"/>
                <w:color w:val="auto"/>
                <w:w w:val="94"/>
              </w:rPr>
              <w:t>7,638</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5,751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6,084</w:t>
            </w:r>
          </w:p>
        </w:tc>
        <w:tc>
          <w:tcPr>
            <w:tcW w:w="660" w:type="dxa"/>
            <w:vAlign w:val="bottom"/>
          </w:tcPr>
          <w:p>
            <w:pPr>
              <w:jc w:val="center"/>
              <w:ind w:left="206"/>
              <w:spacing w:after="0"/>
              <w:rPr>
                <w:sz w:val="20"/>
                <w:szCs w:val="20"/>
                <w:color w:val="auto"/>
              </w:rPr>
            </w:pPr>
            <w:r>
              <w:rPr>
                <w:rFonts w:ascii="Arial" w:cs="Arial" w:eastAsia="Arial" w:hAnsi="Arial"/>
                <w:sz w:val="11"/>
                <w:szCs w:val="11"/>
                <w:color w:val="auto"/>
                <w:w w:val="95"/>
              </w:rPr>
              <w:t>5.8%</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-20.3%</w:t>
            </w:r>
          </w:p>
        </w:tc>
      </w:tr>
      <w:tr>
        <w:trPr>
          <w:trHeight w:val="132"/>
        </w:trPr>
        <w:tc>
          <w:tcPr>
            <w:tcW w:w="47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Other Assets</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260,067</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212,969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214,975</w:t>
            </w:r>
          </w:p>
        </w:tc>
        <w:tc>
          <w:tcPr>
            <w:tcW w:w="660" w:type="dxa"/>
            <w:vAlign w:val="bottom"/>
          </w:tcPr>
          <w:p>
            <w:pPr>
              <w:jc w:val="center"/>
              <w:ind w:left="206"/>
              <w:spacing w:after="0"/>
              <w:rPr>
                <w:sz w:val="20"/>
                <w:szCs w:val="20"/>
                <w:color w:val="auto"/>
              </w:rPr>
            </w:pPr>
            <w:r>
              <w:rPr>
                <w:rFonts w:ascii="Arial" w:cs="Arial" w:eastAsia="Arial" w:hAnsi="Arial"/>
                <w:sz w:val="11"/>
                <w:szCs w:val="11"/>
                <w:color w:val="auto"/>
                <w:w w:val="95"/>
              </w:rPr>
              <w:t>0.9%</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-17.3%</w:t>
            </w:r>
          </w:p>
        </w:tc>
      </w:tr>
      <w:tr>
        <w:trPr>
          <w:trHeight w:val="132"/>
        </w:trPr>
        <w:tc>
          <w:tcPr>
            <w:tcW w:w="4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Total Assets</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5"/>
              </w:rPr>
              <w:t>730,960</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5"/>
              </w:rPr>
              <w:t>587,353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646,834</w:t>
            </w:r>
          </w:p>
        </w:tc>
        <w:tc>
          <w:tcPr>
            <w:tcW w:w="660" w:type="dxa"/>
            <w:vAlign w:val="bottom"/>
          </w:tcPr>
          <w:p>
            <w:pPr>
              <w:jc w:val="center"/>
              <w:ind w:left="226"/>
              <w:spacing w:after="0"/>
              <w:rPr>
                <w:sz w:val="20"/>
                <w:szCs w:val="20"/>
                <w:color w:val="auto"/>
              </w:rPr>
            </w:pPr>
            <w:r>
              <w:rPr>
                <w:rFonts w:ascii="Arial" w:cs="Arial" w:eastAsia="Arial" w:hAnsi="Arial"/>
                <w:sz w:val="11"/>
                <w:szCs w:val="11"/>
                <w:b w:val="1"/>
                <w:bCs w:val="1"/>
                <w:color w:val="auto"/>
                <w:w w:val="96"/>
              </w:rPr>
              <w:t>10.1%</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7"/>
              </w:rPr>
              <w:t>-11.5%</w:t>
            </w:r>
          </w:p>
        </w:tc>
      </w:tr>
      <w:tr>
        <w:trPr>
          <w:trHeight w:val="132"/>
        </w:trPr>
        <w:tc>
          <w:tcPr>
            <w:tcW w:w="47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Due to banks and correspondents</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6</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11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w:t>
            </w:r>
          </w:p>
        </w:tc>
        <w:tc>
          <w:tcPr>
            <w:tcW w:w="660" w:type="dxa"/>
            <w:vAlign w:val="bottom"/>
          </w:tcPr>
          <w:p>
            <w:pPr>
              <w:jc w:val="center"/>
              <w:ind w:left="226"/>
              <w:spacing w:after="0"/>
              <w:rPr>
                <w:sz w:val="20"/>
                <w:szCs w:val="20"/>
                <w:color w:val="auto"/>
              </w:rPr>
            </w:pPr>
            <w:r>
              <w:rPr>
                <w:rFonts w:ascii="Arial" w:cs="Arial" w:eastAsia="Arial" w:hAnsi="Arial"/>
                <w:sz w:val="11"/>
                <w:szCs w:val="11"/>
                <w:color w:val="auto"/>
                <w:w w:val="97"/>
              </w:rPr>
              <w:t>-63.6%</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-33.3%</w:t>
            </w:r>
          </w:p>
        </w:tc>
      </w:tr>
      <w:tr>
        <w:trPr>
          <w:trHeight w:val="132"/>
        </w:trPr>
        <w:tc>
          <w:tcPr>
            <w:tcW w:w="47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Lease payable</w:t>
            </w:r>
          </w:p>
        </w:tc>
        <w:tc>
          <w:tcPr>
            <w:tcW w:w="940" w:type="dxa"/>
            <w:vAlign w:val="bottom"/>
          </w:tcPr>
          <w:p>
            <w:pPr>
              <w:jc w:val="center"/>
              <w:spacing w:after="0"/>
              <w:rPr>
                <w:sz w:val="20"/>
                <w:szCs w:val="20"/>
                <w:color w:val="auto"/>
              </w:rPr>
            </w:pPr>
            <w:r>
              <w:rPr>
                <w:rFonts w:ascii="Arial" w:cs="Arial" w:eastAsia="Arial" w:hAnsi="Arial"/>
                <w:sz w:val="11"/>
                <w:szCs w:val="11"/>
                <w:color w:val="auto"/>
                <w:w w:val="94"/>
              </w:rPr>
              <w:t>4,203</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2,401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2,886</w:t>
            </w:r>
          </w:p>
        </w:tc>
        <w:tc>
          <w:tcPr>
            <w:tcW w:w="660" w:type="dxa"/>
            <w:vAlign w:val="bottom"/>
          </w:tcPr>
          <w:p>
            <w:pPr>
              <w:jc w:val="center"/>
              <w:ind w:left="226"/>
              <w:spacing w:after="0"/>
              <w:rPr>
                <w:sz w:val="20"/>
                <w:szCs w:val="20"/>
                <w:color w:val="auto"/>
              </w:rPr>
            </w:pPr>
            <w:r>
              <w:rPr>
                <w:rFonts w:ascii="Arial" w:cs="Arial" w:eastAsia="Arial" w:hAnsi="Arial"/>
                <w:sz w:val="11"/>
                <w:szCs w:val="11"/>
                <w:color w:val="auto"/>
                <w:w w:val="96"/>
              </w:rPr>
              <w:t>20.2%</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-31.3%</w:t>
            </w:r>
          </w:p>
        </w:tc>
      </w:tr>
      <w:tr>
        <w:trPr>
          <w:trHeight w:val="132"/>
        </w:trPr>
        <w:tc>
          <w:tcPr>
            <w:tcW w:w="47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Other liabilities</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212,464</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153,573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165,759</w:t>
            </w:r>
          </w:p>
        </w:tc>
        <w:tc>
          <w:tcPr>
            <w:tcW w:w="660" w:type="dxa"/>
            <w:vAlign w:val="bottom"/>
          </w:tcPr>
          <w:p>
            <w:pPr>
              <w:jc w:val="center"/>
              <w:ind w:left="206"/>
              <w:spacing w:after="0"/>
              <w:rPr>
                <w:sz w:val="20"/>
                <w:szCs w:val="20"/>
                <w:color w:val="auto"/>
              </w:rPr>
            </w:pPr>
            <w:r>
              <w:rPr>
                <w:rFonts w:ascii="Arial" w:cs="Arial" w:eastAsia="Arial" w:hAnsi="Arial"/>
                <w:sz w:val="11"/>
                <w:szCs w:val="11"/>
                <w:color w:val="auto"/>
                <w:w w:val="95"/>
              </w:rPr>
              <w:t>7.9%</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-22.0%</w:t>
            </w:r>
          </w:p>
        </w:tc>
      </w:tr>
      <w:tr>
        <w:trPr>
          <w:trHeight w:val="148"/>
        </w:trPr>
        <w:tc>
          <w:tcPr>
            <w:tcW w:w="4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Total Liabilities</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5"/>
              </w:rPr>
              <w:t>216,673</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5"/>
              </w:rPr>
              <w:t>155,985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168,649</w:t>
            </w:r>
          </w:p>
        </w:tc>
        <w:tc>
          <w:tcPr>
            <w:tcW w:w="660" w:type="dxa"/>
            <w:vAlign w:val="bottom"/>
          </w:tcPr>
          <w:p>
            <w:pPr>
              <w:jc w:val="center"/>
              <w:ind w:left="206"/>
              <w:spacing w:after="0"/>
              <w:rPr>
                <w:sz w:val="20"/>
                <w:szCs w:val="20"/>
                <w:color w:val="auto"/>
              </w:rPr>
            </w:pPr>
            <w:r>
              <w:rPr>
                <w:rFonts w:ascii="Arial" w:cs="Arial" w:eastAsia="Arial" w:hAnsi="Arial"/>
                <w:sz w:val="11"/>
                <w:szCs w:val="11"/>
                <w:b w:val="1"/>
                <w:bCs w:val="1"/>
                <w:color w:val="auto"/>
                <w:w w:val="95"/>
              </w:rPr>
              <w:t>8.1%</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7"/>
              </w:rPr>
              <w:t>-22.2%</w:t>
            </w:r>
          </w:p>
        </w:tc>
      </w:tr>
      <w:tr>
        <w:trPr>
          <w:trHeight w:val="248"/>
        </w:trPr>
        <w:tc>
          <w:tcPr>
            <w:tcW w:w="47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Capital stock</w:t>
            </w:r>
          </w:p>
        </w:tc>
        <w:tc>
          <w:tcPr>
            <w:tcW w:w="940" w:type="dxa"/>
            <w:vAlign w:val="bottom"/>
          </w:tcPr>
          <w:p>
            <w:pPr>
              <w:jc w:val="center"/>
              <w:spacing w:after="0"/>
              <w:rPr>
                <w:sz w:val="20"/>
                <w:szCs w:val="20"/>
                <w:color w:val="auto"/>
              </w:rPr>
            </w:pPr>
            <w:r>
              <w:rPr>
                <w:rFonts w:ascii="Arial" w:cs="Arial" w:eastAsia="Arial" w:hAnsi="Arial"/>
                <w:sz w:val="11"/>
                <w:szCs w:val="11"/>
                <w:color w:val="auto"/>
              </w:rPr>
              <w:t>40,505</w:t>
            </w:r>
          </w:p>
        </w:tc>
        <w:tc>
          <w:tcPr>
            <w:tcW w:w="960" w:type="dxa"/>
            <w:vAlign w:val="bottom"/>
          </w:tcPr>
          <w:p>
            <w:pPr>
              <w:jc w:val="center"/>
              <w:spacing w:after="0"/>
              <w:rPr>
                <w:sz w:val="20"/>
                <w:szCs w:val="20"/>
                <w:color w:val="auto"/>
              </w:rPr>
            </w:pPr>
            <w:r>
              <w:rPr>
                <w:rFonts w:ascii="Arial" w:cs="Arial" w:eastAsia="Arial" w:hAnsi="Arial"/>
                <w:sz w:val="11"/>
                <w:szCs w:val="11"/>
                <w:color w:val="auto"/>
              </w:rPr>
              <w:t>40,505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40,505</w:t>
            </w:r>
          </w:p>
        </w:tc>
        <w:tc>
          <w:tcPr>
            <w:tcW w:w="660" w:type="dxa"/>
            <w:vAlign w:val="bottom"/>
          </w:tcPr>
          <w:p>
            <w:pPr>
              <w:jc w:val="center"/>
              <w:ind w:left="206"/>
              <w:spacing w:after="0"/>
              <w:rPr>
                <w:sz w:val="20"/>
                <w:szCs w:val="20"/>
                <w:color w:val="auto"/>
              </w:rPr>
            </w:pPr>
            <w:r>
              <w:rPr>
                <w:rFonts w:ascii="Arial" w:cs="Arial" w:eastAsia="Arial" w:hAnsi="Arial"/>
                <w:sz w:val="11"/>
                <w:szCs w:val="11"/>
                <w:color w:val="auto"/>
                <w:w w:val="95"/>
              </w:rPr>
              <w:t>0.0%</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0.0%</w:t>
            </w:r>
          </w:p>
        </w:tc>
      </w:tr>
      <w:tr>
        <w:trPr>
          <w:trHeight w:val="132"/>
        </w:trPr>
        <w:tc>
          <w:tcPr>
            <w:tcW w:w="47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Reserves</w:t>
            </w:r>
          </w:p>
        </w:tc>
        <w:tc>
          <w:tcPr>
            <w:tcW w:w="940" w:type="dxa"/>
            <w:vAlign w:val="bottom"/>
          </w:tcPr>
          <w:p>
            <w:pPr>
              <w:jc w:val="center"/>
              <w:spacing w:after="0"/>
              <w:rPr>
                <w:sz w:val="20"/>
                <w:szCs w:val="20"/>
                <w:color w:val="auto"/>
              </w:rPr>
            </w:pPr>
            <w:r>
              <w:rPr>
                <w:rFonts w:ascii="Arial" w:cs="Arial" w:eastAsia="Arial" w:hAnsi="Arial"/>
                <w:sz w:val="11"/>
                <w:szCs w:val="11"/>
                <w:color w:val="auto"/>
              </w:rPr>
              <w:t>20,243</w:t>
            </w:r>
          </w:p>
        </w:tc>
        <w:tc>
          <w:tcPr>
            <w:tcW w:w="960" w:type="dxa"/>
            <w:vAlign w:val="bottom"/>
          </w:tcPr>
          <w:p>
            <w:pPr>
              <w:jc w:val="center"/>
              <w:spacing w:after="0"/>
              <w:rPr>
                <w:sz w:val="20"/>
                <w:szCs w:val="20"/>
                <w:color w:val="auto"/>
              </w:rPr>
            </w:pPr>
            <w:r>
              <w:rPr>
                <w:rFonts w:ascii="Arial" w:cs="Arial" w:eastAsia="Arial" w:hAnsi="Arial"/>
                <w:sz w:val="11"/>
                <w:szCs w:val="11"/>
                <w:color w:val="auto"/>
              </w:rPr>
              <w:t>20,243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20,243</w:t>
            </w:r>
          </w:p>
        </w:tc>
        <w:tc>
          <w:tcPr>
            <w:tcW w:w="660" w:type="dxa"/>
            <w:vAlign w:val="bottom"/>
          </w:tcPr>
          <w:p>
            <w:pPr>
              <w:jc w:val="center"/>
              <w:ind w:left="206"/>
              <w:spacing w:after="0"/>
              <w:rPr>
                <w:sz w:val="20"/>
                <w:szCs w:val="20"/>
                <w:color w:val="auto"/>
              </w:rPr>
            </w:pPr>
            <w:r>
              <w:rPr>
                <w:rFonts w:ascii="Arial" w:cs="Arial" w:eastAsia="Arial" w:hAnsi="Arial"/>
                <w:sz w:val="11"/>
                <w:szCs w:val="11"/>
                <w:color w:val="auto"/>
                <w:w w:val="95"/>
              </w:rPr>
              <w:t>0.0%</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0.0%</w:t>
            </w:r>
          </w:p>
        </w:tc>
      </w:tr>
      <w:tr>
        <w:trPr>
          <w:trHeight w:val="142"/>
        </w:trPr>
        <w:tc>
          <w:tcPr>
            <w:tcW w:w="47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Other reserves</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425</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681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909</w:t>
            </w:r>
          </w:p>
        </w:tc>
        <w:tc>
          <w:tcPr>
            <w:tcW w:w="660" w:type="dxa"/>
            <w:vAlign w:val="bottom"/>
          </w:tcPr>
          <w:p>
            <w:pPr>
              <w:jc w:val="center"/>
              <w:ind w:left="226"/>
              <w:spacing w:after="0"/>
              <w:rPr>
                <w:sz w:val="20"/>
                <w:szCs w:val="20"/>
                <w:color w:val="auto"/>
              </w:rPr>
            </w:pPr>
            <w:r>
              <w:rPr>
                <w:rFonts w:ascii="Arial" w:cs="Arial" w:eastAsia="Arial" w:hAnsi="Arial"/>
                <w:sz w:val="11"/>
                <w:szCs w:val="11"/>
                <w:color w:val="auto"/>
                <w:w w:val="96"/>
              </w:rPr>
              <w:t>33.5%</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113.9%</w:t>
            </w:r>
          </w:p>
        </w:tc>
      </w:tr>
      <w:tr>
        <w:trPr>
          <w:trHeight w:val="254"/>
        </w:trPr>
        <w:tc>
          <w:tcPr>
            <w:tcW w:w="4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Retained earnings</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344,510</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304,309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304,309</w:t>
            </w:r>
          </w:p>
        </w:tc>
        <w:tc>
          <w:tcPr>
            <w:tcW w:w="660" w:type="dxa"/>
            <w:vAlign w:val="bottom"/>
          </w:tcPr>
          <w:p>
            <w:pPr>
              <w:jc w:val="center"/>
              <w:ind w:left="206"/>
              <w:spacing w:after="0"/>
              <w:rPr>
                <w:sz w:val="20"/>
                <w:szCs w:val="20"/>
                <w:color w:val="auto"/>
              </w:rPr>
            </w:pPr>
            <w:r>
              <w:rPr>
                <w:rFonts w:ascii="Arial" w:cs="Arial" w:eastAsia="Arial" w:hAnsi="Arial"/>
                <w:sz w:val="11"/>
                <w:szCs w:val="11"/>
                <w:color w:val="auto"/>
                <w:w w:val="95"/>
              </w:rPr>
              <w:t>0.0%</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-11.7%</w:t>
            </w:r>
          </w:p>
        </w:tc>
      </w:tr>
      <w:tr>
        <w:trPr>
          <w:trHeight w:val="132"/>
        </w:trPr>
        <w:tc>
          <w:tcPr>
            <w:tcW w:w="4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Net Income for the Period</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108,604</w:t>
            </w:r>
          </w:p>
        </w:tc>
        <w:tc>
          <w:tcPr>
            <w:tcW w:w="960" w:type="dxa"/>
            <w:vAlign w:val="bottom"/>
          </w:tcPr>
          <w:p>
            <w:pPr>
              <w:jc w:val="center"/>
              <w:spacing w:after="0"/>
              <w:rPr>
                <w:sz w:val="20"/>
                <w:szCs w:val="20"/>
                <w:color w:val="auto"/>
              </w:rPr>
            </w:pPr>
            <w:r>
              <w:rPr>
                <w:rFonts w:ascii="Arial" w:cs="Arial" w:eastAsia="Arial" w:hAnsi="Arial"/>
                <w:sz w:val="11"/>
                <w:szCs w:val="11"/>
                <w:color w:val="auto"/>
              </w:rPr>
              <w:t>65,630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112,219</w:t>
            </w:r>
          </w:p>
        </w:tc>
        <w:tc>
          <w:tcPr>
            <w:tcW w:w="660" w:type="dxa"/>
            <w:vAlign w:val="bottom"/>
          </w:tcPr>
          <w:p>
            <w:pPr>
              <w:jc w:val="center"/>
              <w:ind w:left="226"/>
              <w:spacing w:after="0"/>
              <w:rPr>
                <w:sz w:val="20"/>
                <w:szCs w:val="20"/>
                <w:color w:val="auto"/>
              </w:rPr>
            </w:pPr>
            <w:r>
              <w:rPr>
                <w:rFonts w:ascii="Arial" w:cs="Arial" w:eastAsia="Arial" w:hAnsi="Arial"/>
                <w:sz w:val="11"/>
                <w:szCs w:val="11"/>
                <w:color w:val="auto"/>
                <w:w w:val="96"/>
              </w:rPr>
              <w:t>71.0%</w:t>
            </w:r>
          </w:p>
        </w:tc>
        <w:tc>
          <w:tcPr>
            <w:tcW w:w="12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3.3%</w:t>
            </w:r>
          </w:p>
        </w:tc>
      </w:tr>
      <w:tr>
        <w:trPr>
          <w:trHeight w:val="132"/>
        </w:trPr>
        <w:tc>
          <w:tcPr>
            <w:tcW w:w="47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Total Liabilities and Equity</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730,960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587,353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646,834</w:t>
            </w:r>
          </w:p>
        </w:tc>
        <w:tc>
          <w:tcPr>
            <w:tcW w:w="660" w:type="dxa"/>
            <w:vAlign w:val="bottom"/>
            <w:tcBorders>
              <w:bottom w:val="single" w:sz="8" w:color="auto"/>
            </w:tcBorders>
          </w:tcPr>
          <w:p>
            <w:pPr>
              <w:jc w:val="center"/>
              <w:ind w:left="226"/>
              <w:spacing w:after="0"/>
              <w:rPr>
                <w:sz w:val="20"/>
                <w:szCs w:val="20"/>
                <w:color w:val="auto"/>
              </w:rPr>
            </w:pPr>
            <w:r>
              <w:rPr>
                <w:rFonts w:ascii="Arial" w:cs="Arial" w:eastAsia="Arial" w:hAnsi="Arial"/>
                <w:sz w:val="11"/>
                <w:szCs w:val="11"/>
                <w:b w:val="1"/>
                <w:bCs w:val="1"/>
                <w:color w:val="auto"/>
                <w:w w:val="96"/>
              </w:rPr>
              <w:t>10.1%</w:t>
            </w:r>
          </w:p>
        </w:tc>
        <w:tc>
          <w:tcPr>
            <w:tcW w:w="1200" w:type="dxa"/>
            <w:vAlign w:val="bottom"/>
            <w:tcBorders>
              <w:bottom w:val="single" w:sz="8" w:color="auto"/>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7"/>
              </w:rPr>
              <w:t>-11.5%</w:t>
            </w:r>
          </w:p>
        </w:tc>
      </w:tr>
    </w:tbl>
    <w:p>
      <w:pPr>
        <w:spacing w:after="0" w:line="167"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Statement of Income</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(S/ Thousands, IFRS)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000" w:type="dxa"/>
            <w:vAlign w:val="bottom"/>
            <w:tcBorders>
              <w:top w:val="single" w:sz="8" w:color="auto"/>
              <w:left w:val="single" w:sz="8" w:color="auto"/>
              <w:right w:val="single" w:sz="8" w:color="auto"/>
            </w:tcBorders>
            <w:shd w:val="clear" w:color="auto" w:fill="33CCCC"/>
          </w:tcPr>
          <w:p>
            <w:pPr>
              <w:spacing w:after="0"/>
              <w:rPr>
                <w:sz w:val="12"/>
                <w:szCs w:val="12"/>
                <w:color w:val="auto"/>
              </w:rPr>
            </w:pPr>
          </w:p>
        </w:tc>
        <w:tc>
          <w:tcPr>
            <w:tcW w:w="840" w:type="dxa"/>
            <w:vAlign w:val="bottom"/>
            <w:tcBorders>
              <w:top w:val="single" w:sz="8" w:color="auto"/>
            </w:tcBorders>
            <w:shd w:val="clear" w:color="auto" w:fill="33CCCC"/>
          </w:tcPr>
          <w:p>
            <w:pPr>
              <w:spacing w:after="0"/>
              <w:rPr>
                <w:sz w:val="12"/>
                <w:szCs w:val="12"/>
                <w:color w:val="auto"/>
              </w:rPr>
            </w:pPr>
          </w:p>
        </w:tc>
        <w:tc>
          <w:tcPr>
            <w:tcW w:w="1040" w:type="dxa"/>
            <w:vAlign w:val="bottom"/>
            <w:tcBorders>
              <w:top w:val="single" w:sz="8" w:color="auto"/>
              <w:right w:val="single" w:sz="8" w:color="33CCCC"/>
            </w:tcBorders>
            <w:shd w:val="clear" w:color="auto" w:fill="33CCCC"/>
          </w:tcPr>
          <w:p>
            <w:pPr>
              <w:ind w:left="360"/>
              <w:spacing w:after="0"/>
              <w:rPr>
                <w:sz w:val="20"/>
                <w:szCs w:val="20"/>
                <w:color w:val="auto"/>
              </w:rPr>
            </w:pPr>
            <w:r>
              <w:rPr>
                <w:rFonts w:ascii="Arial" w:cs="Arial" w:eastAsia="Arial" w:hAnsi="Arial"/>
                <w:sz w:val="11"/>
                <w:szCs w:val="11"/>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12"/>
                <w:szCs w:val="12"/>
                <w:color w:val="auto"/>
              </w:rPr>
            </w:pPr>
          </w:p>
        </w:tc>
        <w:tc>
          <w:tcPr>
            <w:tcW w:w="1900" w:type="dxa"/>
            <w:vAlign w:val="bottom"/>
            <w:tcBorders>
              <w:top w:val="single" w:sz="8" w:color="auto"/>
              <w:right w:val="single" w:sz="8" w:color="auto"/>
            </w:tcBorders>
            <w:gridSpan w:val="2"/>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 change</w:t>
            </w:r>
          </w:p>
        </w:tc>
        <w:tc>
          <w:tcPr>
            <w:tcW w:w="760" w:type="dxa"/>
            <w:vAlign w:val="bottom"/>
            <w:tcBorders>
              <w:top w:val="single" w:sz="8" w:color="auto"/>
            </w:tcBorders>
            <w:shd w:val="clear" w:color="auto" w:fill="33CCCC"/>
          </w:tcPr>
          <w:p>
            <w:pPr>
              <w:spacing w:after="0"/>
              <w:rPr>
                <w:sz w:val="12"/>
                <w:szCs w:val="12"/>
                <w:color w:val="auto"/>
              </w:rPr>
            </w:pPr>
          </w:p>
        </w:tc>
        <w:tc>
          <w:tcPr>
            <w:tcW w:w="1120" w:type="dxa"/>
            <w:vAlign w:val="bottom"/>
            <w:tcBorders>
              <w:top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Up to</w:t>
            </w:r>
          </w:p>
        </w:tc>
        <w:tc>
          <w:tcPr>
            <w:tcW w:w="9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 change</w:t>
            </w:r>
          </w:p>
        </w:tc>
      </w:tr>
      <w:tr>
        <w:trPr>
          <w:trHeight w:val="132"/>
        </w:trPr>
        <w:tc>
          <w:tcPr>
            <w:tcW w:w="300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840" w:type="dxa"/>
            <w:vAlign w:val="bottom"/>
            <w:tcBorders>
              <w:bottom w:val="single" w:sz="8" w:color="auto"/>
            </w:tcBorders>
            <w:shd w:val="clear" w:color="auto" w:fill="33CCCC"/>
          </w:tcPr>
          <w:p>
            <w:pPr>
              <w:jc w:val="center"/>
              <w:ind w:left="6"/>
              <w:spacing w:after="0"/>
              <w:rPr>
                <w:sz w:val="20"/>
                <w:szCs w:val="20"/>
                <w:color w:val="auto"/>
              </w:rPr>
            </w:pPr>
            <w:r>
              <w:rPr>
                <w:rFonts w:ascii="Arial" w:cs="Arial" w:eastAsia="Arial" w:hAnsi="Arial"/>
                <w:sz w:val="11"/>
                <w:szCs w:val="11"/>
                <w:b w:val="1"/>
                <w:bCs w:val="1"/>
                <w:color w:val="FFFFFF"/>
                <w:w w:val="96"/>
              </w:rPr>
              <w:t>3Q24</w:t>
            </w:r>
          </w:p>
        </w:tc>
        <w:tc>
          <w:tcPr>
            <w:tcW w:w="1040" w:type="dxa"/>
            <w:vAlign w:val="bottom"/>
            <w:tcBorders>
              <w:bottom w:val="single" w:sz="8" w:color="auto"/>
              <w:right w:val="single" w:sz="8" w:color="33CCCC"/>
            </w:tcBorders>
            <w:shd w:val="clear" w:color="auto" w:fill="33CCCC"/>
          </w:tcPr>
          <w:p>
            <w:pPr>
              <w:jc w:val="center"/>
              <w:ind w:left="4"/>
              <w:spacing w:after="0"/>
              <w:rPr>
                <w:sz w:val="20"/>
                <w:szCs w:val="20"/>
                <w:color w:val="auto"/>
              </w:rPr>
            </w:pPr>
            <w:r>
              <w:rPr>
                <w:rFonts w:ascii="Arial" w:cs="Arial" w:eastAsia="Arial" w:hAnsi="Arial"/>
                <w:sz w:val="11"/>
                <w:szCs w:val="11"/>
                <w:b w:val="1"/>
                <w:bCs w:val="1"/>
                <w:color w:val="FFFFFF"/>
                <w:w w:val="96"/>
              </w:rPr>
              <w:t>2Q25</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3Q25</w:t>
            </w:r>
          </w:p>
        </w:tc>
        <w:tc>
          <w:tcPr>
            <w:tcW w:w="1140" w:type="dxa"/>
            <w:vAlign w:val="bottom"/>
            <w:tcBorders>
              <w:bottom w:val="single" w:sz="8" w:color="auto"/>
            </w:tcBorders>
            <w:shd w:val="clear" w:color="auto" w:fill="33CCCC"/>
          </w:tcPr>
          <w:p>
            <w:pPr>
              <w:jc w:val="center"/>
              <w:ind w:right="164"/>
              <w:spacing w:after="0"/>
              <w:rPr>
                <w:sz w:val="20"/>
                <w:szCs w:val="20"/>
                <w:color w:val="auto"/>
              </w:rPr>
            </w:pPr>
            <w:r>
              <w:rPr>
                <w:rFonts w:ascii="Arial" w:cs="Arial" w:eastAsia="Arial" w:hAnsi="Arial"/>
                <w:sz w:val="11"/>
                <w:szCs w:val="11"/>
                <w:b w:val="1"/>
                <w:bCs w:val="1"/>
                <w:color w:val="FFFFFF"/>
              </w:rPr>
              <w:t>QoQ</w:t>
            </w:r>
          </w:p>
        </w:tc>
        <w:tc>
          <w:tcPr>
            <w:tcW w:w="760" w:type="dxa"/>
            <w:vAlign w:val="bottom"/>
            <w:tcBorders>
              <w:bottom w:val="single" w:sz="8" w:color="auto"/>
              <w:right w:val="single" w:sz="8" w:color="auto"/>
            </w:tcBorders>
            <w:shd w:val="clear" w:color="auto" w:fill="33CCCC"/>
          </w:tcPr>
          <w:p>
            <w:pPr>
              <w:jc w:val="center"/>
              <w:ind w:right="184"/>
              <w:spacing w:after="0"/>
              <w:rPr>
                <w:sz w:val="20"/>
                <w:szCs w:val="20"/>
                <w:color w:val="auto"/>
              </w:rPr>
            </w:pPr>
            <w:r>
              <w:rPr>
                <w:rFonts w:ascii="Arial" w:cs="Arial" w:eastAsia="Arial" w:hAnsi="Arial"/>
                <w:sz w:val="11"/>
                <w:szCs w:val="11"/>
                <w:b w:val="1"/>
                <w:bCs w:val="1"/>
                <w:color w:val="FFFFFF"/>
                <w:w w:val="93"/>
              </w:rPr>
              <w:t>YoY</w:t>
            </w:r>
          </w:p>
        </w:tc>
        <w:tc>
          <w:tcPr>
            <w:tcW w:w="760" w:type="dxa"/>
            <w:vAlign w:val="bottom"/>
            <w:tcBorders>
              <w:bottom w:val="single" w:sz="8" w:color="auto"/>
            </w:tcBorders>
            <w:shd w:val="clear" w:color="auto" w:fill="33CCCC"/>
          </w:tcPr>
          <w:p>
            <w:pPr>
              <w:jc w:val="center"/>
              <w:ind w:left="84"/>
              <w:spacing w:after="0"/>
              <w:rPr>
                <w:sz w:val="20"/>
                <w:szCs w:val="20"/>
                <w:color w:val="auto"/>
              </w:rPr>
            </w:pPr>
            <w:r>
              <w:rPr>
                <w:rFonts w:ascii="Arial" w:cs="Arial" w:eastAsia="Arial" w:hAnsi="Arial"/>
                <w:sz w:val="11"/>
                <w:szCs w:val="11"/>
                <w:b w:val="1"/>
                <w:bCs w:val="1"/>
                <w:color w:val="FFFFFF"/>
                <w:w w:val="95"/>
              </w:rPr>
              <w:t>Sep 24</w:t>
            </w:r>
          </w:p>
        </w:tc>
        <w:tc>
          <w:tcPr>
            <w:tcW w:w="1120" w:type="dxa"/>
            <w:vAlign w:val="bottom"/>
            <w:tcBorders>
              <w:bottom w:val="single" w:sz="8" w:color="auto"/>
              <w:right w:val="single" w:sz="8" w:color="auto"/>
            </w:tcBorders>
            <w:shd w:val="clear" w:color="auto" w:fill="33CCCC"/>
          </w:tcPr>
          <w:p>
            <w:pPr>
              <w:jc w:val="center"/>
              <w:ind w:left="84"/>
              <w:spacing w:after="0"/>
              <w:rPr>
                <w:sz w:val="20"/>
                <w:szCs w:val="20"/>
                <w:color w:val="auto"/>
              </w:rPr>
            </w:pPr>
            <w:r>
              <w:rPr>
                <w:rFonts w:ascii="Arial" w:cs="Arial" w:eastAsia="Arial" w:hAnsi="Arial"/>
                <w:sz w:val="11"/>
                <w:szCs w:val="11"/>
                <w:b w:val="1"/>
                <w:bCs w:val="1"/>
                <w:color w:val="FFFFFF"/>
                <w:w w:val="95"/>
              </w:rPr>
              <w:t>Sep 25</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9"/>
              </w:rPr>
              <w:t>Sep 25 / Sep 24</w:t>
            </w:r>
          </w:p>
        </w:tc>
      </w:tr>
      <w:tr>
        <w:trPr>
          <w:trHeight w:val="124"/>
        </w:trPr>
        <w:tc>
          <w:tcPr>
            <w:tcW w:w="300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Financial income</w:t>
            </w:r>
          </w:p>
        </w:tc>
        <w:tc>
          <w:tcPr>
            <w:tcW w:w="840" w:type="dxa"/>
            <w:vAlign w:val="bottom"/>
          </w:tcPr>
          <w:p>
            <w:pPr>
              <w:jc w:val="center"/>
              <w:ind w:left="6"/>
              <w:spacing w:after="0" w:line="124" w:lineRule="exact"/>
              <w:rPr>
                <w:sz w:val="20"/>
                <w:szCs w:val="20"/>
                <w:color w:val="auto"/>
              </w:rPr>
            </w:pPr>
            <w:r>
              <w:rPr>
                <w:rFonts w:ascii="Arial" w:cs="Arial" w:eastAsia="Arial" w:hAnsi="Arial"/>
                <w:sz w:val="11"/>
                <w:szCs w:val="11"/>
                <w:color w:val="auto"/>
                <w:w w:val="94"/>
              </w:rPr>
              <w:t>1,429</w:t>
            </w:r>
          </w:p>
        </w:tc>
        <w:tc>
          <w:tcPr>
            <w:tcW w:w="1040" w:type="dxa"/>
            <w:vAlign w:val="bottom"/>
          </w:tcPr>
          <w:p>
            <w:pPr>
              <w:jc w:val="center"/>
              <w:ind w:left="4"/>
              <w:spacing w:after="0" w:line="124" w:lineRule="exact"/>
              <w:rPr>
                <w:sz w:val="20"/>
                <w:szCs w:val="20"/>
                <w:color w:val="auto"/>
              </w:rPr>
            </w:pPr>
            <w:r>
              <w:rPr>
                <w:rFonts w:ascii="Arial" w:cs="Arial" w:eastAsia="Arial" w:hAnsi="Arial"/>
                <w:sz w:val="11"/>
                <w:szCs w:val="11"/>
                <w:color w:val="auto"/>
                <w:w w:val="97"/>
              </w:rPr>
              <w:t>557</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432</w:t>
            </w:r>
          </w:p>
        </w:tc>
        <w:tc>
          <w:tcPr>
            <w:tcW w:w="1140" w:type="dxa"/>
            <w:vAlign w:val="bottom"/>
          </w:tcPr>
          <w:p>
            <w:pPr>
              <w:jc w:val="center"/>
              <w:ind w:right="184"/>
              <w:spacing w:after="0" w:line="124" w:lineRule="exact"/>
              <w:rPr>
                <w:sz w:val="20"/>
                <w:szCs w:val="20"/>
                <w:color w:val="auto"/>
              </w:rPr>
            </w:pPr>
            <w:r>
              <w:rPr>
                <w:rFonts w:ascii="Arial" w:cs="Arial" w:eastAsia="Arial" w:hAnsi="Arial"/>
                <w:sz w:val="11"/>
                <w:szCs w:val="11"/>
                <w:color w:val="auto"/>
                <w:w w:val="97"/>
              </w:rPr>
              <w:t>-22.4%</w:t>
            </w:r>
          </w:p>
        </w:tc>
        <w:tc>
          <w:tcPr>
            <w:tcW w:w="760" w:type="dxa"/>
            <w:vAlign w:val="bottom"/>
            <w:tcBorders>
              <w:right w:val="single" w:sz="8" w:color="auto"/>
            </w:tcBorders>
          </w:tcPr>
          <w:p>
            <w:pPr>
              <w:jc w:val="center"/>
              <w:ind w:right="204"/>
              <w:spacing w:after="0" w:line="124" w:lineRule="exact"/>
              <w:rPr>
                <w:sz w:val="20"/>
                <w:szCs w:val="20"/>
                <w:color w:val="auto"/>
              </w:rPr>
            </w:pPr>
            <w:r>
              <w:rPr>
                <w:rFonts w:ascii="Arial" w:cs="Arial" w:eastAsia="Arial" w:hAnsi="Arial"/>
                <w:sz w:val="11"/>
                <w:szCs w:val="11"/>
                <w:color w:val="auto"/>
                <w:w w:val="97"/>
              </w:rPr>
              <w:t>-69.8%</w:t>
            </w:r>
          </w:p>
        </w:tc>
        <w:tc>
          <w:tcPr>
            <w:tcW w:w="760" w:type="dxa"/>
            <w:vAlign w:val="bottom"/>
          </w:tcPr>
          <w:p>
            <w:pPr>
              <w:jc w:val="center"/>
              <w:ind w:left="84"/>
              <w:spacing w:after="0" w:line="124" w:lineRule="exact"/>
              <w:rPr>
                <w:sz w:val="20"/>
                <w:szCs w:val="20"/>
                <w:color w:val="auto"/>
              </w:rPr>
            </w:pPr>
            <w:r>
              <w:rPr>
                <w:rFonts w:ascii="Arial" w:cs="Arial" w:eastAsia="Arial" w:hAnsi="Arial"/>
                <w:sz w:val="11"/>
                <w:szCs w:val="11"/>
                <w:color w:val="auto"/>
                <w:w w:val="94"/>
              </w:rPr>
              <w:t>3,892</w:t>
            </w:r>
          </w:p>
        </w:tc>
        <w:tc>
          <w:tcPr>
            <w:tcW w:w="1120" w:type="dxa"/>
            <w:vAlign w:val="bottom"/>
            <w:tcBorders>
              <w:right w:val="single" w:sz="8" w:color="auto"/>
            </w:tcBorders>
          </w:tcPr>
          <w:p>
            <w:pPr>
              <w:jc w:val="center"/>
              <w:ind w:left="84"/>
              <w:spacing w:after="0" w:line="124" w:lineRule="exact"/>
              <w:rPr>
                <w:sz w:val="20"/>
                <w:szCs w:val="20"/>
                <w:color w:val="auto"/>
              </w:rPr>
            </w:pPr>
            <w:r>
              <w:rPr>
                <w:rFonts w:ascii="Arial" w:cs="Arial" w:eastAsia="Arial" w:hAnsi="Arial"/>
                <w:sz w:val="11"/>
                <w:szCs w:val="11"/>
                <w:color w:val="auto"/>
                <w:w w:val="94"/>
              </w:rPr>
              <w:t>2,470</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-36.5%</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Financial expenses</w:t>
            </w:r>
          </w:p>
        </w:tc>
        <w:tc>
          <w:tcPr>
            <w:tcW w:w="840" w:type="dxa"/>
            <w:vAlign w:val="bottom"/>
          </w:tcPr>
          <w:p>
            <w:pPr>
              <w:jc w:val="center"/>
              <w:ind w:left="6"/>
              <w:spacing w:after="0"/>
              <w:rPr>
                <w:sz w:val="20"/>
                <w:szCs w:val="20"/>
                <w:color w:val="auto"/>
              </w:rPr>
            </w:pPr>
            <w:r>
              <w:rPr>
                <w:rFonts w:ascii="Arial" w:cs="Arial" w:eastAsia="Arial" w:hAnsi="Arial"/>
                <w:sz w:val="11"/>
                <w:szCs w:val="11"/>
                <w:color w:val="auto"/>
                <w:w w:val="97"/>
              </w:rPr>
              <w:t>(1,055)</w:t>
            </w:r>
          </w:p>
        </w:tc>
        <w:tc>
          <w:tcPr>
            <w:tcW w:w="1040" w:type="dxa"/>
            <w:vAlign w:val="bottom"/>
          </w:tcPr>
          <w:p>
            <w:pPr>
              <w:jc w:val="center"/>
              <w:ind w:left="4"/>
              <w:spacing w:after="0"/>
              <w:rPr>
                <w:sz w:val="20"/>
                <w:szCs w:val="20"/>
                <w:color w:val="auto"/>
              </w:rPr>
            </w:pPr>
            <w:r>
              <w:rPr>
                <w:rFonts w:ascii="Arial" w:cs="Arial" w:eastAsia="Arial" w:hAnsi="Arial"/>
                <w:sz w:val="11"/>
                <w:szCs w:val="11"/>
                <w:color w:val="auto"/>
              </w:rPr>
              <w:t>(518)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(910)</w:t>
            </w:r>
          </w:p>
        </w:tc>
        <w:tc>
          <w:tcPr>
            <w:tcW w:w="1140" w:type="dxa"/>
            <w:vAlign w:val="bottom"/>
          </w:tcPr>
          <w:p>
            <w:pPr>
              <w:jc w:val="center"/>
              <w:ind w:right="184"/>
              <w:spacing w:after="0"/>
              <w:rPr>
                <w:sz w:val="20"/>
                <w:szCs w:val="20"/>
                <w:color w:val="auto"/>
              </w:rPr>
            </w:pPr>
            <w:r>
              <w:rPr>
                <w:rFonts w:ascii="Arial" w:cs="Arial" w:eastAsia="Arial" w:hAnsi="Arial"/>
                <w:sz w:val="11"/>
                <w:szCs w:val="11"/>
                <w:color w:val="auto"/>
                <w:w w:val="96"/>
              </w:rPr>
              <w:t>75.7%</w:t>
            </w:r>
          </w:p>
        </w:tc>
        <w:tc>
          <w:tcPr>
            <w:tcW w:w="760" w:type="dxa"/>
            <w:vAlign w:val="bottom"/>
            <w:tcBorders>
              <w:right w:val="single" w:sz="8" w:color="auto"/>
            </w:tcBorders>
          </w:tcPr>
          <w:p>
            <w:pPr>
              <w:jc w:val="center"/>
              <w:ind w:right="204"/>
              <w:spacing w:after="0"/>
              <w:rPr>
                <w:sz w:val="20"/>
                <w:szCs w:val="20"/>
                <w:color w:val="auto"/>
              </w:rPr>
            </w:pPr>
            <w:r>
              <w:rPr>
                <w:rFonts w:ascii="Arial" w:cs="Arial" w:eastAsia="Arial" w:hAnsi="Arial"/>
                <w:sz w:val="11"/>
                <w:szCs w:val="11"/>
                <w:color w:val="auto"/>
                <w:w w:val="97"/>
              </w:rPr>
              <w:t>-13.7%</w:t>
            </w:r>
          </w:p>
        </w:tc>
        <w:tc>
          <w:tcPr>
            <w:tcW w:w="760" w:type="dxa"/>
            <w:vAlign w:val="bottom"/>
          </w:tcPr>
          <w:p>
            <w:pPr>
              <w:jc w:val="center"/>
              <w:ind w:left="84"/>
              <w:spacing w:after="0"/>
              <w:rPr>
                <w:sz w:val="20"/>
                <w:szCs w:val="20"/>
                <w:color w:val="auto"/>
              </w:rPr>
            </w:pPr>
            <w:r>
              <w:rPr>
                <w:rFonts w:ascii="Arial" w:cs="Arial" w:eastAsia="Arial" w:hAnsi="Arial"/>
                <w:sz w:val="11"/>
                <w:szCs w:val="11"/>
                <w:color w:val="auto"/>
                <w:w w:val="97"/>
              </w:rPr>
              <w:t>(2,301)</w:t>
            </w:r>
          </w:p>
        </w:tc>
        <w:tc>
          <w:tcPr>
            <w:tcW w:w="1120" w:type="dxa"/>
            <w:vAlign w:val="bottom"/>
            <w:tcBorders>
              <w:right w:val="single" w:sz="8" w:color="auto"/>
            </w:tcBorders>
          </w:tcPr>
          <w:p>
            <w:pPr>
              <w:jc w:val="center"/>
              <w:ind w:left="84"/>
              <w:spacing w:after="0"/>
              <w:rPr>
                <w:sz w:val="20"/>
                <w:szCs w:val="20"/>
                <w:color w:val="auto"/>
              </w:rPr>
            </w:pPr>
            <w:r>
              <w:rPr>
                <w:rFonts w:ascii="Arial" w:cs="Arial" w:eastAsia="Arial" w:hAnsi="Arial"/>
                <w:sz w:val="11"/>
                <w:szCs w:val="11"/>
                <w:color w:val="auto"/>
                <w:w w:val="97"/>
              </w:rPr>
              <w:t>(1,881)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-18.3%</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Interest income, net</w:t>
            </w:r>
          </w:p>
        </w:tc>
        <w:tc>
          <w:tcPr>
            <w:tcW w:w="840" w:type="dxa"/>
            <w:vAlign w:val="bottom"/>
          </w:tcPr>
          <w:p>
            <w:pPr>
              <w:jc w:val="center"/>
              <w:ind w:left="6"/>
              <w:spacing w:after="0"/>
              <w:rPr>
                <w:sz w:val="20"/>
                <w:szCs w:val="20"/>
                <w:color w:val="auto"/>
              </w:rPr>
            </w:pPr>
            <w:r>
              <w:rPr>
                <w:rFonts w:ascii="Arial" w:cs="Arial" w:eastAsia="Arial" w:hAnsi="Arial"/>
                <w:sz w:val="11"/>
                <w:szCs w:val="11"/>
                <w:b w:val="1"/>
                <w:bCs w:val="1"/>
                <w:color w:val="auto"/>
                <w:w w:val="97"/>
              </w:rPr>
              <w:t>374</w:t>
            </w:r>
          </w:p>
        </w:tc>
        <w:tc>
          <w:tcPr>
            <w:tcW w:w="1040" w:type="dxa"/>
            <w:vAlign w:val="bottom"/>
          </w:tcPr>
          <w:p>
            <w:pPr>
              <w:jc w:val="center"/>
              <w:ind w:left="24"/>
              <w:spacing w:after="0"/>
              <w:rPr>
                <w:sz w:val="20"/>
                <w:szCs w:val="20"/>
                <w:color w:val="auto"/>
              </w:rPr>
            </w:pPr>
            <w:r>
              <w:rPr>
                <w:rFonts w:ascii="Arial" w:cs="Arial" w:eastAsia="Arial" w:hAnsi="Arial"/>
                <w:sz w:val="11"/>
                <w:szCs w:val="11"/>
                <w:b w:val="1"/>
                <w:bCs w:val="1"/>
                <w:color w:val="auto"/>
                <w:w w:val="97"/>
              </w:rPr>
              <w:t>39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(478)</w:t>
            </w:r>
          </w:p>
        </w:tc>
        <w:tc>
          <w:tcPr>
            <w:tcW w:w="1140" w:type="dxa"/>
            <w:vAlign w:val="bottom"/>
          </w:tcPr>
          <w:p>
            <w:pPr>
              <w:jc w:val="center"/>
              <w:ind w:right="164"/>
              <w:spacing w:after="0"/>
              <w:rPr>
                <w:sz w:val="20"/>
                <w:szCs w:val="20"/>
                <w:color w:val="auto"/>
              </w:rPr>
            </w:pPr>
            <w:r>
              <w:rPr>
                <w:rFonts w:ascii="Arial" w:cs="Arial" w:eastAsia="Arial" w:hAnsi="Arial"/>
                <w:sz w:val="11"/>
                <w:szCs w:val="11"/>
                <w:b w:val="1"/>
                <w:bCs w:val="1"/>
                <w:color w:val="auto"/>
              </w:rPr>
              <w:t>n.a.</w:t>
            </w:r>
          </w:p>
        </w:tc>
        <w:tc>
          <w:tcPr>
            <w:tcW w:w="760" w:type="dxa"/>
            <w:vAlign w:val="bottom"/>
            <w:tcBorders>
              <w:right w:val="single" w:sz="8" w:color="auto"/>
            </w:tcBorders>
          </w:tcPr>
          <w:p>
            <w:pPr>
              <w:jc w:val="center"/>
              <w:ind w:right="184"/>
              <w:spacing w:after="0"/>
              <w:rPr>
                <w:sz w:val="20"/>
                <w:szCs w:val="20"/>
                <w:color w:val="auto"/>
              </w:rPr>
            </w:pPr>
            <w:r>
              <w:rPr>
                <w:rFonts w:ascii="Arial" w:cs="Arial" w:eastAsia="Arial" w:hAnsi="Arial"/>
                <w:sz w:val="11"/>
                <w:szCs w:val="11"/>
                <w:b w:val="1"/>
                <w:bCs w:val="1"/>
                <w:color w:val="auto"/>
                <w:w w:val="97"/>
              </w:rPr>
              <w:t>-227.8%</w:t>
            </w:r>
          </w:p>
        </w:tc>
        <w:tc>
          <w:tcPr>
            <w:tcW w:w="760" w:type="dxa"/>
            <w:vAlign w:val="bottom"/>
          </w:tcPr>
          <w:p>
            <w:pPr>
              <w:jc w:val="center"/>
              <w:ind w:left="84"/>
              <w:spacing w:after="0"/>
              <w:rPr>
                <w:sz w:val="20"/>
                <w:szCs w:val="20"/>
                <w:color w:val="auto"/>
              </w:rPr>
            </w:pPr>
            <w:r>
              <w:rPr>
                <w:rFonts w:ascii="Arial" w:cs="Arial" w:eastAsia="Arial" w:hAnsi="Arial"/>
                <w:sz w:val="11"/>
                <w:szCs w:val="11"/>
                <w:b w:val="1"/>
                <w:bCs w:val="1"/>
                <w:color w:val="auto"/>
                <w:w w:val="94"/>
              </w:rPr>
              <w:t>1,591</w:t>
            </w:r>
          </w:p>
        </w:tc>
        <w:tc>
          <w:tcPr>
            <w:tcW w:w="1120" w:type="dxa"/>
            <w:vAlign w:val="bottom"/>
            <w:tcBorders>
              <w:right w:val="single" w:sz="8" w:color="auto"/>
            </w:tcBorders>
          </w:tcPr>
          <w:p>
            <w:pPr>
              <w:jc w:val="center"/>
              <w:ind w:left="84"/>
              <w:spacing w:after="0"/>
              <w:rPr>
                <w:sz w:val="20"/>
                <w:szCs w:val="20"/>
                <w:color w:val="auto"/>
              </w:rPr>
            </w:pPr>
            <w:r>
              <w:rPr>
                <w:rFonts w:ascii="Arial" w:cs="Arial" w:eastAsia="Arial" w:hAnsi="Arial"/>
                <w:sz w:val="11"/>
                <w:szCs w:val="11"/>
                <w:b w:val="1"/>
                <w:bCs w:val="1"/>
                <w:color w:val="auto"/>
                <w:w w:val="97"/>
              </w:rPr>
              <w:t>589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-63.0%</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Fee income</w:t>
            </w:r>
          </w:p>
        </w:tc>
        <w:tc>
          <w:tcPr>
            <w:tcW w:w="840" w:type="dxa"/>
            <w:vAlign w:val="bottom"/>
          </w:tcPr>
          <w:p>
            <w:pPr>
              <w:jc w:val="center"/>
              <w:ind w:left="6"/>
              <w:spacing w:after="0"/>
              <w:rPr>
                <w:sz w:val="20"/>
                <w:szCs w:val="20"/>
                <w:color w:val="auto"/>
              </w:rPr>
            </w:pPr>
            <w:r>
              <w:rPr>
                <w:rFonts w:ascii="Arial" w:cs="Arial" w:eastAsia="Arial" w:hAnsi="Arial"/>
                <w:sz w:val="11"/>
                <w:szCs w:val="11"/>
                <w:color w:val="auto"/>
              </w:rPr>
              <w:t>90,748</w:t>
            </w:r>
          </w:p>
        </w:tc>
        <w:tc>
          <w:tcPr>
            <w:tcW w:w="1040" w:type="dxa"/>
            <w:vAlign w:val="bottom"/>
          </w:tcPr>
          <w:p>
            <w:pPr>
              <w:jc w:val="center"/>
              <w:ind w:left="4"/>
              <w:spacing w:after="0"/>
              <w:rPr>
                <w:sz w:val="20"/>
                <w:szCs w:val="20"/>
                <w:color w:val="auto"/>
              </w:rPr>
            </w:pPr>
            <w:r>
              <w:rPr>
                <w:rFonts w:ascii="Arial" w:cs="Arial" w:eastAsia="Arial" w:hAnsi="Arial"/>
                <w:sz w:val="11"/>
                <w:szCs w:val="11"/>
                <w:color w:val="auto"/>
              </w:rPr>
              <w:t>97,233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95,006</w:t>
            </w:r>
          </w:p>
        </w:tc>
        <w:tc>
          <w:tcPr>
            <w:tcW w:w="1140" w:type="dxa"/>
            <w:vAlign w:val="bottom"/>
          </w:tcPr>
          <w:p>
            <w:pPr>
              <w:jc w:val="center"/>
              <w:ind w:right="164"/>
              <w:spacing w:after="0"/>
              <w:rPr>
                <w:sz w:val="20"/>
                <w:szCs w:val="20"/>
                <w:color w:val="auto"/>
              </w:rPr>
            </w:pPr>
            <w:r>
              <w:rPr>
                <w:rFonts w:ascii="Arial" w:cs="Arial" w:eastAsia="Arial" w:hAnsi="Arial"/>
                <w:sz w:val="11"/>
                <w:szCs w:val="11"/>
                <w:color w:val="auto"/>
                <w:w w:val="97"/>
              </w:rPr>
              <w:t>-2.3%</w:t>
            </w:r>
          </w:p>
        </w:tc>
        <w:tc>
          <w:tcPr>
            <w:tcW w:w="760" w:type="dxa"/>
            <w:vAlign w:val="bottom"/>
            <w:tcBorders>
              <w:right w:val="single" w:sz="8" w:color="auto"/>
            </w:tcBorders>
          </w:tcPr>
          <w:p>
            <w:pPr>
              <w:jc w:val="center"/>
              <w:ind w:right="184"/>
              <w:spacing w:after="0"/>
              <w:rPr>
                <w:sz w:val="20"/>
                <w:szCs w:val="20"/>
                <w:color w:val="auto"/>
              </w:rPr>
            </w:pPr>
            <w:r>
              <w:rPr>
                <w:rFonts w:ascii="Arial" w:cs="Arial" w:eastAsia="Arial" w:hAnsi="Arial"/>
                <w:sz w:val="11"/>
                <w:szCs w:val="11"/>
                <w:color w:val="auto"/>
                <w:w w:val="95"/>
              </w:rPr>
              <w:t>4.7%</w:t>
            </w:r>
          </w:p>
        </w:tc>
        <w:tc>
          <w:tcPr>
            <w:tcW w:w="760" w:type="dxa"/>
            <w:vAlign w:val="bottom"/>
          </w:tcPr>
          <w:p>
            <w:pPr>
              <w:jc w:val="center"/>
              <w:ind w:left="84"/>
              <w:spacing w:after="0"/>
              <w:rPr>
                <w:sz w:val="20"/>
                <w:szCs w:val="20"/>
                <w:color w:val="auto"/>
              </w:rPr>
            </w:pPr>
            <w:r>
              <w:rPr>
                <w:rFonts w:ascii="Arial" w:cs="Arial" w:eastAsia="Arial" w:hAnsi="Arial"/>
                <w:sz w:val="11"/>
                <w:szCs w:val="11"/>
                <w:color w:val="auto"/>
                <w:w w:val="95"/>
              </w:rPr>
              <w:t>284,378</w:t>
            </w:r>
          </w:p>
        </w:tc>
        <w:tc>
          <w:tcPr>
            <w:tcW w:w="1120" w:type="dxa"/>
            <w:vAlign w:val="bottom"/>
            <w:tcBorders>
              <w:right w:val="single" w:sz="8" w:color="auto"/>
            </w:tcBorders>
          </w:tcPr>
          <w:p>
            <w:pPr>
              <w:jc w:val="center"/>
              <w:ind w:left="84"/>
              <w:spacing w:after="0"/>
              <w:rPr>
                <w:sz w:val="20"/>
                <w:szCs w:val="20"/>
                <w:color w:val="auto"/>
              </w:rPr>
            </w:pPr>
            <w:r>
              <w:rPr>
                <w:rFonts w:ascii="Arial" w:cs="Arial" w:eastAsia="Arial" w:hAnsi="Arial"/>
                <w:sz w:val="11"/>
                <w:szCs w:val="11"/>
                <w:color w:val="auto"/>
                <w:w w:val="95"/>
              </w:rPr>
              <w:t>286,311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0.7%</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Net gain (loss) on securities</w:t>
            </w:r>
          </w:p>
        </w:tc>
        <w:tc>
          <w:tcPr>
            <w:tcW w:w="840" w:type="dxa"/>
            <w:vAlign w:val="bottom"/>
          </w:tcPr>
          <w:p>
            <w:pPr>
              <w:jc w:val="center"/>
              <w:ind w:left="6"/>
              <w:spacing w:after="0"/>
              <w:rPr>
                <w:sz w:val="20"/>
                <w:szCs w:val="20"/>
                <w:color w:val="auto"/>
              </w:rPr>
            </w:pPr>
            <w:r>
              <w:rPr>
                <w:rFonts w:ascii="Arial" w:cs="Arial" w:eastAsia="Arial" w:hAnsi="Arial"/>
                <w:sz w:val="11"/>
                <w:szCs w:val="11"/>
                <w:color w:val="auto"/>
                <w:w w:val="94"/>
              </w:rPr>
              <w:t>2,579</w:t>
            </w:r>
          </w:p>
        </w:tc>
        <w:tc>
          <w:tcPr>
            <w:tcW w:w="1040" w:type="dxa"/>
            <w:vAlign w:val="bottom"/>
          </w:tcPr>
          <w:p>
            <w:pPr>
              <w:jc w:val="center"/>
              <w:ind w:left="4"/>
              <w:spacing w:after="0"/>
              <w:rPr>
                <w:sz w:val="20"/>
                <w:szCs w:val="20"/>
                <w:color w:val="auto"/>
              </w:rPr>
            </w:pPr>
            <w:r>
              <w:rPr>
                <w:rFonts w:ascii="Arial" w:cs="Arial" w:eastAsia="Arial" w:hAnsi="Arial"/>
                <w:sz w:val="11"/>
                <w:szCs w:val="11"/>
                <w:color w:val="auto"/>
                <w:w w:val="94"/>
              </w:rPr>
              <w:t>8,618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19,532</w:t>
            </w:r>
          </w:p>
        </w:tc>
        <w:tc>
          <w:tcPr>
            <w:tcW w:w="1140" w:type="dxa"/>
            <w:vAlign w:val="bottom"/>
          </w:tcPr>
          <w:p>
            <w:pPr>
              <w:jc w:val="center"/>
              <w:ind w:right="184"/>
              <w:spacing w:after="0"/>
              <w:rPr>
                <w:sz w:val="20"/>
                <w:szCs w:val="20"/>
                <w:color w:val="auto"/>
              </w:rPr>
            </w:pPr>
            <w:r>
              <w:rPr>
                <w:rFonts w:ascii="Arial" w:cs="Arial" w:eastAsia="Arial" w:hAnsi="Arial"/>
                <w:sz w:val="11"/>
                <w:szCs w:val="11"/>
                <w:color w:val="auto"/>
                <w:w w:val="97"/>
              </w:rPr>
              <w:t>n.a.</w:t>
            </w:r>
          </w:p>
        </w:tc>
        <w:tc>
          <w:tcPr>
            <w:tcW w:w="760" w:type="dxa"/>
            <w:vAlign w:val="bottom"/>
            <w:tcBorders>
              <w:right w:val="single" w:sz="8" w:color="auto"/>
            </w:tcBorders>
          </w:tcPr>
          <w:p>
            <w:pPr>
              <w:jc w:val="center"/>
              <w:ind w:right="204"/>
              <w:spacing w:after="0"/>
              <w:rPr>
                <w:sz w:val="20"/>
                <w:szCs w:val="20"/>
                <w:color w:val="auto"/>
              </w:rPr>
            </w:pPr>
            <w:r>
              <w:rPr>
                <w:rFonts w:ascii="Arial" w:cs="Arial" w:eastAsia="Arial" w:hAnsi="Arial"/>
                <w:sz w:val="11"/>
                <w:szCs w:val="11"/>
                <w:color w:val="auto"/>
                <w:w w:val="97"/>
              </w:rPr>
              <w:t>n.a.</w:t>
            </w:r>
          </w:p>
        </w:tc>
        <w:tc>
          <w:tcPr>
            <w:tcW w:w="760" w:type="dxa"/>
            <w:vAlign w:val="bottom"/>
          </w:tcPr>
          <w:p>
            <w:pPr>
              <w:jc w:val="center"/>
              <w:ind w:left="84"/>
              <w:spacing w:after="0"/>
              <w:rPr>
                <w:sz w:val="20"/>
                <w:szCs w:val="20"/>
                <w:color w:val="auto"/>
              </w:rPr>
            </w:pPr>
            <w:r>
              <w:rPr>
                <w:rFonts w:ascii="Arial" w:cs="Arial" w:eastAsia="Arial" w:hAnsi="Arial"/>
                <w:sz w:val="11"/>
                <w:szCs w:val="11"/>
                <w:color w:val="auto"/>
                <w:w w:val="97"/>
              </w:rPr>
              <w:t>n.a.</w:t>
            </w:r>
          </w:p>
        </w:tc>
        <w:tc>
          <w:tcPr>
            <w:tcW w:w="1120" w:type="dxa"/>
            <w:vAlign w:val="bottom"/>
            <w:tcBorders>
              <w:right w:val="single" w:sz="8" w:color="auto"/>
            </w:tcBorders>
          </w:tcPr>
          <w:p>
            <w:pPr>
              <w:jc w:val="center"/>
              <w:ind w:left="84"/>
              <w:spacing w:after="0"/>
              <w:rPr>
                <w:sz w:val="20"/>
                <w:szCs w:val="20"/>
                <w:color w:val="auto"/>
              </w:rPr>
            </w:pPr>
            <w:r>
              <w:rPr>
                <w:rFonts w:ascii="Arial" w:cs="Arial" w:eastAsia="Arial" w:hAnsi="Arial"/>
                <w:sz w:val="11"/>
                <w:szCs w:val="11"/>
                <w:color w:val="auto"/>
                <w:w w:val="97"/>
              </w:rPr>
              <w:t>n.a.</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n.a.</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Net gain (loss) from exchange differences</w:t>
            </w:r>
          </w:p>
        </w:tc>
        <w:tc>
          <w:tcPr>
            <w:tcW w:w="840" w:type="dxa"/>
            <w:vAlign w:val="bottom"/>
          </w:tcPr>
          <w:p>
            <w:pPr>
              <w:jc w:val="center"/>
              <w:ind w:left="6"/>
              <w:spacing w:after="0"/>
              <w:rPr>
                <w:sz w:val="20"/>
                <w:szCs w:val="20"/>
                <w:color w:val="auto"/>
              </w:rPr>
            </w:pPr>
            <w:r>
              <w:rPr>
                <w:rFonts w:ascii="Arial" w:cs="Arial" w:eastAsia="Arial" w:hAnsi="Arial"/>
                <w:sz w:val="11"/>
                <w:szCs w:val="11"/>
                <w:color w:val="auto"/>
                <w:w w:val="97"/>
              </w:rPr>
              <w:t>110</w:t>
            </w:r>
          </w:p>
        </w:tc>
        <w:tc>
          <w:tcPr>
            <w:tcW w:w="1040" w:type="dxa"/>
            <w:vAlign w:val="bottom"/>
          </w:tcPr>
          <w:p>
            <w:pPr>
              <w:jc w:val="center"/>
              <w:ind w:left="4"/>
              <w:spacing w:after="0"/>
              <w:rPr>
                <w:sz w:val="20"/>
                <w:szCs w:val="20"/>
                <w:color w:val="auto"/>
              </w:rPr>
            </w:pPr>
            <w:r>
              <w:rPr>
                <w:rFonts w:ascii="Arial" w:cs="Arial" w:eastAsia="Arial" w:hAnsi="Arial"/>
                <w:sz w:val="11"/>
                <w:szCs w:val="11"/>
                <w:color w:val="auto"/>
                <w:w w:val="97"/>
              </w:rPr>
              <w:t>202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226</w:t>
            </w:r>
          </w:p>
        </w:tc>
        <w:tc>
          <w:tcPr>
            <w:tcW w:w="1140" w:type="dxa"/>
            <w:vAlign w:val="bottom"/>
          </w:tcPr>
          <w:p>
            <w:pPr>
              <w:jc w:val="center"/>
              <w:ind w:right="184"/>
              <w:spacing w:after="0"/>
              <w:rPr>
                <w:sz w:val="20"/>
                <w:szCs w:val="20"/>
                <w:color w:val="auto"/>
              </w:rPr>
            </w:pPr>
            <w:r>
              <w:rPr>
                <w:rFonts w:ascii="Arial" w:cs="Arial" w:eastAsia="Arial" w:hAnsi="Arial"/>
                <w:sz w:val="11"/>
                <w:szCs w:val="11"/>
                <w:color w:val="auto"/>
                <w:w w:val="97"/>
              </w:rPr>
              <w:t>n.a.</w:t>
            </w:r>
          </w:p>
        </w:tc>
        <w:tc>
          <w:tcPr>
            <w:tcW w:w="760" w:type="dxa"/>
            <w:vAlign w:val="bottom"/>
            <w:tcBorders>
              <w:right w:val="single" w:sz="8" w:color="auto"/>
            </w:tcBorders>
          </w:tcPr>
          <w:p>
            <w:pPr>
              <w:jc w:val="center"/>
              <w:ind w:right="204"/>
              <w:spacing w:after="0"/>
              <w:rPr>
                <w:sz w:val="20"/>
                <w:szCs w:val="20"/>
                <w:color w:val="auto"/>
              </w:rPr>
            </w:pPr>
            <w:r>
              <w:rPr>
                <w:rFonts w:ascii="Arial" w:cs="Arial" w:eastAsia="Arial" w:hAnsi="Arial"/>
                <w:sz w:val="11"/>
                <w:szCs w:val="11"/>
                <w:color w:val="auto"/>
                <w:w w:val="97"/>
              </w:rPr>
              <w:t>n.a.</w:t>
            </w:r>
          </w:p>
        </w:tc>
        <w:tc>
          <w:tcPr>
            <w:tcW w:w="760" w:type="dxa"/>
            <w:vAlign w:val="bottom"/>
          </w:tcPr>
          <w:p>
            <w:pPr>
              <w:jc w:val="center"/>
              <w:ind w:left="84"/>
              <w:spacing w:after="0"/>
              <w:rPr>
                <w:sz w:val="20"/>
                <w:szCs w:val="20"/>
                <w:color w:val="auto"/>
              </w:rPr>
            </w:pPr>
            <w:r>
              <w:rPr>
                <w:rFonts w:ascii="Arial" w:cs="Arial" w:eastAsia="Arial" w:hAnsi="Arial"/>
                <w:sz w:val="11"/>
                <w:szCs w:val="11"/>
                <w:color w:val="auto"/>
                <w:w w:val="97"/>
              </w:rPr>
              <w:t>n.a.</w:t>
            </w:r>
          </w:p>
        </w:tc>
        <w:tc>
          <w:tcPr>
            <w:tcW w:w="1120" w:type="dxa"/>
            <w:vAlign w:val="bottom"/>
            <w:tcBorders>
              <w:right w:val="single" w:sz="8" w:color="auto"/>
            </w:tcBorders>
          </w:tcPr>
          <w:p>
            <w:pPr>
              <w:jc w:val="center"/>
              <w:ind w:left="84"/>
              <w:spacing w:after="0"/>
              <w:rPr>
                <w:sz w:val="20"/>
                <w:szCs w:val="20"/>
                <w:color w:val="auto"/>
              </w:rPr>
            </w:pPr>
            <w:r>
              <w:rPr>
                <w:rFonts w:ascii="Arial" w:cs="Arial" w:eastAsia="Arial" w:hAnsi="Arial"/>
                <w:sz w:val="11"/>
                <w:szCs w:val="11"/>
                <w:color w:val="auto"/>
                <w:w w:val="97"/>
              </w:rPr>
              <w:t>n.a.</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n.a.</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Other income</w:t>
            </w:r>
          </w:p>
        </w:tc>
        <w:tc>
          <w:tcPr>
            <w:tcW w:w="840" w:type="dxa"/>
            <w:vAlign w:val="bottom"/>
          </w:tcPr>
          <w:p>
            <w:pPr>
              <w:jc w:val="center"/>
              <w:ind w:left="6"/>
              <w:spacing w:after="0"/>
              <w:rPr>
                <w:sz w:val="20"/>
                <w:szCs w:val="20"/>
                <w:color w:val="auto"/>
              </w:rPr>
            </w:pPr>
            <w:r>
              <w:rPr>
                <w:rFonts w:ascii="Arial" w:cs="Arial" w:eastAsia="Arial" w:hAnsi="Arial"/>
                <w:sz w:val="11"/>
                <w:szCs w:val="11"/>
                <w:color w:val="auto"/>
                <w:w w:val="97"/>
              </w:rPr>
              <w:t>124</w:t>
            </w:r>
          </w:p>
        </w:tc>
        <w:tc>
          <w:tcPr>
            <w:tcW w:w="1040" w:type="dxa"/>
            <w:vAlign w:val="bottom"/>
          </w:tcPr>
          <w:p>
            <w:pPr>
              <w:jc w:val="center"/>
              <w:ind w:left="4"/>
              <w:spacing w:after="0"/>
              <w:rPr>
                <w:sz w:val="20"/>
                <w:szCs w:val="20"/>
                <w:color w:val="auto"/>
              </w:rPr>
            </w:pPr>
            <w:r>
              <w:rPr>
                <w:rFonts w:ascii="Arial" w:cs="Arial" w:eastAsia="Arial" w:hAnsi="Arial"/>
                <w:sz w:val="11"/>
                <w:szCs w:val="11"/>
                <w:color w:val="auto"/>
                <w:w w:val="97"/>
              </w:rPr>
              <w:t>463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1,110</w:t>
            </w:r>
          </w:p>
        </w:tc>
        <w:tc>
          <w:tcPr>
            <w:tcW w:w="1140" w:type="dxa"/>
            <w:vAlign w:val="bottom"/>
          </w:tcPr>
          <w:p>
            <w:pPr>
              <w:jc w:val="center"/>
              <w:ind w:right="184"/>
              <w:spacing w:after="0"/>
              <w:rPr>
                <w:sz w:val="20"/>
                <w:szCs w:val="20"/>
                <w:color w:val="auto"/>
              </w:rPr>
            </w:pPr>
            <w:r>
              <w:rPr>
                <w:rFonts w:ascii="Arial" w:cs="Arial" w:eastAsia="Arial" w:hAnsi="Arial"/>
                <w:sz w:val="11"/>
                <w:szCs w:val="11"/>
                <w:color w:val="auto"/>
              </w:rPr>
              <w:t>139.7%</w:t>
            </w:r>
          </w:p>
        </w:tc>
        <w:tc>
          <w:tcPr>
            <w:tcW w:w="760" w:type="dxa"/>
            <w:vAlign w:val="bottom"/>
            <w:tcBorders>
              <w:right w:val="single" w:sz="8" w:color="auto"/>
            </w:tcBorders>
          </w:tcPr>
          <w:p>
            <w:pPr>
              <w:jc w:val="center"/>
              <w:ind w:right="184"/>
              <w:spacing w:after="0"/>
              <w:rPr>
                <w:sz w:val="20"/>
                <w:szCs w:val="20"/>
                <w:color w:val="auto"/>
              </w:rPr>
            </w:pPr>
            <w:r>
              <w:rPr>
                <w:rFonts w:ascii="Arial" w:cs="Arial" w:eastAsia="Arial" w:hAnsi="Arial"/>
                <w:sz w:val="11"/>
                <w:szCs w:val="11"/>
                <w:color w:val="auto"/>
                <w:w w:val="96"/>
              </w:rPr>
              <w:t>795.2%</w:t>
            </w:r>
          </w:p>
        </w:tc>
        <w:tc>
          <w:tcPr>
            <w:tcW w:w="760" w:type="dxa"/>
            <w:vAlign w:val="bottom"/>
          </w:tcPr>
          <w:p>
            <w:pPr>
              <w:jc w:val="center"/>
              <w:ind w:left="84"/>
              <w:spacing w:after="0"/>
              <w:rPr>
                <w:sz w:val="20"/>
                <w:szCs w:val="20"/>
                <w:color w:val="auto"/>
              </w:rPr>
            </w:pPr>
            <w:r>
              <w:rPr>
                <w:rFonts w:ascii="Arial" w:cs="Arial" w:eastAsia="Arial" w:hAnsi="Arial"/>
                <w:sz w:val="11"/>
                <w:szCs w:val="11"/>
                <w:color w:val="auto"/>
                <w:w w:val="94"/>
              </w:rPr>
              <w:t>1,509</w:t>
            </w:r>
          </w:p>
        </w:tc>
        <w:tc>
          <w:tcPr>
            <w:tcW w:w="1120" w:type="dxa"/>
            <w:vAlign w:val="bottom"/>
            <w:tcBorders>
              <w:right w:val="single" w:sz="8" w:color="auto"/>
            </w:tcBorders>
          </w:tcPr>
          <w:p>
            <w:pPr>
              <w:jc w:val="center"/>
              <w:ind w:left="84"/>
              <w:spacing w:after="0"/>
              <w:rPr>
                <w:sz w:val="20"/>
                <w:szCs w:val="20"/>
                <w:color w:val="auto"/>
              </w:rPr>
            </w:pPr>
            <w:r>
              <w:rPr>
                <w:rFonts w:ascii="Arial" w:cs="Arial" w:eastAsia="Arial" w:hAnsi="Arial"/>
                <w:sz w:val="11"/>
                <w:szCs w:val="11"/>
                <w:color w:val="auto"/>
                <w:w w:val="94"/>
              </w:rPr>
              <w:t>1,779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17.9%</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Salaries and employee benefits</w:t>
            </w:r>
          </w:p>
        </w:tc>
        <w:tc>
          <w:tcPr>
            <w:tcW w:w="840" w:type="dxa"/>
            <w:vAlign w:val="bottom"/>
          </w:tcPr>
          <w:p>
            <w:pPr>
              <w:jc w:val="center"/>
              <w:ind w:left="26"/>
              <w:spacing w:after="0"/>
              <w:rPr>
                <w:sz w:val="20"/>
                <w:szCs w:val="20"/>
                <w:color w:val="auto"/>
              </w:rPr>
            </w:pPr>
            <w:r>
              <w:rPr>
                <w:rFonts w:ascii="Arial" w:cs="Arial" w:eastAsia="Arial" w:hAnsi="Arial"/>
                <w:sz w:val="11"/>
                <w:szCs w:val="11"/>
                <w:color w:val="auto"/>
                <w:w w:val="97"/>
              </w:rPr>
              <w:t>(22,384)</w:t>
            </w:r>
          </w:p>
        </w:tc>
        <w:tc>
          <w:tcPr>
            <w:tcW w:w="1040" w:type="dxa"/>
            <w:vAlign w:val="bottom"/>
          </w:tcPr>
          <w:p>
            <w:pPr>
              <w:jc w:val="center"/>
              <w:ind w:left="24"/>
              <w:spacing w:after="0"/>
              <w:rPr>
                <w:sz w:val="20"/>
                <w:szCs w:val="20"/>
                <w:color w:val="auto"/>
              </w:rPr>
            </w:pPr>
            <w:r>
              <w:rPr>
                <w:rFonts w:ascii="Arial" w:cs="Arial" w:eastAsia="Arial" w:hAnsi="Arial"/>
                <w:sz w:val="11"/>
                <w:szCs w:val="11"/>
                <w:color w:val="auto"/>
                <w:w w:val="97"/>
              </w:rPr>
              <w:t>(24,878)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(23,947)</w:t>
            </w:r>
          </w:p>
        </w:tc>
        <w:tc>
          <w:tcPr>
            <w:tcW w:w="1140" w:type="dxa"/>
            <w:vAlign w:val="bottom"/>
          </w:tcPr>
          <w:p>
            <w:pPr>
              <w:jc w:val="center"/>
              <w:ind w:right="164"/>
              <w:spacing w:after="0"/>
              <w:rPr>
                <w:sz w:val="20"/>
                <w:szCs w:val="20"/>
                <w:color w:val="auto"/>
              </w:rPr>
            </w:pPr>
            <w:r>
              <w:rPr>
                <w:rFonts w:ascii="Arial" w:cs="Arial" w:eastAsia="Arial" w:hAnsi="Arial"/>
                <w:sz w:val="11"/>
                <w:szCs w:val="11"/>
                <w:color w:val="auto"/>
                <w:w w:val="97"/>
              </w:rPr>
              <w:t>-3.7%</w:t>
            </w:r>
          </w:p>
        </w:tc>
        <w:tc>
          <w:tcPr>
            <w:tcW w:w="760" w:type="dxa"/>
            <w:vAlign w:val="bottom"/>
            <w:tcBorders>
              <w:right w:val="single" w:sz="8" w:color="auto"/>
            </w:tcBorders>
          </w:tcPr>
          <w:p>
            <w:pPr>
              <w:jc w:val="center"/>
              <w:ind w:right="184"/>
              <w:spacing w:after="0"/>
              <w:rPr>
                <w:sz w:val="20"/>
                <w:szCs w:val="20"/>
                <w:color w:val="auto"/>
              </w:rPr>
            </w:pPr>
            <w:r>
              <w:rPr>
                <w:rFonts w:ascii="Arial" w:cs="Arial" w:eastAsia="Arial" w:hAnsi="Arial"/>
                <w:sz w:val="11"/>
                <w:szCs w:val="11"/>
                <w:color w:val="auto"/>
                <w:w w:val="95"/>
              </w:rPr>
              <w:t>7.0%</w:t>
            </w:r>
          </w:p>
        </w:tc>
        <w:tc>
          <w:tcPr>
            <w:tcW w:w="760" w:type="dxa"/>
            <w:vAlign w:val="bottom"/>
          </w:tcPr>
          <w:p>
            <w:pPr>
              <w:jc w:val="center"/>
              <w:ind w:left="104"/>
              <w:spacing w:after="0"/>
              <w:rPr>
                <w:sz w:val="20"/>
                <w:szCs w:val="20"/>
                <w:color w:val="auto"/>
              </w:rPr>
            </w:pPr>
            <w:r>
              <w:rPr>
                <w:rFonts w:ascii="Arial" w:cs="Arial" w:eastAsia="Arial" w:hAnsi="Arial"/>
                <w:sz w:val="11"/>
                <w:szCs w:val="11"/>
                <w:color w:val="auto"/>
                <w:w w:val="97"/>
              </w:rPr>
              <w:t>(68,086)</w:t>
            </w:r>
          </w:p>
        </w:tc>
        <w:tc>
          <w:tcPr>
            <w:tcW w:w="1120" w:type="dxa"/>
            <w:vAlign w:val="bottom"/>
            <w:tcBorders>
              <w:right w:val="single" w:sz="8" w:color="auto"/>
            </w:tcBorders>
          </w:tcPr>
          <w:p>
            <w:pPr>
              <w:jc w:val="center"/>
              <w:ind w:left="104"/>
              <w:spacing w:after="0"/>
              <w:rPr>
                <w:sz w:val="20"/>
                <w:szCs w:val="20"/>
                <w:color w:val="auto"/>
              </w:rPr>
            </w:pPr>
            <w:r>
              <w:rPr>
                <w:rFonts w:ascii="Arial" w:cs="Arial" w:eastAsia="Arial" w:hAnsi="Arial"/>
                <w:sz w:val="11"/>
                <w:szCs w:val="11"/>
                <w:color w:val="auto"/>
                <w:w w:val="97"/>
              </w:rPr>
              <w:t>(72,256)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6.1%</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Administrative expenses</w:t>
            </w:r>
          </w:p>
        </w:tc>
        <w:tc>
          <w:tcPr>
            <w:tcW w:w="840" w:type="dxa"/>
            <w:vAlign w:val="bottom"/>
          </w:tcPr>
          <w:p>
            <w:pPr>
              <w:jc w:val="center"/>
              <w:ind w:left="26"/>
              <w:spacing w:after="0"/>
              <w:rPr>
                <w:sz w:val="20"/>
                <w:szCs w:val="20"/>
                <w:color w:val="auto"/>
              </w:rPr>
            </w:pPr>
            <w:r>
              <w:rPr>
                <w:rFonts w:ascii="Arial" w:cs="Arial" w:eastAsia="Arial" w:hAnsi="Arial"/>
                <w:sz w:val="11"/>
                <w:szCs w:val="11"/>
                <w:color w:val="auto"/>
                <w:w w:val="97"/>
              </w:rPr>
              <w:t>(17,272)</w:t>
            </w:r>
          </w:p>
        </w:tc>
        <w:tc>
          <w:tcPr>
            <w:tcW w:w="1040" w:type="dxa"/>
            <w:vAlign w:val="bottom"/>
          </w:tcPr>
          <w:p>
            <w:pPr>
              <w:jc w:val="center"/>
              <w:ind w:left="24"/>
              <w:spacing w:after="0"/>
              <w:rPr>
                <w:sz w:val="20"/>
                <w:szCs w:val="20"/>
                <w:color w:val="auto"/>
              </w:rPr>
            </w:pPr>
            <w:r>
              <w:rPr>
                <w:rFonts w:ascii="Arial" w:cs="Arial" w:eastAsia="Arial" w:hAnsi="Arial"/>
                <w:sz w:val="11"/>
                <w:szCs w:val="11"/>
                <w:color w:val="auto"/>
                <w:w w:val="97"/>
              </w:rPr>
              <w:t>(18,206)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(18,686)</w:t>
            </w:r>
          </w:p>
        </w:tc>
        <w:tc>
          <w:tcPr>
            <w:tcW w:w="1140" w:type="dxa"/>
            <w:vAlign w:val="bottom"/>
          </w:tcPr>
          <w:p>
            <w:pPr>
              <w:jc w:val="center"/>
              <w:ind w:right="184"/>
              <w:spacing w:after="0"/>
              <w:rPr>
                <w:sz w:val="20"/>
                <w:szCs w:val="20"/>
                <w:color w:val="auto"/>
              </w:rPr>
            </w:pPr>
            <w:r>
              <w:rPr>
                <w:rFonts w:ascii="Arial" w:cs="Arial" w:eastAsia="Arial" w:hAnsi="Arial"/>
                <w:sz w:val="11"/>
                <w:szCs w:val="11"/>
                <w:color w:val="auto"/>
              </w:rPr>
              <w:t>2.6%</w:t>
            </w:r>
          </w:p>
        </w:tc>
        <w:tc>
          <w:tcPr>
            <w:tcW w:w="760" w:type="dxa"/>
            <w:vAlign w:val="bottom"/>
            <w:tcBorders>
              <w:right w:val="single" w:sz="8" w:color="auto"/>
            </w:tcBorders>
          </w:tcPr>
          <w:p>
            <w:pPr>
              <w:jc w:val="center"/>
              <w:ind w:right="184"/>
              <w:spacing w:after="0"/>
              <w:rPr>
                <w:sz w:val="20"/>
                <w:szCs w:val="20"/>
                <w:color w:val="auto"/>
              </w:rPr>
            </w:pPr>
            <w:r>
              <w:rPr>
                <w:rFonts w:ascii="Arial" w:cs="Arial" w:eastAsia="Arial" w:hAnsi="Arial"/>
                <w:sz w:val="11"/>
                <w:szCs w:val="11"/>
                <w:color w:val="auto"/>
                <w:w w:val="95"/>
              </w:rPr>
              <w:t>8.2%</w:t>
            </w:r>
          </w:p>
        </w:tc>
        <w:tc>
          <w:tcPr>
            <w:tcW w:w="760" w:type="dxa"/>
            <w:vAlign w:val="bottom"/>
          </w:tcPr>
          <w:p>
            <w:pPr>
              <w:jc w:val="center"/>
              <w:ind w:left="104"/>
              <w:spacing w:after="0"/>
              <w:rPr>
                <w:sz w:val="20"/>
                <w:szCs w:val="20"/>
                <w:color w:val="auto"/>
              </w:rPr>
            </w:pPr>
            <w:r>
              <w:rPr>
                <w:rFonts w:ascii="Arial" w:cs="Arial" w:eastAsia="Arial" w:hAnsi="Arial"/>
                <w:sz w:val="11"/>
                <w:szCs w:val="11"/>
                <w:color w:val="auto"/>
                <w:w w:val="97"/>
              </w:rPr>
              <w:t>(58,025)</w:t>
            </w:r>
          </w:p>
        </w:tc>
        <w:tc>
          <w:tcPr>
            <w:tcW w:w="1120" w:type="dxa"/>
            <w:vAlign w:val="bottom"/>
            <w:tcBorders>
              <w:right w:val="single" w:sz="8" w:color="auto"/>
            </w:tcBorders>
          </w:tcPr>
          <w:p>
            <w:pPr>
              <w:jc w:val="center"/>
              <w:ind w:left="104"/>
              <w:spacing w:after="0"/>
              <w:rPr>
                <w:sz w:val="20"/>
                <w:szCs w:val="20"/>
                <w:color w:val="auto"/>
              </w:rPr>
            </w:pPr>
            <w:r>
              <w:rPr>
                <w:rFonts w:ascii="Arial" w:cs="Arial" w:eastAsia="Arial" w:hAnsi="Arial"/>
                <w:sz w:val="11"/>
                <w:szCs w:val="11"/>
                <w:color w:val="auto"/>
                <w:w w:val="97"/>
              </w:rPr>
              <w:t>(58,469)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0.8%</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Depreciation and amortization</w:t>
            </w:r>
          </w:p>
        </w:tc>
        <w:tc>
          <w:tcPr>
            <w:tcW w:w="840" w:type="dxa"/>
            <w:vAlign w:val="bottom"/>
          </w:tcPr>
          <w:p>
            <w:pPr>
              <w:jc w:val="center"/>
              <w:ind w:left="6"/>
              <w:spacing w:after="0"/>
              <w:rPr>
                <w:sz w:val="20"/>
                <w:szCs w:val="20"/>
                <w:color w:val="auto"/>
              </w:rPr>
            </w:pPr>
            <w:r>
              <w:rPr>
                <w:rFonts w:ascii="Arial" w:cs="Arial" w:eastAsia="Arial" w:hAnsi="Arial"/>
                <w:sz w:val="11"/>
                <w:szCs w:val="11"/>
                <w:color w:val="auto"/>
                <w:w w:val="97"/>
              </w:rPr>
              <w:t>(6,603)</w:t>
            </w:r>
          </w:p>
        </w:tc>
        <w:tc>
          <w:tcPr>
            <w:tcW w:w="1040" w:type="dxa"/>
            <w:vAlign w:val="bottom"/>
          </w:tcPr>
          <w:p>
            <w:pPr>
              <w:jc w:val="center"/>
              <w:ind w:left="4"/>
              <w:spacing w:after="0"/>
              <w:rPr>
                <w:sz w:val="20"/>
                <w:szCs w:val="20"/>
                <w:color w:val="auto"/>
              </w:rPr>
            </w:pPr>
            <w:r>
              <w:rPr>
                <w:rFonts w:ascii="Arial" w:cs="Arial" w:eastAsia="Arial" w:hAnsi="Arial"/>
                <w:sz w:val="11"/>
                <w:szCs w:val="11"/>
                <w:color w:val="auto"/>
                <w:w w:val="97"/>
              </w:rPr>
              <w:t>(6,970)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(7,078)</w:t>
            </w:r>
          </w:p>
        </w:tc>
        <w:tc>
          <w:tcPr>
            <w:tcW w:w="1140" w:type="dxa"/>
            <w:vAlign w:val="bottom"/>
          </w:tcPr>
          <w:p>
            <w:pPr>
              <w:jc w:val="center"/>
              <w:ind w:right="184"/>
              <w:spacing w:after="0"/>
              <w:rPr>
                <w:sz w:val="20"/>
                <w:szCs w:val="20"/>
                <w:color w:val="auto"/>
              </w:rPr>
            </w:pPr>
            <w:r>
              <w:rPr>
                <w:rFonts w:ascii="Arial" w:cs="Arial" w:eastAsia="Arial" w:hAnsi="Arial"/>
                <w:sz w:val="11"/>
                <w:szCs w:val="11"/>
                <w:color w:val="auto"/>
              </w:rPr>
              <w:t>1.5%</w:t>
            </w:r>
          </w:p>
        </w:tc>
        <w:tc>
          <w:tcPr>
            <w:tcW w:w="760" w:type="dxa"/>
            <w:vAlign w:val="bottom"/>
            <w:tcBorders>
              <w:right w:val="single" w:sz="8" w:color="auto"/>
            </w:tcBorders>
          </w:tcPr>
          <w:p>
            <w:pPr>
              <w:jc w:val="center"/>
              <w:ind w:right="184"/>
              <w:spacing w:after="0"/>
              <w:rPr>
                <w:sz w:val="20"/>
                <w:szCs w:val="20"/>
                <w:color w:val="auto"/>
              </w:rPr>
            </w:pPr>
            <w:r>
              <w:rPr>
                <w:rFonts w:ascii="Arial" w:cs="Arial" w:eastAsia="Arial" w:hAnsi="Arial"/>
                <w:sz w:val="11"/>
                <w:szCs w:val="11"/>
                <w:color w:val="auto"/>
                <w:w w:val="95"/>
              </w:rPr>
              <w:t>7.2%</w:t>
            </w:r>
          </w:p>
        </w:tc>
        <w:tc>
          <w:tcPr>
            <w:tcW w:w="760" w:type="dxa"/>
            <w:vAlign w:val="bottom"/>
          </w:tcPr>
          <w:p>
            <w:pPr>
              <w:jc w:val="center"/>
              <w:ind w:left="104"/>
              <w:spacing w:after="0"/>
              <w:rPr>
                <w:sz w:val="20"/>
                <w:szCs w:val="20"/>
                <w:color w:val="auto"/>
              </w:rPr>
            </w:pPr>
            <w:r>
              <w:rPr>
                <w:rFonts w:ascii="Arial" w:cs="Arial" w:eastAsia="Arial" w:hAnsi="Arial"/>
                <w:sz w:val="11"/>
                <w:szCs w:val="11"/>
                <w:color w:val="auto"/>
                <w:w w:val="97"/>
              </w:rPr>
              <w:t>(19,769)</w:t>
            </w:r>
          </w:p>
        </w:tc>
        <w:tc>
          <w:tcPr>
            <w:tcW w:w="1120" w:type="dxa"/>
            <w:vAlign w:val="bottom"/>
            <w:tcBorders>
              <w:right w:val="single" w:sz="8" w:color="auto"/>
            </w:tcBorders>
          </w:tcPr>
          <w:p>
            <w:pPr>
              <w:jc w:val="center"/>
              <w:ind w:left="104"/>
              <w:spacing w:after="0"/>
              <w:rPr>
                <w:sz w:val="20"/>
                <w:szCs w:val="20"/>
                <w:color w:val="auto"/>
              </w:rPr>
            </w:pPr>
            <w:r>
              <w:rPr>
                <w:rFonts w:ascii="Arial" w:cs="Arial" w:eastAsia="Arial" w:hAnsi="Arial"/>
                <w:sz w:val="11"/>
                <w:szCs w:val="11"/>
                <w:color w:val="auto"/>
                <w:w w:val="97"/>
              </w:rPr>
              <w:t>(20,918)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5.8%</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Other expenses</w:t>
            </w:r>
          </w:p>
        </w:tc>
        <w:tc>
          <w:tcPr>
            <w:tcW w:w="840" w:type="dxa"/>
            <w:vAlign w:val="bottom"/>
          </w:tcPr>
          <w:p>
            <w:pPr>
              <w:jc w:val="center"/>
              <w:ind w:left="6"/>
              <w:spacing w:after="0"/>
              <w:rPr>
                <w:sz w:val="20"/>
                <w:szCs w:val="20"/>
                <w:color w:val="auto"/>
              </w:rPr>
            </w:pPr>
            <w:r>
              <w:rPr>
                <w:rFonts w:ascii="Arial" w:cs="Arial" w:eastAsia="Arial" w:hAnsi="Arial"/>
                <w:sz w:val="11"/>
                <w:szCs w:val="11"/>
                <w:color w:val="auto"/>
              </w:rPr>
              <w:t>(245)</w:t>
            </w:r>
          </w:p>
        </w:tc>
        <w:tc>
          <w:tcPr>
            <w:tcW w:w="1040" w:type="dxa"/>
            <w:vAlign w:val="bottom"/>
          </w:tcPr>
          <w:p>
            <w:pPr>
              <w:jc w:val="center"/>
              <w:ind w:left="4"/>
              <w:spacing w:after="0"/>
              <w:rPr>
                <w:sz w:val="20"/>
                <w:szCs w:val="20"/>
                <w:color w:val="auto"/>
              </w:rPr>
            </w:pPr>
            <w:r>
              <w:rPr>
                <w:rFonts w:ascii="Arial" w:cs="Arial" w:eastAsia="Arial" w:hAnsi="Arial"/>
                <w:sz w:val="11"/>
                <w:szCs w:val="11"/>
                <w:color w:val="auto"/>
              </w:rPr>
              <w:t>(594)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(267)</w:t>
            </w:r>
          </w:p>
        </w:tc>
        <w:tc>
          <w:tcPr>
            <w:tcW w:w="1140" w:type="dxa"/>
            <w:vAlign w:val="bottom"/>
          </w:tcPr>
          <w:p>
            <w:pPr>
              <w:jc w:val="center"/>
              <w:ind w:right="184"/>
              <w:spacing w:after="0"/>
              <w:rPr>
                <w:sz w:val="20"/>
                <w:szCs w:val="20"/>
                <w:color w:val="auto"/>
              </w:rPr>
            </w:pPr>
            <w:r>
              <w:rPr>
                <w:rFonts w:ascii="Arial" w:cs="Arial" w:eastAsia="Arial" w:hAnsi="Arial"/>
                <w:sz w:val="11"/>
                <w:szCs w:val="11"/>
                <w:color w:val="auto"/>
                <w:w w:val="97"/>
              </w:rPr>
              <w:t>n.a.</w:t>
            </w:r>
          </w:p>
        </w:tc>
        <w:tc>
          <w:tcPr>
            <w:tcW w:w="760" w:type="dxa"/>
            <w:vAlign w:val="bottom"/>
            <w:tcBorders>
              <w:right w:val="single" w:sz="8" w:color="auto"/>
            </w:tcBorders>
          </w:tcPr>
          <w:p>
            <w:pPr>
              <w:jc w:val="center"/>
              <w:ind w:right="184"/>
              <w:spacing w:after="0"/>
              <w:rPr>
                <w:sz w:val="20"/>
                <w:szCs w:val="20"/>
                <w:color w:val="auto"/>
              </w:rPr>
            </w:pPr>
            <w:r>
              <w:rPr>
                <w:rFonts w:ascii="Arial" w:cs="Arial" w:eastAsia="Arial" w:hAnsi="Arial"/>
                <w:sz w:val="11"/>
                <w:szCs w:val="11"/>
                <w:color w:val="auto"/>
                <w:w w:val="95"/>
              </w:rPr>
              <w:t>9.0%</w:t>
            </w:r>
          </w:p>
        </w:tc>
        <w:tc>
          <w:tcPr>
            <w:tcW w:w="760" w:type="dxa"/>
            <w:vAlign w:val="bottom"/>
          </w:tcPr>
          <w:p>
            <w:pPr>
              <w:jc w:val="center"/>
              <w:ind w:left="84"/>
              <w:spacing w:after="0"/>
              <w:rPr>
                <w:sz w:val="20"/>
                <w:szCs w:val="20"/>
                <w:color w:val="auto"/>
              </w:rPr>
            </w:pPr>
            <w:r>
              <w:rPr>
                <w:rFonts w:ascii="Arial" w:cs="Arial" w:eastAsia="Arial" w:hAnsi="Arial"/>
                <w:sz w:val="11"/>
                <w:szCs w:val="11"/>
                <w:color w:val="auto"/>
                <w:w w:val="97"/>
              </w:rPr>
              <w:t>(1,178)</w:t>
            </w:r>
          </w:p>
        </w:tc>
        <w:tc>
          <w:tcPr>
            <w:tcW w:w="1120" w:type="dxa"/>
            <w:vAlign w:val="bottom"/>
            <w:tcBorders>
              <w:right w:val="single" w:sz="8" w:color="auto"/>
            </w:tcBorders>
          </w:tcPr>
          <w:p>
            <w:pPr>
              <w:jc w:val="center"/>
              <w:ind w:left="84"/>
              <w:spacing w:after="0"/>
              <w:rPr>
                <w:sz w:val="20"/>
                <w:szCs w:val="20"/>
                <w:color w:val="auto"/>
              </w:rPr>
            </w:pPr>
            <w:r>
              <w:rPr>
                <w:rFonts w:ascii="Arial" w:cs="Arial" w:eastAsia="Arial" w:hAnsi="Arial"/>
                <w:sz w:val="11"/>
                <w:szCs w:val="11"/>
                <w:color w:val="auto"/>
                <w:w w:val="97"/>
              </w:rPr>
              <w:t>(1,026)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-12.9%</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Profit before income tax</w:t>
            </w:r>
          </w:p>
        </w:tc>
        <w:tc>
          <w:tcPr>
            <w:tcW w:w="840" w:type="dxa"/>
            <w:vAlign w:val="bottom"/>
          </w:tcPr>
          <w:p>
            <w:pPr>
              <w:jc w:val="center"/>
              <w:ind w:left="6"/>
              <w:spacing w:after="0"/>
              <w:rPr>
                <w:sz w:val="20"/>
                <w:szCs w:val="20"/>
                <w:color w:val="auto"/>
              </w:rPr>
            </w:pPr>
            <w:r>
              <w:rPr>
                <w:rFonts w:ascii="Arial" w:cs="Arial" w:eastAsia="Arial" w:hAnsi="Arial"/>
                <w:sz w:val="11"/>
                <w:szCs w:val="11"/>
                <w:b w:val="1"/>
                <w:bCs w:val="1"/>
                <w:color w:val="auto"/>
              </w:rPr>
              <w:t>47,431</w:t>
            </w:r>
          </w:p>
        </w:tc>
        <w:tc>
          <w:tcPr>
            <w:tcW w:w="1040" w:type="dxa"/>
            <w:vAlign w:val="bottom"/>
          </w:tcPr>
          <w:p>
            <w:pPr>
              <w:jc w:val="center"/>
              <w:ind w:left="4"/>
              <w:spacing w:after="0"/>
              <w:rPr>
                <w:sz w:val="20"/>
                <w:szCs w:val="20"/>
                <w:color w:val="auto"/>
              </w:rPr>
            </w:pPr>
            <w:r>
              <w:rPr>
                <w:rFonts w:ascii="Arial" w:cs="Arial" w:eastAsia="Arial" w:hAnsi="Arial"/>
                <w:sz w:val="11"/>
                <w:szCs w:val="11"/>
                <w:b w:val="1"/>
                <w:bCs w:val="1"/>
                <w:color w:val="auto"/>
              </w:rPr>
              <w:t>55,907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65,418</w:t>
            </w:r>
          </w:p>
        </w:tc>
        <w:tc>
          <w:tcPr>
            <w:tcW w:w="1140" w:type="dxa"/>
            <w:vAlign w:val="bottom"/>
          </w:tcPr>
          <w:p>
            <w:pPr>
              <w:jc w:val="center"/>
              <w:ind w:right="184"/>
              <w:spacing w:after="0"/>
              <w:rPr>
                <w:sz w:val="20"/>
                <w:szCs w:val="20"/>
                <w:color w:val="auto"/>
              </w:rPr>
            </w:pPr>
            <w:r>
              <w:rPr>
                <w:rFonts w:ascii="Arial" w:cs="Arial" w:eastAsia="Arial" w:hAnsi="Arial"/>
                <w:sz w:val="11"/>
                <w:szCs w:val="11"/>
                <w:b w:val="1"/>
                <w:bCs w:val="1"/>
                <w:color w:val="auto"/>
                <w:w w:val="96"/>
              </w:rPr>
              <w:t>17.0%</w:t>
            </w:r>
          </w:p>
        </w:tc>
        <w:tc>
          <w:tcPr>
            <w:tcW w:w="760" w:type="dxa"/>
            <w:vAlign w:val="bottom"/>
            <w:tcBorders>
              <w:right w:val="single" w:sz="8" w:color="auto"/>
            </w:tcBorders>
          </w:tcPr>
          <w:p>
            <w:pPr>
              <w:jc w:val="center"/>
              <w:ind w:right="204"/>
              <w:spacing w:after="0"/>
              <w:rPr>
                <w:sz w:val="20"/>
                <w:szCs w:val="20"/>
                <w:color w:val="auto"/>
              </w:rPr>
            </w:pPr>
            <w:r>
              <w:rPr>
                <w:rFonts w:ascii="Arial" w:cs="Arial" w:eastAsia="Arial" w:hAnsi="Arial"/>
                <w:sz w:val="11"/>
                <w:szCs w:val="11"/>
                <w:b w:val="1"/>
                <w:bCs w:val="1"/>
                <w:color w:val="auto"/>
                <w:w w:val="96"/>
              </w:rPr>
              <w:t>37.9%</w:t>
            </w:r>
          </w:p>
        </w:tc>
        <w:tc>
          <w:tcPr>
            <w:tcW w:w="760" w:type="dxa"/>
            <w:vAlign w:val="bottom"/>
          </w:tcPr>
          <w:p>
            <w:pPr>
              <w:jc w:val="center"/>
              <w:ind w:left="84"/>
              <w:spacing w:after="0"/>
              <w:rPr>
                <w:sz w:val="20"/>
                <w:szCs w:val="20"/>
                <w:color w:val="auto"/>
              </w:rPr>
            </w:pPr>
            <w:r>
              <w:rPr>
                <w:rFonts w:ascii="Arial" w:cs="Arial" w:eastAsia="Arial" w:hAnsi="Arial"/>
                <w:sz w:val="11"/>
                <w:szCs w:val="11"/>
                <w:b w:val="1"/>
                <w:bCs w:val="1"/>
                <w:color w:val="auto"/>
                <w:w w:val="95"/>
              </w:rPr>
              <w:t>152,565</w:t>
            </w:r>
          </w:p>
        </w:tc>
        <w:tc>
          <w:tcPr>
            <w:tcW w:w="1120" w:type="dxa"/>
            <w:vAlign w:val="bottom"/>
            <w:tcBorders>
              <w:right w:val="single" w:sz="8" w:color="auto"/>
            </w:tcBorders>
          </w:tcPr>
          <w:p>
            <w:pPr>
              <w:jc w:val="center"/>
              <w:ind w:left="84"/>
              <w:spacing w:after="0"/>
              <w:rPr>
                <w:sz w:val="20"/>
                <w:szCs w:val="20"/>
                <w:color w:val="auto"/>
              </w:rPr>
            </w:pPr>
            <w:r>
              <w:rPr>
                <w:rFonts w:ascii="Arial" w:cs="Arial" w:eastAsia="Arial" w:hAnsi="Arial"/>
                <w:sz w:val="11"/>
                <w:szCs w:val="11"/>
                <w:b w:val="1"/>
                <w:bCs w:val="1"/>
                <w:color w:val="auto"/>
                <w:w w:val="95"/>
              </w:rPr>
              <w:t>157,458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3.2%</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Income tax</w:t>
            </w:r>
          </w:p>
        </w:tc>
        <w:tc>
          <w:tcPr>
            <w:tcW w:w="840" w:type="dxa"/>
            <w:vAlign w:val="bottom"/>
          </w:tcPr>
          <w:p>
            <w:pPr>
              <w:jc w:val="center"/>
              <w:ind w:left="26"/>
              <w:spacing w:after="0"/>
              <w:rPr>
                <w:sz w:val="20"/>
                <w:szCs w:val="20"/>
                <w:color w:val="auto"/>
              </w:rPr>
            </w:pPr>
            <w:r>
              <w:rPr>
                <w:rFonts w:ascii="Arial" w:cs="Arial" w:eastAsia="Arial" w:hAnsi="Arial"/>
                <w:sz w:val="11"/>
                <w:szCs w:val="11"/>
                <w:color w:val="auto"/>
                <w:w w:val="97"/>
              </w:rPr>
              <w:t>(12,744)</w:t>
            </w:r>
          </w:p>
        </w:tc>
        <w:tc>
          <w:tcPr>
            <w:tcW w:w="1040" w:type="dxa"/>
            <w:vAlign w:val="bottom"/>
          </w:tcPr>
          <w:p>
            <w:pPr>
              <w:jc w:val="center"/>
              <w:ind w:left="24"/>
              <w:spacing w:after="0"/>
              <w:rPr>
                <w:sz w:val="20"/>
                <w:szCs w:val="20"/>
                <w:color w:val="auto"/>
              </w:rPr>
            </w:pPr>
            <w:r>
              <w:rPr>
                <w:rFonts w:ascii="Arial" w:cs="Arial" w:eastAsia="Arial" w:hAnsi="Arial"/>
                <w:sz w:val="11"/>
                <w:szCs w:val="11"/>
                <w:color w:val="auto"/>
                <w:w w:val="97"/>
              </w:rPr>
              <w:t>(14,749)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(18,829)</w:t>
            </w:r>
          </w:p>
        </w:tc>
        <w:tc>
          <w:tcPr>
            <w:tcW w:w="1140" w:type="dxa"/>
            <w:vAlign w:val="bottom"/>
          </w:tcPr>
          <w:p>
            <w:pPr>
              <w:jc w:val="center"/>
              <w:ind w:right="184"/>
              <w:spacing w:after="0"/>
              <w:rPr>
                <w:sz w:val="20"/>
                <w:szCs w:val="20"/>
                <w:color w:val="auto"/>
              </w:rPr>
            </w:pPr>
            <w:r>
              <w:rPr>
                <w:rFonts w:ascii="Arial" w:cs="Arial" w:eastAsia="Arial" w:hAnsi="Arial"/>
                <w:sz w:val="11"/>
                <w:szCs w:val="11"/>
                <w:color w:val="auto"/>
                <w:w w:val="96"/>
              </w:rPr>
              <w:t>27.7%</w:t>
            </w:r>
          </w:p>
        </w:tc>
        <w:tc>
          <w:tcPr>
            <w:tcW w:w="760" w:type="dxa"/>
            <w:vAlign w:val="bottom"/>
            <w:tcBorders>
              <w:right w:val="single" w:sz="8" w:color="auto"/>
            </w:tcBorders>
          </w:tcPr>
          <w:p>
            <w:pPr>
              <w:jc w:val="center"/>
              <w:ind w:right="204"/>
              <w:spacing w:after="0"/>
              <w:rPr>
                <w:sz w:val="20"/>
                <w:szCs w:val="20"/>
                <w:color w:val="auto"/>
              </w:rPr>
            </w:pPr>
            <w:r>
              <w:rPr>
                <w:rFonts w:ascii="Arial" w:cs="Arial" w:eastAsia="Arial" w:hAnsi="Arial"/>
                <w:sz w:val="11"/>
                <w:szCs w:val="11"/>
                <w:color w:val="auto"/>
                <w:w w:val="96"/>
              </w:rPr>
              <w:t>47.7%</w:t>
            </w:r>
          </w:p>
        </w:tc>
        <w:tc>
          <w:tcPr>
            <w:tcW w:w="760" w:type="dxa"/>
            <w:vAlign w:val="bottom"/>
          </w:tcPr>
          <w:p>
            <w:pPr>
              <w:jc w:val="center"/>
              <w:ind w:left="104"/>
              <w:spacing w:after="0"/>
              <w:rPr>
                <w:sz w:val="20"/>
                <w:szCs w:val="20"/>
                <w:color w:val="auto"/>
              </w:rPr>
            </w:pPr>
            <w:r>
              <w:rPr>
                <w:rFonts w:ascii="Arial" w:cs="Arial" w:eastAsia="Arial" w:hAnsi="Arial"/>
                <w:sz w:val="11"/>
                <w:szCs w:val="11"/>
                <w:color w:val="auto"/>
                <w:w w:val="97"/>
              </w:rPr>
              <w:t>(43,961)</w:t>
            </w:r>
          </w:p>
        </w:tc>
        <w:tc>
          <w:tcPr>
            <w:tcW w:w="1120" w:type="dxa"/>
            <w:vAlign w:val="bottom"/>
            <w:tcBorders>
              <w:right w:val="single" w:sz="8" w:color="auto"/>
            </w:tcBorders>
          </w:tcPr>
          <w:p>
            <w:pPr>
              <w:jc w:val="center"/>
              <w:ind w:left="104"/>
              <w:spacing w:after="0"/>
              <w:rPr>
                <w:sz w:val="20"/>
                <w:szCs w:val="20"/>
                <w:color w:val="auto"/>
              </w:rPr>
            </w:pPr>
            <w:r>
              <w:rPr>
                <w:rFonts w:ascii="Arial" w:cs="Arial" w:eastAsia="Arial" w:hAnsi="Arial"/>
                <w:sz w:val="11"/>
                <w:szCs w:val="11"/>
                <w:color w:val="auto"/>
                <w:w w:val="97"/>
              </w:rPr>
              <w:t>(45,239)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2.9%</w:t>
            </w:r>
          </w:p>
        </w:tc>
      </w:tr>
      <w:tr>
        <w:trPr>
          <w:trHeight w:val="132"/>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profit</w:t>
            </w:r>
          </w:p>
        </w:tc>
        <w:tc>
          <w:tcPr>
            <w:tcW w:w="840" w:type="dxa"/>
            <w:vAlign w:val="bottom"/>
            <w:tcBorders>
              <w:bottom w:val="single" w:sz="8" w:color="auto"/>
            </w:tcBorders>
          </w:tcPr>
          <w:p>
            <w:pPr>
              <w:jc w:val="center"/>
              <w:ind w:left="6"/>
              <w:spacing w:after="0"/>
              <w:rPr>
                <w:sz w:val="20"/>
                <w:szCs w:val="20"/>
                <w:color w:val="auto"/>
              </w:rPr>
            </w:pPr>
            <w:r>
              <w:rPr>
                <w:rFonts w:ascii="Arial" w:cs="Arial" w:eastAsia="Arial" w:hAnsi="Arial"/>
                <w:sz w:val="11"/>
                <w:szCs w:val="11"/>
                <w:b w:val="1"/>
                <w:bCs w:val="1"/>
                <w:color w:val="auto"/>
              </w:rPr>
              <w:t>34,687</w:t>
            </w:r>
          </w:p>
        </w:tc>
        <w:tc>
          <w:tcPr>
            <w:tcW w:w="1040" w:type="dxa"/>
            <w:vAlign w:val="bottom"/>
            <w:tcBorders>
              <w:bottom w:val="single" w:sz="8" w:color="auto"/>
            </w:tcBorders>
          </w:tcPr>
          <w:p>
            <w:pPr>
              <w:jc w:val="center"/>
              <w:ind w:left="4"/>
              <w:spacing w:after="0"/>
              <w:rPr>
                <w:sz w:val="20"/>
                <w:szCs w:val="20"/>
                <w:color w:val="auto"/>
              </w:rPr>
            </w:pPr>
            <w:r>
              <w:rPr>
                <w:rFonts w:ascii="Arial" w:cs="Arial" w:eastAsia="Arial" w:hAnsi="Arial"/>
                <w:sz w:val="11"/>
                <w:szCs w:val="11"/>
                <w:b w:val="1"/>
                <w:bCs w:val="1"/>
                <w:color w:val="auto"/>
              </w:rPr>
              <w:t>41,158</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46,589</w:t>
            </w:r>
          </w:p>
        </w:tc>
        <w:tc>
          <w:tcPr>
            <w:tcW w:w="1140" w:type="dxa"/>
            <w:vAlign w:val="bottom"/>
            <w:tcBorders>
              <w:bottom w:val="single" w:sz="8" w:color="auto"/>
            </w:tcBorders>
          </w:tcPr>
          <w:p>
            <w:pPr>
              <w:jc w:val="center"/>
              <w:ind w:right="184"/>
              <w:spacing w:after="0"/>
              <w:rPr>
                <w:sz w:val="20"/>
                <w:szCs w:val="20"/>
                <w:color w:val="auto"/>
              </w:rPr>
            </w:pPr>
            <w:r>
              <w:rPr>
                <w:rFonts w:ascii="Arial" w:cs="Arial" w:eastAsia="Arial" w:hAnsi="Arial"/>
                <w:sz w:val="11"/>
                <w:szCs w:val="11"/>
                <w:b w:val="1"/>
                <w:bCs w:val="1"/>
                <w:color w:val="auto"/>
                <w:w w:val="96"/>
              </w:rPr>
              <w:t>13.2%</w:t>
            </w:r>
          </w:p>
        </w:tc>
        <w:tc>
          <w:tcPr>
            <w:tcW w:w="760" w:type="dxa"/>
            <w:vAlign w:val="bottom"/>
            <w:tcBorders>
              <w:bottom w:val="single" w:sz="8" w:color="auto"/>
              <w:right w:val="single" w:sz="8" w:color="auto"/>
            </w:tcBorders>
          </w:tcPr>
          <w:p>
            <w:pPr>
              <w:jc w:val="center"/>
              <w:ind w:right="204"/>
              <w:spacing w:after="0"/>
              <w:rPr>
                <w:sz w:val="20"/>
                <w:szCs w:val="20"/>
                <w:color w:val="auto"/>
              </w:rPr>
            </w:pPr>
            <w:r>
              <w:rPr>
                <w:rFonts w:ascii="Arial" w:cs="Arial" w:eastAsia="Arial" w:hAnsi="Arial"/>
                <w:sz w:val="11"/>
                <w:szCs w:val="11"/>
                <w:b w:val="1"/>
                <w:bCs w:val="1"/>
                <w:color w:val="auto"/>
                <w:w w:val="96"/>
              </w:rPr>
              <w:t>34.3%</w:t>
            </w:r>
          </w:p>
        </w:tc>
        <w:tc>
          <w:tcPr>
            <w:tcW w:w="760" w:type="dxa"/>
            <w:vAlign w:val="bottom"/>
            <w:tcBorders>
              <w:bottom w:val="single" w:sz="8" w:color="auto"/>
            </w:tcBorders>
          </w:tcPr>
          <w:p>
            <w:pPr>
              <w:jc w:val="center"/>
              <w:ind w:left="84"/>
              <w:spacing w:after="0"/>
              <w:rPr>
                <w:sz w:val="20"/>
                <w:szCs w:val="20"/>
                <w:color w:val="auto"/>
              </w:rPr>
            </w:pPr>
            <w:r>
              <w:rPr>
                <w:rFonts w:ascii="Arial" w:cs="Arial" w:eastAsia="Arial" w:hAnsi="Arial"/>
                <w:sz w:val="11"/>
                <w:szCs w:val="11"/>
                <w:b w:val="1"/>
                <w:bCs w:val="1"/>
                <w:color w:val="auto"/>
                <w:w w:val="95"/>
              </w:rPr>
              <w:t>108,604</w:t>
            </w:r>
          </w:p>
        </w:tc>
        <w:tc>
          <w:tcPr>
            <w:tcW w:w="112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1"/>
                <w:szCs w:val="11"/>
                <w:b w:val="1"/>
                <w:bCs w:val="1"/>
                <w:color w:val="auto"/>
                <w:w w:val="95"/>
              </w:rPr>
              <w:t>112,219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3.3%</w:t>
            </w:r>
          </w:p>
        </w:tc>
      </w:tr>
      <w:tr>
        <w:trPr>
          <w:trHeight w:val="374"/>
        </w:trPr>
        <w:tc>
          <w:tcPr>
            <w:tcW w:w="3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40" w:type="dxa"/>
            <w:vAlign w:val="bottom"/>
            <w:gridSpan w:val="3"/>
          </w:tcPr>
          <w:p>
            <w:pPr>
              <w:ind w:left="380"/>
              <w:spacing w:after="0"/>
              <w:rPr>
                <w:sz w:val="20"/>
                <w:szCs w:val="20"/>
                <w:color w:val="auto"/>
              </w:rPr>
            </w:pPr>
            <w:r>
              <w:rPr>
                <w:rFonts w:ascii="Arial" w:cs="Arial" w:eastAsia="Arial" w:hAnsi="Arial"/>
                <w:sz w:val="16"/>
                <w:szCs w:val="16"/>
                <w:b w:val="1"/>
                <w:bCs w:val="1"/>
                <w:color w:val="auto"/>
              </w:rPr>
              <w:t>Selected Financial Indicators</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58"/>
        </w:trPr>
        <w:tc>
          <w:tcPr>
            <w:tcW w:w="30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24"/>
        </w:trPr>
        <w:tc>
          <w:tcPr>
            <w:tcW w:w="3000" w:type="dxa"/>
            <w:vAlign w:val="bottom"/>
            <w:tcBorders>
              <w:left w:val="single" w:sz="8" w:color="auto"/>
              <w:right w:val="single" w:sz="8" w:color="auto"/>
            </w:tcBorders>
            <w:shd w:val="clear" w:color="auto" w:fill="33CCCC"/>
          </w:tcPr>
          <w:p>
            <w:pPr>
              <w:spacing w:after="0"/>
              <w:rPr>
                <w:sz w:val="10"/>
                <w:szCs w:val="10"/>
                <w:color w:val="auto"/>
              </w:rPr>
            </w:pPr>
          </w:p>
        </w:tc>
        <w:tc>
          <w:tcPr>
            <w:tcW w:w="840" w:type="dxa"/>
            <w:vAlign w:val="bottom"/>
            <w:shd w:val="clear" w:color="auto" w:fill="33CCCC"/>
          </w:tcPr>
          <w:p>
            <w:pPr>
              <w:spacing w:after="0"/>
              <w:rPr>
                <w:sz w:val="10"/>
                <w:szCs w:val="10"/>
                <w:color w:val="auto"/>
              </w:rPr>
            </w:pPr>
          </w:p>
        </w:tc>
        <w:tc>
          <w:tcPr>
            <w:tcW w:w="1040" w:type="dxa"/>
            <w:vAlign w:val="bottom"/>
            <w:tcBorders>
              <w:right w:val="single" w:sz="8" w:color="33CCCC"/>
            </w:tcBorders>
            <w:shd w:val="clear" w:color="auto" w:fill="33CCCC"/>
          </w:tcPr>
          <w:p>
            <w:pPr>
              <w:ind w:left="360"/>
              <w:spacing w:after="0" w:line="124" w:lineRule="exact"/>
              <w:rPr>
                <w:sz w:val="20"/>
                <w:szCs w:val="20"/>
                <w:color w:val="auto"/>
              </w:rPr>
            </w:pPr>
            <w:r>
              <w:rPr>
                <w:rFonts w:ascii="Arial" w:cs="Arial" w:eastAsia="Arial" w:hAnsi="Arial"/>
                <w:sz w:val="11"/>
                <w:szCs w:val="11"/>
                <w:b w:val="1"/>
                <w:bCs w:val="1"/>
                <w:color w:val="FFFFFF"/>
              </w:rPr>
              <w:t>Quarter</w:t>
            </w:r>
          </w:p>
        </w:tc>
        <w:tc>
          <w:tcPr>
            <w:tcW w:w="960" w:type="dxa"/>
            <w:vAlign w:val="bottom"/>
            <w:tcBorders>
              <w:right w:val="single" w:sz="8" w:color="auto"/>
            </w:tcBorders>
            <w:shd w:val="clear" w:color="auto" w:fill="33CCCC"/>
          </w:tcPr>
          <w:p>
            <w:pPr>
              <w:spacing w:after="0"/>
              <w:rPr>
                <w:sz w:val="10"/>
                <w:szCs w:val="10"/>
                <w:color w:val="auto"/>
              </w:rPr>
            </w:pPr>
          </w:p>
        </w:tc>
        <w:tc>
          <w:tcPr>
            <w:tcW w:w="1140" w:type="dxa"/>
            <w:vAlign w:val="bottom"/>
            <w:shd w:val="clear" w:color="auto" w:fill="33CCCC"/>
          </w:tcPr>
          <w:p>
            <w:pPr>
              <w:jc w:val="center"/>
              <w:ind w:left="664"/>
              <w:spacing w:after="0" w:line="124" w:lineRule="exact"/>
              <w:rPr>
                <w:sz w:val="20"/>
                <w:szCs w:val="20"/>
                <w:color w:val="auto"/>
              </w:rPr>
            </w:pPr>
            <w:r>
              <w:rPr>
                <w:rFonts w:ascii="Arial" w:cs="Arial" w:eastAsia="Arial" w:hAnsi="Arial"/>
                <w:sz w:val="11"/>
                <w:szCs w:val="11"/>
                <w:b w:val="1"/>
                <w:bCs w:val="1"/>
                <w:color w:val="FFFFFF"/>
                <w:w w:val="94"/>
              </w:rPr>
              <w:t>Change</w:t>
            </w:r>
          </w:p>
        </w:tc>
        <w:tc>
          <w:tcPr>
            <w:tcW w:w="760" w:type="dxa"/>
            <w:vAlign w:val="bottom"/>
            <w:tcBorders>
              <w:right w:val="single" w:sz="8" w:color="auto"/>
            </w:tcBorders>
            <w:shd w:val="clear" w:color="auto" w:fill="33CCCC"/>
          </w:tcPr>
          <w:p>
            <w:pPr>
              <w:spacing w:after="0"/>
              <w:rPr>
                <w:sz w:val="10"/>
                <w:szCs w:val="10"/>
                <w:color w:val="auto"/>
              </w:rPr>
            </w:pPr>
          </w:p>
        </w:tc>
        <w:tc>
          <w:tcPr>
            <w:tcW w:w="760" w:type="dxa"/>
            <w:vAlign w:val="bottom"/>
            <w:shd w:val="clear" w:color="auto" w:fill="33CCCC"/>
          </w:tcPr>
          <w:p>
            <w:pPr>
              <w:spacing w:after="0"/>
              <w:rPr>
                <w:sz w:val="10"/>
                <w:szCs w:val="10"/>
                <w:color w:val="auto"/>
              </w:rPr>
            </w:pPr>
          </w:p>
        </w:tc>
        <w:tc>
          <w:tcPr>
            <w:tcW w:w="1120" w:type="dxa"/>
            <w:vAlign w:val="bottom"/>
            <w:tcBorders>
              <w:right w:val="single" w:sz="8" w:color="auto"/>
            </w:tcBorders>
            <w:shd w:val="clear" w:color="auto" w:fill="33CCCC"/>
          </w:tcPr>
          <w:p>
            <w:pPr>
              <w:ind w:left="20"/>
              <w:spacing w:after="0" w:line="124" w:lineRule="exact"/>
              <w:rPr>
                <w:sz w:val="20"/>
                <w:szCs w:val="20"/>
                <w:color w:val="auto"/>
              </w:rPr>
            </w:pPr>
            <w:r>
              <w:rPr>
                <w:rFonts w:ascii="Arial" w:cs="Arial" w:eastAsia="Arial" w:hAnsi="Arial"/>
                <w:sz w:val="11"/>
                <w:szCs w:val="11"/>
                <w:b w:val="1"/>
                <w:bCs w:val="1"/>
                <w:color w:val="FFFFFF"/>
              </w:rPr>
              <w:t>Up to</w:t>
            </w:r>
          </w:p>
        </w:tc>
        <w:tc>
          <w:tcPr>
            <w:tcW w:w="960" w:type="dxa"/>
            <w:vAlign w:val="bottom"/>
            <w:tcBorders>
              <w:right w:val="single" w:sz="8" w:color="auto"/>
            </w:tcBorders>
            <w:shd w:val="clear" w:color="auto" w:fill="33CCCC"/>
          </w:tcPr>
          <w:p>
            <w:pPr>
              <w:jc w:val="center"/>
              <w:spacing w:after="0" w:line="124" w:lineRule="exact"/>
              <w:rPr>
                <w:sz w:val="20"/>
                <w:szCs w:val="20"/>
                <w:color w:val="auto"/>
              </w:rPr>
            </w:pPr>
            <w:r>
              <w:rPr>
                <w:rFonts w:ascii="Arial" w:cs="Arial" w:eastAsia="Arial" w:hAnsi="Arial"/>
                <w:sz w:val="11"/>
                <w:szCs w:val="11"/>
                <w:b w:val="1"/>
                <w:bCs w:val="1"/>
                <w:color w:val="FFFFFF"/>
                <w:w w:val="94"/>
              </w:rPr>
              <w:t>Change</w:t>
            </w:r>
          </w:p>
        </w:tc>
      </w:tr>
      <w:tr>
        <w:trPr>
          <w:trHeight w:val="132"/>
        </w:trPr>
        <w:tc>
          <w:tcPr>
            <w:tcW w:w="300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840" w:type="dxa"/>
            <w:vAlign w:val="bottom"/>
            <w:tcBorders>
              <w:bottom w:val="single" w:sz="8" w:color="auto"/>
            </w:tcBorders>
            <w:shd w:val="clear" w:color="auto" w:fill="33CCCC"/>
          </w:tcPr>
          <w:p>
            <w:pPr>
              <w:jc w:val="center"/>
              <w:ind w:left="6"/>
              <w:spacing w:after="0"/>
              <w:rPr>
                <w:sz w:val="20"/>
                <w:szCs w:val="20"/>
                <w:color w:val="auto"/>
              </w:rPr>
            </w:pPr>
            <w:r>
              <w:rPr>
                <w:rFonts w:ascii="Arial" w:cs="Arial" w:eastAsia="Arial" w:hAnsi="Arial"/>
                <w:sz w:val="11"/>
                <w:szCs w:val="11"/>
                <w:b w:val="1"/>
                <w:bCs w:val="1"/>
                <w:color w:val="FFFFFF"/>
                <w:w w:val="96"/>
              </w:rPr>
              <w:t>3Q24</w:t>
            </w:r>
          </w:p>
        </w:tc>
        <w:tc>
          <w:tcPr>
            <w:tcW w:w="1040" w:type="dxa"/>
            <w:vAlign w:val="bottom"/>
            <w:tcBorders>
              <w:bottom w:val="single" w:sz="8" w:color="auto"/>
              <w:right w:val="single" w:sz="8" w:color="33CCCC"/>
            </w:tcBorders>
            <w:shd w:val="clear" w:color="auto" w:fill="33CCCC"/>
          </w:tcPr>
          <w:p>
            <w:pPr>
              <w:jc w:val="center"/>
              <w:ind w:left="4"/>
              <w:spacing w:after="0"/>
              <w:rPr>
                <w:sz w:val="20"/>
                <w:szCs w:val="20"/>
                <w:color w:val="auto"/>
              </w:rPr>
            </w:pPr>
            <w:r>
              <w:rPr>
                <w:rFonts w:ascii="Arial" w:cs="Arial" w:eastAsia="Arial" w:hAnsi="Arial"/>
                <w:sz w:val="11"/>
                <w:szCs w:val="11"/>
                <w:b w:val="1"/>
                <w:bCs w:val="1"/>
                <w:color w:val="FFFFFF"/>
                <w:w w:val="96"/>
              </w:rPr>
              <w:t>2Q25</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3Q25</w:t>
            </w:r>
          </w:p>
        </w:tc>
        <w:tc>
          <w:tcPr>
            <w:tcW w:w="1140" w:type="dxa"/>
            <w:vAlign w:val="bottom"/>
            <w:tcBorders>
              <w:bottom w:val="single" w:sz="8" w:color="auto"/>
            </w:tcBorders>
            <w:shd w:val="clear" w:color="auto" w:fill="33CCCC"/>
          </w:tcPr>
          <w:p>
            <w:pPr>
              <w:jc w:val="center"/>
              <w:ind w:right="164"/>
              <w:spacing w:after="0"/>
              <w:rPr>
                <w:sz w:val="20"/>
                <w:szCs w:val="20"/>
                <w:color w:val="auto"/>
              </w:rPr>
            </w:pPr>
            <w:r>
              <w:rPr>
                <w:rFonts w:ascii="Arial" w:cs="Arial" w:eastAsia="Arial" w:hAnsi="Arial"/>
                <w:sz w:val="11"/>
                <w:szCs w:val="11"/>
                <w:b w:val="1"/>
                <w:bCs w:val="1"/>
                <w:color w:val="FFFFFF"/>
              </w:rPr>
              <w:t>QoQ</w:t>
            </w:r>
          </w:p>
        </w:tc>
        <w:tc>
          <w:tcPr>
            <w:tcW w:w="760" w:type="dxa"/>
            <w:vAlign w:val="bottom"/>
            <w:tcBorders>
              <w:bottom w:val="single" w:sz="8" w:color="auto"/>
              <w:right w:val="single" w:sz="8" w:color="auto"/>
            </w:tcBorders>
            <w:shd w:val="clear" w:color="auto" w:fill="33CCCC"/>
          </w:tcPr>
          <w:p>
            <w:pPr>
              <w:jc w:val="center"/>
              <w:ind w:right="184"/>
              <w:spacing w:after="0"/>
              <w:rPr>
                <w:sz w:val="20"/>
                <w:szCs w:val="20"/>
                <w:color w:val="auto"/>
              </w:rPr>
            </w:pPr>
            <w:r>
              <w:rPr>
                <w:rFonts w:ascii="Arial" w:cs="Arial" w:eastAsia="Arial" w:hAnsi="Arial"/>
                <w:sz w:val="11"/>
                <w:szCs w:val="11"/>
                <w:b w:val="1"/>
                <w:bCs w:val="1"/>
                <w:color w:val="FFFFFF"/>
                <w:w w:val="93"/>
              </w:rPr>
              <w:t>YoY</w:t>
            </w:r>
          </w:p>
        </w:tc>
        <w:tc>
          <w:tcPr>
            <w:tcW w:w="760" w:type="dxa"/>
            <w:vAlign w:val="bottom"/>
            <w:tcBorders>
              <w:bottom w:val="single" w:sz="8" w:color="auto"/>
            </w:tcBorders>
            <w:shd w:val="clear" w:color="auto" w:fill="33CCCC"/>
          </w:tcPr>
          <w:p>
            <w:pPr>
              <w:jc w:val="center"/>
              <w:ind w:left="84"/>
              <w:spacing w:after="0"/>
              <w:rPr>
                <w:sz w:val="20"/>
                <w:szCs w:val="20"/>
                <w:color w:val="auto"/>
              </w:rPr>
            </w:pPr>
            <w:r>
              <w:rPr>
                <w:rFonts w:ascii="Arial" w:cs="Arial" w:eastAsia="Arial" w:hAnsi="Arial"/>
                <w:sz w:val="11"/>
                <w:szCs w:val="11"/>
                <w:b w:val="1"/>
                <w:bCs w:val="1"/>
                <w:color w:val="FFFFFF"/>
                <w:w w:val="95"/>
              </w:rPr>
              <w:t>Sep 24</w:t>
            </w:r>
          </w:p>
        </w:tc>
        <w:tc>
          <w:tcPr>
            <w:tcW w:w="1120" w:type="dxa"/>
            <w:vAlign w:val="bottom"/>
            <w:tcBorders>
              <w:bottom w:val="single" w:sz="8" w:color="auto"/>
              <w:right w:val="single" w:sz="8" w:color="auto"/>
            </w:tcBorders>
            <w:shd w:val="clear" w:color="auto" w:fill="33CCCC"/>
          </w:tcPr>
          <w:p>
            <w:pPr>
              <w:jc w:val="center"/>
              <w:ind w:left="84"/>
              <w:spacing w:after="0"/>
              <w:rPr>
                <w:sz w:val="20"/>
                <w:szCs w:val="20"/>
                <w:color w:val="auto"/>
              </w:rPr>
            </w:pPr>
            <w:r>
              <w:rPr>
                <w:rFonts w:ascii="Arial" w:cs="Arial" w:eastAsia="Arial" w:hAnsi="Arial"/>
                <w:sz w:val="11"/>
                <w:szCs w:val="11"/>
                <w:b w:val="1"/>
                <w:bCs w:val="1"/>
                <w:color w:val="FFFFFF"/>
                <w:w w:val="95"/>
              </w:rPr>
              <w:t>Sep 25</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9"/>
              </w:rPr>
              <w:t>Sep 25 / Sep 24</w:t>
            </w:r>
          </w:p>
        </w:tc>
      </w:tr>
      <w:tr>
        <w:trPr>
          <w:trHeight w:val="124"/>
        </w:trPr>
        <w:tc>
          <w:tcPr>
            <w:tcW w:w="300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ROE</w:t>
            </w:r>
          </w:p>
        </w:tc>
        <w:tc>
          <w:tcPr>
            <w:tcW w:w="840" w:type="dxa"/>
            <w:vAlign w:val="bottom"/>
          </w:tcPr>
          <w:p>
            <w:pPr>
              <w:jc w:val="center"/>
              <w:ind w:left="6"/>
              <w:spacing w:after="0" w:line="124" w:lineRule="exact"/>
              <w:rPr>
                <w:sz w:val="20"/>
                <w:szCs w:val="20"/>
                <w:color w:val="auto"/>
              </w:rPr>
            </w:pPr>
            <w:r>
              <w:rPr>
                <w:rFonts w:ascii="Arial" w:cs="Arial" w:eastAsia="Arial" w:hAnsi="Arial"/>
                <w:sz w:val="11"/>
                <w:szCs w:val="11"/>
                <w:color w:val="auto"/>
                <w:w w:val="96"/>
              </w:rPr>
              <w:t>27.9%</w:t>
            </w:r>
          </w:p>
        </w:tc>
        <w:tc>
          <w:tcPr>
            <w:tcW w:w="1040" w:type="dxa"/>
            <w:vAlign w:val="bottom"/>
          </w:tcPr>
          <w:p>
            <w:pPr>
              <w:jc w:val="center"/>
              <w:ind w:left="4"/>
              <w:spacing w:after="0" w:line="124" w:lineRule="exact"/>
              <w:rPr>
                <w:sz w:val="20"/>
                <w:szCs w:val="20"/>
                <w:color w:val="auto"/>
              </w:rPr>
            </w:pPr>
            <w:r>
              <w:rPr>
                <w:rFonts w:ascii="Arial" w:cs="Arial" w:eastAsia="Arial" w:hAnsi="Arial"/>
                <w:sz w:val="11"/>
                <w:szCs w:val="11"/>
                <w:color w:val="auto"/>
                <w:w w:val="96"/>
              </w:rPr>
              <w:t>40.1%</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41.0%</w:t>
            </w:r>
          </w:p>
        </w:tc>
        <w:tc>
          <w:tcPr>
            <w:tcW w:w="1140" w:type="dxa"/>
            <w:vAlign w:val="bottom"/>
          </w:tcPr>
          <w:p>
            <w:pPr>
              <w:jc w:val="center"/>
              <w:ind w:right="184"/>
              <w:spacing w:after="0" w:line="124" w:lineRule="exact"/>
              <w:rPr>
                <w:sz w:val="20"/>
                <w:szCs w:val="20"/>
                <w:color w:val="auto"/>
              </w:rPr>
            </w:pPr>
            <w:r>
              <w:rPr>
                <w:rFonts w:ascii="Arial" w:cs="Arial" w:eastAsia="Arial" w:hAnsi="Arial"/>
                <w:sz w:val="11"/>
                <w:szCs w:val="11"/>
                <w:color w:val="auto"/>
              </w:rPr>
              <w:t>89 pbs</w:t>
            </w:r>
          </w:p>
        </w:tc>
        <w:tc>
          <w:tcPr>
            <w:tcW w:w="760" w:type="dxa"/>
            <w:vAlign w:val="bottom"/>
            <w:tcBorders>
              <w:right w:val="single" w:sz="8" w:color="auto"/>
            </w:tcBorders>
          </w:tcPr>
          <w:p>
            <w:pPr>
              <w:jc w:val="center"/>
              <w:ind w:right="184"/>
              <w:spacing w:after="0" w:line="124" w:lineRule="exact"/>
              <w:rPr>
                <w:sz w:val="20"/>
                <w:szCs w:val="20"/>
                <w:color w:val="auto"/>
              </w:rPr>
            </w:pPr>
            <w:r>
              <w:rPr>
                <w:rFonts w:ascii="Arial" w:cs="Arial" w:eastAsia="Arial" w:hAnsi="Arial"/>
                <w:sz w:val="11"/>
                <w:szCs w:val="11"/>
                <w:color w:val="auto"/>
                <w:w w:val="97"/>
              </w:rPr>
              <w:t>1305 pbs</w:t>
            </w:r>
          </w:p>
        </w:tc>
        <w:tc>
          <w:tcPr>
            <w:tcW w:w="760" w:type="dxa"/>
            <w:vAlign w:val="bottom"/>
          </w:tcPr>
          <w:p>
            <w:pPr>
              <w:jc w:val="center"/>
              <w:ind w:left="84"/>
              <w:spacing w:after="0" w:line="124" w:lineRule="exact"/>
              <w:rPr>
                <w:sz w:val="20"/>
                <w:szCs w:val="20"/>
                <w:color w:val="auto"/>
              </w:rPr>
            </w:pPr>
            <w:r>
              <w:rPr>
                <w:rFonts w:ascii="Arial" w:cs="Arial" w:eastAsia="Arial" w:hAnsi="Arial"/>
                <w:sz w:val="11"/>
                <w:szCs w:val="11"/>
                <w:color w:val="auto"/>
                <w:w w:val="96"/>
              </w:rPr>
              <w:t>28.6%</w:t>
            </w:r>
          </w:p>
        </w:tc>
        <w:tc>
          <w:tcPr>
            <w:tcW w:w="1120" w:type="dxa"/>
            <w:vAlign w:val="bottom"/>
            <w:tcBorders>
              <w:right w:val="single" w:sz="8" w:color="auto"/>
            </w:tcBorders>
          </w:tcPr>
          <w:p>
            <w:pPr>
              <w:jc w:val="center"/>
              <w:ind w:left="84"/>
              <w:spacing w:after="0" w:line="124" w:lineRule="exact"/>
              <w:rPr>
                <w:sz w:val="20"/>
                <w:szCs w:val="20"/>
                <w:color w:val="auto"/>
              </w:rPr>
            </w:pPr>
            <w:r>
              <w:rPr>
                <w:rFonts w:ascii="Arial" w:cs="Arial" w:eastAsia="Arial" w:hAnsi="Arial"/>
                <w:sz w:val="11"/>
                <w:szCs w:val="11"/>
                <w:color w:val="auto"/>
                <w:w w:val="96"/>
              </w:rPr>
              <w:t>31.4%</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283 pbs</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Net Interest Margin</w:t>
            </w:r>
          </w:p>
        </w:tc>
        <w:tc>
          <w:tcPr>
            <w:tcW w:w="840" w:type="dxa"/>
            <w:vAlign w:val="bottom"/>
          </w:tcPr>
          <w:p>
            <w:pPr>
              <w:jc w:val="center"/>
              <w:ind w:left="6"/>
              <w:spacing w:after="0"/>
              <w:rPr>
                <w:sz w:val="20"/>
                <w:szCs w:val="20"/>
                <w:color w:val="auto"/>
              </w:rPr>
            </w:pPr>
            <w:r>
              <w:rPr>
                <w:rFonts w:ascii="Arial" w:cs="Arial" w:eastAsia="Arial" w:hAnsi="Arial"/>
                <w:sz w:val="11"/>
                <w:szCs w:val="11"/>
                <w:color w:val="auto"/>
              </w:rPr>
              <w:t>0.3%</w:t>
            </w:r>
          </w:p>
        </w:tc>
        <w:tc>
          <w:tcPr>
            <w:tcW w:w="1040" w:type="dxa"/>
            <w:vAlign w:val="bottom"/>
          </w:tcPr>
          <w:p>
            <w:pPr>
              <w:jc w:val="center"/>
              <w:ind w:left="4"/>
              <w:spacing w:after="0"/>
              <w:rPr>
                <w:sz w:val="20"/>
                <w:szCs w:val="20"/>
                <w:color w:val="auto"/>
              </w:rPr>
            </w:pPr>
            <w:r>
              <w:rPr>
                <w:rFonts w:ascii="Arial" w:cs="Arial" w:eastAsia="Arial" w:hAnsi="Arial"/>
                <w:sz w:val="11"/>
                <w:szCs w:val="11"/>
                <w:color w:val="auto"/>
              </w:rPr>
              <w:t>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-0.5%</w:t>
            </w:r>
          </w:p>
        </w:tc>
        <w:tc>
          <w:tcPr>
            <w:tcW w:w="1140" w:type="dxa"/>
            <w:vAlign w:val="bottom"/>
          </w:tcPr>
          <w:p>
            <w:pPr>
              <w:jc w:val="center"/>
              <w:ind w:right="204"/>
              <w:spacing w:after="0"/>
              <w:rPr>
                <w:sz w:val="20"/>
                <w:szCs w:val="20"/>
                <w:color w:val="auto"/>
              </w:rPr>
            </w:pPr>
            <w:r>
              <w:rPr>
                <w:rFonts w:ascii="Arial" w:cs="Arial" w:eastAsia="Arial" w:hAnsi="Arial"/>
                <w:sz w:val="11"/>
                <w:szCs w:val="11"/>
                <w:color w:val="auto"/>
                <w:w w:val="97"/>
              </w:rPr>
              <w:t>-53 pbs</w:t>
            </w:r>
          </w:p>
        </w:tc>
        <w:tc>
          <w:tcPr>
            <w:tcW w:w="760" w:type="dxa"/>
            <w:vAlign w:val="bottom"/>
            <w:tcBorders>
              <w:right w:val="single" w:sz="8" w:color="auto"/>
            </w:tcBorders>
          </w:tcPr>
          <w:p>
            <w:pPr>
              <w:jc w:val="center"/>
              <w:ind w:right="184"/>
              <w:spacing w:after="0"/>
              <w:rPr>
                <w:sz w:val="20"/>
                <w:szCs w:val="20"/>
                <w:color w:val="auto"/>
              </w:rPr>
            </w:pPr>
            <w:r>
              <w:rPr>
                <w:rFonts w:ascii="Arial" w:cs="Arial" w:eastAsia="Arial" w:hAnsi="Arial"/>
                <w:sz w:val="11"/>
                <w:szCs w:val="11"/>
                <w:color w:val="auto"/>
                <w:w w:val="97"/>
              </w:rPr>
              <w:t>-83 pbs</w:t>
            </w:r>
          </w:p>
        </w:tc>
        <w:tc>
          <w:tcPr>
            <w:tcW w:w="760" w:type="dxa"/>
            <w:vAlign w:val="bottom"/>
          </w:tcPr>
          <w:p>
            <w:pPr>
              <w:jc w:val="center"/>
              <w:ind w:left="84"/>
              <w:spacing w:after="0"/>
              <w:rPr>
                <w:sz w:val="20"/>
                <w:szCs w:val="20"/>
                <w:color w:val="auto"/>
              </w:rPr>
            </w:pPr>
            <w:r>
              <w:rPr>
                <w:rFonts w:ascii="Arial" w:cs="Arial" w:eastAsia="Arial" w:hAnsi="Arial"/>
                <w:sz w:val="11"/>
                <w:szCs w:val="11"/>
                <w:color w:val="auto"/>
              </w:rPr>
              <w:t>0.5%</w:t>
            </w:r>
          </w:p>
        </w:tc>
        <w:tc>
          <w:tcPr>
            <w:tcW w:w="1120" w:type="dxa"/>
            <w:vAlign w:val="bottom"/>
            <w:tcBorders>
              <w:right w:val="single" w:sz="8" w:color="auto"/>
            </w:tcBorders>
          </w:tcPr>
          <w:p>
            <w:pPr>
              <w:jc w:val="center"/>
              <w:ind w:left="84"/>
              <w:spacing w:after="0"/>
              <w:rPr>
                <w:sz w:val="20"/>
                <w:szCs w:val="20"/>
                <w:color w:val="auto"/>
              </w:rPr>
            </w:pPr>
            <w:r>
              <w:rPr>
                <w:rFonts w:ascii="Arial" w:cs="Arial" w:eastAsia="Arial" w:hAnsi="Arial"/>
                <w:sz w:val="11"/>
                <w:szCs w:val="11"/>
                <w:color w:val="auto"/>
              </w:rPr>
              <w:t>0.2%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-29 pbs</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Efficiency Ratio</w:t>
            </w:r>
          </w:p>
        </w:tc>
        <w:tc>
          <w:tcPr>
            <w:tcW w:w="840" w:type="dxa"/>
            <w:vAlign w:val="bottom"/>
          </w:tcPr>
          <w:p>
            <w:pPr>
              <w:jc w:val="center"/>
              <w:ind w:left="6"/>
              <w:spacing w:after="0"/>
              <w:rPr>
                <w:sz w:val="20"/>
                <w:szCs w:val="20"/>
                <w:color w:val="auto"/>
              </w:rPr>
            </w:pPr>
            <w:r>
              <w:rPr>
                <w:rFonts w:ascii="Arial" w:cs="Arial" w:eastAsia="Arial" w:hAnsi="Arial"/>
                <w:sz w:val="11"/>
                <w:szCs w:val="11"/>
                <w:color w:val="auto"/>
                <w:w w:val="96"/>
              </w:rPr>
              <w:t>50.7%</w:t>
            </w:r>
          </w:p>
        </w:tc>
        <w:tc>
          <w:tcPr>
            <w:tcW w:w="1040" w:type="dxa"/>
            <w:vAlign w:val="bottom"/>
          </w:tcPr>
          <w:p>
            <w:pPr>
              <w:jc w:val="center"/>
              <w:ind w:left="4"/>
              <w:spacing w:after="0"/>
              <w:rPr>
                <w:sz w:val="20"/>
                <w:szCs w:val="20"/>
                <w:color w:val="auto"/>
              </w:rPr>
            </w:pPr>
            <w:r>
              <w:rPr>
                <w:rFonts w:ascii="Arial" w:cs="Arial" w:eastAsia="Arial" w:hAnsi="Arial"/>
                <w:sz w:val="11"/>
                <w:szCs w:val="11"/>
                <w:color w:val="auto"/>
                <w:w w:val="96"/>
              </w:rPr>
              <w:t>51.4%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52.5%</w:t>
            </w:r>
          </w:p>
        </w:tc>
        <w:tc>
          <w:tcPr>
            <w:tcW w:w="1140" w:type="dxa"/>
            <w:vAlign w:val="bottom"/>
          </w:tcPr>
          <w:p>
            <w:pPr>
              <w:jc w:val="center"/>
              <w:ind w:right="184"/>
              <w:spacing w:after="0"/>
              <w:rPr>
                <w:sz w:val="20"/>
                <w:szCs w:val="20"/>
                <w:color w:val="auto"/>
              </w:rPr>
            </w:pPr>
            <w:r>
              <w:rPr>
                <w:rFonts w:ascii="Arial" w:cs="Arial" w:eastAsia="Arial" w:hAnsi="Arial"/>
                <w:sz w:val="11"/>
                <w:szCs w:val="11"/>
                <w:color w:val="auto"/>
                <w:w w:val="96"/>
              </w:rPr>
              <w:t>111 pbs</w:t>
            </w:r>
          </w:p>
        </w:tc>
        <w:tc>
          <w:tcPr>
            <w:tcW w:w="760" w:type="dxa"/>
            <w:vAlign w:val="bottom"/>
            <w:tcBorders>
              <w:right w:val="single" w:sz="8" w:color="auto"/>
            </w:tcBorders>
          </w:tcPr>
          <w:p>
            <w:pPr>
              <w:jc w:val="center"/>
              <w:ind w:right="204"/>
              <w:spacing w:after="0"/>
              <w:rPr>
                <w:sz w:val="20"/>
                <w:szCs w:val="20"/>
                <w:color w:val="auto"/>
              </w:rPr>
            </w:pPr>
            <w:r>
              <w:rPr>
                <w:rFonts w:ascii="Arial" w:cs="Arial" w:eastAsia="Arial" w:hAnsi="Arial"/>
                <w:sz w:val="11"/>
                <w:szCs w:val="11"/>
                <w:color w:val="auto"/>
                <w:w w:val="96"/>
              </w:rPr>
              <w:t>176 pbs</w:t>
            </w:r>
          </w:p>
        </w:tc>
        <w:tc>
          <w:tcPr>
            <w:tcW w:w="760" w:type="dxa"/>
            <w:vAlign w:val="bottom"/>
          </w:tcPr>
          <w:p>
            <w:pPr>
              <w:jc w:val="center"/>
              <w:ind w:left="84"/>
              <w:spacing w:after="0"/>
              <w:rPr>
                <w:sz w:val="20"/>
                <w:szCs w:val="20"/>
                <w:color w:val="auto"/>
              </w:rPr>
            </w:pPr>
            <w:r>
              <w:rPr>
                <w:rFonts w:ascii="Arial" w:cs="Arial" w:eastAsia="Arial" w:hAnsi="Arial"/>
                <w:sz w:val="11"/>
                <w:szCs w:val="11"/>
                <w:color w:val="auto"/>
                <w:w w:val="96"/>
              </w:rPr>
              <w:t>51.1%</w:t>
            </w:r>
          </w:p>
        </w:tc>
        <w:tc>
          <w:tcPr>
            <w:tcW w:w="1120" w:type="dxa"/>
            <w:vAlign w:val="bottom"/>
            <w:tcBorders>
              <w:right w:val="single" w:sz="8" w:color="auto"/>
            </w:tcBorders>
          </w:tcPr>
          <w:p>
            <w:pPr>
              <w:jc w:val="center"/>
              <w:ind w:left="84"/>
              <w:spacing w:after="0"/>
              <w:rPr>
                <w:sz w:val="20"/>
                <w:szCs w:val="20"/>
                <w:color w:val="auto"/>
              </w:rPr>
            </w:pPr>
            <w:r>
              <w:rPr>
                <w:rFonts w:ascii="Arial" w:cs="Arial" w:eastAsia="Arial" w:hAnsi="Arial"/>
                <w:sz w:val="11"/>
                <w:szCs w:val="11"/>
                <w:color w:val="auto"/>
                <w:w w:val="96"/>
              </w:rPr>
              <w:t>52.7%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163 pbs</w:t>
            </w:r>
          </w:p>
        </w:tc>
      </w:tr>
      <w:tr>
        <w:trPr>
          <w:trHeight w:val="132"/>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Expenses / Total Average Assets</w:t>
            </w:r>
          </w:p>
        </w:tc>
        <w:tc>
          <w:tcPr>
            <w:tcW w:w="840" w:type="dxa"/>
            <w:vAlign w:val="bottom"/>
            <w:tcBorders>
              <w:bottom w:val="single" w:sz="8" w:color="auto"/>
            </w:tcBorders>
          </w:tcPr>
          <w:p>
            <w:pPr>
              <w:jc w:val="center"/>
              <w:ind w:left="6"/>
              <w:spacing w:after="0"/>
              <w:rPr>
                <w:sz w:val="20"/>
                <w:szCs w:val="20"/>
                <w:color w:val="auto"/>
              </w:rPr>
            </w:pPr>
            <w:r>
              <w:rPr>
                <w:rFonts w:ascii="Arial" w:cs="Arial" w:eastAsia="Arial" w:hAnsi="Arial"/>
                <w:sz w:val="11"/>
                <w:szCs w:val="11"/>
                <w:color w:val="auto"/>
                <w:w w:val="96"/>
              </w:rPr>
              <w:t>26.5%</w:t>
            </w:r>
          </w:p>
        </w:tc>
        <w:tc>
          <w:tcPr>
            <w:tcW w:w="1040" w:type="dxa"/>
            <w:vAlign w:val="bottom"/>
            <w:tcBorders>
              <w:bottom w:val="single" w:sz="8" w:color="auto"/>
            </w:tcBorders>
          </w:tcPr>
          <w:p>
            <w:pPr>
              <w:jc w:val="center"/>
              <w:ind w:left="4"/>
              <w:spacing w:after="0"/>
              <w:rPr>
                <w:sz w:val="20"/>
                <w:szCs w:val="20"/>
                <w:color w:val="auto"/>
              </w:rPr>
            </w:pPr>
            <w:r>
              <w:rPr>
                <w:rFonts w:ascii="Arial" w:cs="Arial" w:eastAsia="Arial" w:hAnsi="Arial"/>
                <w:sz w:val="11"/>
                <w:szCs w:val="11"/>
                <w:color w:val="auto"/>
                <w:w w:val="96"/>
              </w:rPr>
              <w:t>32.2%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32.2%</w:t>
            </w:r>
          </w:p>
        </w:tc>
        <w:tc>
          <w:tcPr>
            <w:tcW w:w="1140" w:type="dxa"/>
            <w:vAlign w:val="bottom"/>
            <w:tcBorders>
              <w:bottom w:val="single" w:sz="8" w:color="auto"/>
            </w:tcBorders>
          </w:tcPr>
          <w:p>
            <w:pPr>
              <w:jc w:val="center"/>
              <w:ind w:right="184"/>
              <w:spacing w:after="0"/>
              <w:rPr>
                <w:sz w:val="20"/>
                <w:szCs w:val="20"/>
                <w:color w:val="auto"/>
              </w:rPr>
            </w:pPr>
            <w:r>
              <w:rPr>
                <w:rFonts w:ascii="Arial" w:cs="Arial" w:eastAsia="Arial" w:hAnsi="Arial"/>
                <w:sz w:val="11"/>
                <w:szCs w:val="11"/>
                <w:color w:val="auto"/>
                <w:w w:val="96"/>
              </w:rPr>
              <w:t>6 pbs</w:t>
            </w:r>
          </w:p>
        </w:tc>
        <w:tc>
          <w:tcPr>
            <w:tcW w:w="760" w:type="dxa"/>
            <w:vAlign w:val="bottom"/>
            <w:tcBorders>
              <w:bottom w:val="single" w:sz="8" w:color="auto"/>
              <w:right w:val="single" w:sz="8" w:color="auto"/>
            </w:tcBorders>
          </w:tcPr>
          <w:p>
            <w:pPr>
              <w:jc w:val="center"/>
              <w:ind w:right="204"/>
              <w:spacing w:after="0"/>
              <w:rPr>
                <w:sz w:val="20"/>
                <w:szCs w:val="20"/>
                <w:color w:val="auto"/>
              </w:rPr>
            </w:pPr>
            <w:r>
              <w:rPr>
                <w:rFonts w:ascii="Arial" w:cs="Arial" w:eastAsia="Arial" w:hAnsi="Arial"/>
                <w:sz w:val="11"/>
                <w:szCs w:val="11"/>
                <w:color w:val="auto"/>
                <w:w w:val="96"/>
              </w:rPr>
              <w:t>575 pbs</w:t>
            </w:r>
          </w:p>
        </w:tc>
        <w:tc>
          <w:tcPr>
            <w:tcW w:w="760" w:type="dxa"/>
            <w:vAlign w:val="bottom"/>
            <w:tcBorders>
              <w:bottom w:val="single" w:sz="8" w:color="auto"/>
            </w:tcBorders>
          </w:tcPr>
          <w:p>
            <w:pPr>
              <w:jc w:val="center"/>
              <w:ind w:left="84"/>
              <w:spacing w:after="0"/>
              <w:rPr>
                <w:sz w:val="20"/>
                <w:szCs w:val="20"/>
                <w:color w:val="auto"/>
              </w:rPr>
            </w:pPr>
            <w:r>
              <w:rPr>
                <w:rFonts w:ascii="Arial" w:cs="Arial" w:eastAsia="Arial" w:hAnsi="Arial"/>
                <w:sz w:val="11"/>
                <w:szCs w:val="11"/>
                <w:color w:val="auto"/>
                <w:w w:val="96"/>
              </w:rPr>
              <w:t>26.4%</w:t>
            </w:r>
          </w:p>
        </w:tc>
        <w:tc>
          <w:tcPr>
            <w:tcW w:w="112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1"/>
                <w:szCs w:val="11"/>
                <w:color w:val="auto"/>
                <w:w w:val="96"/>
              </w:rPr>
              <w:t>31.0%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456 pbs</w:t>
            </w:r>
          </w:p>
        </w:tc>
      </w:tr>
      <w:tr>
        <w:trPr>
          <w:trHeight w:val="374"/>
        </w:trPr>
        <w:tc>
          <w:tcPr>
            <w:tcW w:w="3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40" w:type="dxa"/>
            <w:vAlign w:val="bottom"/>
            <w:gridSpan w:val="3"/>
          </w:tcPr>
          <w:p>
            <w:pPr>
              <w:ind w:left="200"/>
              <w:spacing w:after="0"/>
              <w:rPr>
                <w:sz w:val="20"/>
                <w:szCs w:val="20"/>
                <w:color w:val="auto"/>
              </w:rPr>
            </w:pPr>
            <w:r>
              <w:rPr>
                <w:rFonts w:ascii="Arial" w:cs="Arial" w:eastAsia="Arial" w:hAnsi="Arial"/>
                <w:sz w:val="16"/>
                <w:szCs w:val="16"/>
                <w:b w:val="1"/>
                <w:bCs w:val="1"/>
                <w:color w:val="auto"/>
              </w:rPr>
              <w:t>Main Indicators and Market Share</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58"/>
        </w:trPr>
        <w:tc>
          <w:tcPr>
            <w:tcW w:w="30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48"/>
        </w:trPr>
        <w:tc>
          <w:tcPr>
            <w:tcW w:w="3000" w:type="dxa"/>
            <w:vAlign w:val="bottom"/>
            <w:tcBorders>
              <w:left w:val="single" w:sz="8" w:color="auto"/>
              <w:right w:val="single" w:sz="8" w:color="33CCCC"/>
            </w:tcBorders>
            <w:shd w:val="clear" w:color="auto" w:fill="33CCCC"/>
          </w:tcPr>
          <w:p>
            <w:pPr>
              <w:spacing w:after="0"/>
              <w:rPr>
                <w:sz w:val="12"/>
                <w:szCs w:val="12"/>
                <w:color w:val="auto"/>
              </w:rPr>
            </w:pPr>
          </w:p>
        </w:tc>
        <w:tc>
          <w:tcPr>
            <w:tcW w:w="840" w:type="dxa"/>
            <w:vAlign w:val="bottom"/>
            <w:shd w:val="clear" w:color="auto" w:fill="33CCCC"/>
          </w:tcPr>
          <w:p>
            <w:pPr>
              <w:spacing w:after="0"/>
              <w:rPr>
                <w:sz w:val="12"/>
                <w:szCs w:val="12"/>
                <w:color w:val="auto"/>
              </w:rPr>
            </w:pPr>
          </w:p>
        </w:tc>
        <w:tc>
          <w:tcPr>
            <w:tcW w:w="1040" w:type="dxa"/>
            <w:vAlign w:val="bottom"/>
            <w:tcBorders>
              <w:right w:val="single" w:sz="8" w:color="auto"/>
            </w:tcBorders>
            <w:shd w:val="clear" w:color="auto" w:fill="33CCCC"/>
          </w:tcPr>
          <w:p>
            <w:pPr>
              <w:spacing w:after="0"/>
              <w:rPr>
                <w:sz w:val="12"/>
                <w:szCs w:val="12"/>
                <w:color w:val="auto"/>
              </w:rPr>
            </w:pPr>
          </w:p>
        </w:tc>
        <w:tc>
          <w:tcPr>
            <w:tcW w:w="960" w:type="dxa"/>
            <w:vAlign w:val="bottom"/>
            <w:tcBorders>
              <w:right w:val="single" w:sz="8" w:color="33CCCC"/>
            </w:tcBorders>
            <w:shd w:val="clear" w:color="auto" w:fill="33CCCC"/>
          </w:tcPr>
          <w:p>
            <w:pPr>
              <w:ind w:left="320"/>
              <w:spacing w:after="0" w:line="148" w:lineRule="exact"/>
              <w:rPr>
                <w:sz w:val="20"/>
                <w:szCs w:val="20"/>
                <w:color w:val="auto"/>
              </w:rPr>
            </w:pPr>
            <w:r>
              <w:rPr>
                <w:rFonts w:ascii="Arial" w:cs="Arial" w:eastAsia="Arial" w:hAnsi="Arial"/>
                <w:sz w:val="13"/>
                <w:szCs w:val="13"/>
                <w:b w:val="1"/>
                <w:bCs w:val="1"/>
                <w:color w:val="FFFFFF"/>
              </w:rPr>
              <w:t>Prima</w:t>
            </w:r>
          </w:p>
        </w:tc>
        <w:tc>
          <w:tcPr>
            <w:tcW w:w="1140" w:type="dxa"/>
            <w:vAlign w:val="bottom"/>
            <w:shd w:val="clear" w:color="auto" w:fill="33CCCC"/>
          </w:tcPr>
          <w:p>
            <w:pPr>
              <w:ind w:left="260"/>
              <w:spacing w:after="0" w:line="148" w:lineRule="exact"/>
              <w:rPr>
                <w:sz w:val="20"/>
                <w:szCs w:val="20"/>
                <w:color w:val="auto"/>
              </w:rPr>
            </w:pPr>
            <w:r>
              <w:rPr>
                <w:rFonts w:ascii="Arial" w:cs="Arial" w:eastAsia="Arial" w:hAnsi="Arial"/>
                <w:sz w:val="13"/>
                <w:szCs w:val="13"/>
                <w:b w:val="1"/>
                <w:bCs w:val="1"/>
                <w:color w:val="FFFFFF"/>
              </w:rPr>
              <w:t>System</w:t>
            </w:r>
          </w:p>
        </w:tc>
        <w:tc>
          <w:tcPr>
            <w:tcW w:w="760" w:type="dxa"/>
            <w:vAlign w:val="bottom"/>
            <w:tcBorders>
              <w:right w:val="single" w:sz="8" w:color="auto"/>
            </w:tcBorders>
            <w:shd w:val="clear" w:color="auto" w:fill="33CCCC"/>
          </w:tcPr>
          <w:p>
            <w:pPr>
              <w:ind w:left="40"/>
              <w:spacing w:after="0" w:line="148" w:lineRule="exact"/>
              <w:rPr>
                <w:sz w:val="20"/>
                <w:szCs w:val="20"/>
                <w:color w:val="auto"/>
              </w:rPr>
            </w:pPr>
            <w:r>
              <w:rPr>
                <w:rFonts w:ascii="Arial" w:cs="Arial" w:eastAsia="Arial" w:hAnsi="Arial"/>
                <w:sz w:val="13"/>
                <w:szCs w:val="13"/>
                <w:b w:val="1"/>
                <w:bCs w:val="1"/>
                <w:color w:val="FFFFFF"/>
              </w:rPr>
              <w:t>Share %</w:t>
            </w:r>
          </w:p>
        </w:tc>
        <w:tc>
          <w:tcPr>
            <w:tcW w:w="760" w:type="dxa"/>
            <w:vAlign w:val="bottom"/>
            <w:shd w:val="clear" w:color="auto" w:fill="33CCCC"/>
          </w:tcPr>
          <w:p>
            <w:pPr>
              <w:ind w:left="300"/>
              <w:spacing w:after="0" w:line="148" w:lineRule="exact"/>
              <w:rPr>
                <w:sz w:val="20"/>
                <w:szCs w:val="20"/>
                <w:color w:val="auto"/>
              </w:rPr>
            </w:pPr>
            <w:r>
              <w:rPr>
                <w:rFonts w:ascii="Arial" w:cs="Arial" w:eastAsia="Arial" w:hAnsi="Arial"/>
                <w:sz w:val="13"/>
                <w:szCs w:val="13"/>
                <w:b w:val="1"/>
                <w:bCs w:val="1"/>
                <w:color w:val="FFFFFF"/>
              </w:rPr>
              <w:t>Prima</w:t>
            </w:r>
          </w:p>
        </w:tc>
        <w:tc>
          <w:tcPr>
            <w:tcW w:w="1120" w:type="dxa"/>
            <w:vAlign w:val="bottom"/>
            <w:tcBorders>
              <w:right w:val="single" w:sz="8" w:color="33CCCC"/>
            </w:tcBorders>
            <w:shd w:val="clear" w:color="auto" w:fill="33CCCC"/>
          </w:tcPr>
          <w:p>
            <w:pPr>
              <w:ind w:left="440"/>
              <w:spacing w:after="0" w:line="148" w:lineRule="exact"/>
              <w:rPr>
                <w:sz w:val="20"/>
                <w:szCs w:val="20"/>
                <w:color w:val="auto"/>
              </w:rPr>
            </w:pPr>
            <w:r>
              <w:rPr>
                <w:rFonts w:ascii="Arial" w:cs="Arial" w:eastAsia="Arial" w:hAnsi="Arial"/>
                <w:sz w:val="13"/>
                <w:szCs w:val="13"/>
                <w:b w:val="1"/>
                <w:bCs w:val="1"/>
                <w:color w:val="FFFFFF"/>
              </w:rPr>
              <w:t>System</w:t>
            </w:r>
          </w:p>
        </w:tc>
        <w:tc>
          <w:tcPr>
            <w:tcW w:w="960" w:type="dxa"/>
            <w:vAlign w:val="bottom"/>
            <w:tcBorders>
              <w:right w:val="single" w:sz="8" w:color="auto"/>
            </w:tcBorders>
            <w:shd w:val="clear" w:color="auto" w:fill="33CCCC"/>
          </w:tcPr>
          <w:p>
            <w:pPr>
              <w:ind w:left="240"/>
              <w:spacing w:after="0" w:line="148" w:lineRule="exact"/>
              <w:rPr>
                <w:sz w:val="20"/>
                <w:szCs w:val="20"/>
                <w:color w:val="auto"/>
              </w:rPr>
            </w:pPr>
            <w:r>
              <w:rPr>
                <w:rFonts w:ascii="Arial" w:cs="Arial" w:eastAsia="Arial" w:hAnsi="Arial"/>
                <w:sz w:val="13"/>
                <w:szCs w:val="13"/>
                <w:b w:val="1"/>
                <w:bCs w:val="1"/>
                <w:color w:val="FFFFFF"/>
              </w:rPr>
              <w:t>Share %</w:t>
            </w:r>
          </w:p>
        </w:tc>
      </w:tr>
      <w:tr>
        <w:trPr>
          <w:trHeight w:val="156"/>
        </w:trPr>
        <w:tc>
          <w:tcPr>
            <w:tcW w:w="3000" w:type="dxa"/>
            <w:vAlign w:val="bottom"/>
            <w:tcBorders>
              <w:left w:val="single" w:sz="8" w:color="auto"/>
              <w:bottom w:val="single" w:sz="8" w:color="auto"/>
              <w:right w:val="single" w:sz="8" w:color="33CCCC"/>
            </w:tcBorders>
            <w:shd w:val="clear" w:color="auto" w:fill="33CCCC"/>
          </w:tcPr>
          <w:p>
            <w:pPr>
              <w:spacing w:after="0"/>
              <w:rPr>
                <w:sz w:val="13"/>
                <w:szCs w:val="13"/>
                <w:color w:val="auto"/>
              </w:rPr>
            </w:pPr>
          </w:p>
        </w:tc>
        <w:tc>
          <w:tcPr>
            <w:tcW w:w="840" w:type="dxa"/>
            <w:vAlign w:val="bottom"/>
            <w:tcBorders>
              <w:bottom w:val="single" w:sz="8" w:color="auto"/>
            </w:tcBorders>
            <w:shd w:val="clear" w:color="auto" w:fill="33CCCC"/>
          </w:tcPr>
          <w:p>
            <w:pPr>
              <w:spacing w:after="0"/>
              <w:rPr>
                <w:sz w:val="13"/>
                <w:szCs w:val="13"/>
                <w:color w:val="auto"/>
              </w:rPr>
            </w:pPr>
          </w:p>
        </w:tc>
        <w:tc>
          <w:tcPr>
            <w:tcW w:w="1040" w:type="dxa"/>
            <w:vAlign w:val="bottom"/>
            <w:tcBorders>
              <w:bottom w:val="single" w:sz="8" w:color="auto"/>
              <w:right w:val="single" w:sz="8" w:color="auto"/>
            </w:tcBorders>
            <w:shd w:val="clear" w:color="auto" w:fill="33CCCC"/>
          </w:tcPr>
          <w:p>
            <w:pPr>
              <w:spacing w:after="0"/>
              <w:rPr>
                <w:sz w:val="13"/>
                <w:szCs w:val="13"/>
                <w:color w:val="auto"/>
              </w:rPr>
            </w:pPr>
          </w:p>
        </w:tc>
        <w:tc>
          <w:tcPr>
            <w:tcW w:w="960" w:type="dxa"/>
            <w:vAlign w:val="bottom"/>
            <w:tcBorders>
              <w:bottom w:val="single" w:sz="8" w:color="auto"/>
              <w:right w:val="single" w:sz="8" w:color="33CCCC"/>
            </w:tcBorders>
            <w:shd w:val="clear" w:color="auto" w:fill="33CCCC"/>
          </w:tcPr>
          <w:p>
            <w:pPr>
              <w:ind w:left="320"/>
              <w:spacing w:after="0"/>
              <w:rPr>
                <w:sz w:val="20"/>
                <w:szCs w:val="20"/>
                <w:color w:val="auto"/>
              </w:rPr>
            </w:pPr>
            <w:r>
              <w:rPr>
                <w:rFonts w:ascii="Arial" w:cs="Arial" w:eastAsia="Arial" w:hAnsi="Arial"/>
                <w:sz w:val="13"/>
                <w:szCs w:val="13"/>
                <w:b w:val="1"/>
                <w:bCs w:val="1"/>
                <w:color w:val="FFFFFF"/>
              </w:rPr>
              <w:t>2Q25</w:t>
            </w:r>
          </w:p>
        </w:tc>
        <w:tc>
          <w:tcPr>
            <w:tcW w:w="1140" w:type="dxa"/>
            <w:vAlign w:val="bottom"/>
            <w:tcBorders>
              <w:bottom w:val="single" w:sz="8" w:color="auto"/>
            </w:tcBorders>
            <w:shd w:val="clear" w:color="auto" w:fill="33CCCC"/>
          </w:tcPr>
          <w:p>
            <w:pPr>
              <w:jc w:val="center"/>
              <w:ind w:right="164"/>
              <w:spacing w:after="0"/>
              <w:rPr>
                <w:sz w:val="20"/>
                <w:szCs w:val="20"/>
                <w:color w:val="auto"/>
              </w:rPr>
            </w:pPr>
            <w:r>
              <w:rPr>
                <w:rFonts w:ascii="Arial" w:cs="Arial" w:eastAsia="Arial" w:hAnsi="Arial"/>
                <w:sz w:val="13"/>
                <w:szCs w:val="13"/>
                <w:b w:val="1"/>
                <w:bCs w:val="1"/>
                <w:color w:val="FFFFFF"/>
              </w:rPr>
              <w:t>2Q25</w:t>
            </w:r>
          </w:p>
        </w:tc>
        <w:tc>
          <w:tcPr>
            <w:tcW w:w="760" w:type="dxa"/>
            <w:vAlign w:val="bottom"/>
            <w:tcBorders>
              <w:bottom w:val="single" w:sz="8" w:color="auto"/>
              <w:right w:val="single" w:sz="8" w:color="auto"/>
            </w:tcBorders>
            <w:shd w:val="clear" w:color="auto" w:fill="33CCCC"/>
          </w:tcPr>
          <w:p>
            <w:pPr>
              <w:jc w:val="center"/>
              <w:ind w:right="144"/>
              <w:spacing w:after="0"/>
              <w:rPr>
                <w:sz w:val="20"/>
                <w:szCs w:val="20"/>
                <w:color w:val="auto"/>
              </w:rPr>
            </w:pPr>
            <w:r>
              <w:rPr>
                <w:rFonts w:ascii="Arial" w:cs="Arial" w:eastAsia="Arial" w:hAnsi="Arial"/>
                <w:sz w:val="13"/>
                <w:szCs w:val="13"/>
                <w:b w:val="1"/>
                <w:bCs w:val="1"/>
                <w:color w:val="FFFFFF"/>
              </w:rPr>
              <w:t>2Q25</w:t>
            </w:r>
          </w:p>
        </w:tc>
        <w:tc>
          <w:tcPr>
            <w:tcW w:w="760" w:type="dxa"/>
            <w:vAlign w:val="bottom"/>
            <w:tcBorders>
              <w:bottom w:val="single" w:sz="8" w:color="auto"/>
            </w:tcBorders>
            <w:shd w:val="clear" w:color="auto" w:fill="33CCCC"/>
          </w:tcPr>
          <w:p>
            <w:pPr>
              <w:ind w:left="300"/>
              <w:spacing w:after="0"/>
              <w:rPr>
                <w:sz w:val="20"/>
                <w:szCs w:val="20"/>
                <w:color w:val="auto"/>
              </w:rPr>
            </w:pPr>
            <w:r>
              <w:rPr>
                <w:rFonts w:ascii="Arial" w:cs="Arial" w:eastAsia="Arial" w:hAnsi="Arial"/>
                <w:sz w:val="13"/>
                <w:szCs w:val="13"/>
                <w:b w:val="1"/>
                <w:bCs w:val="1"/>
                <w:color w:val="FFFFFF"/>
              </w:rPr>
              <w:t>3Q25</w:t>
            </w:r>
          </w:p>
        </w:tc>
        <w:tc>
          <w:tcPr>
            <w:tcW w:w="1120" w:type="dxa"/>
            <w:vAlign w:val="bottom"/>
            <w:tcBorders>
              <w:bottom w:val="single" w:sz="8" w:color="auto"/>
              <w:right w:val="single" w:sz="8" w:color="33CCCC"/>
            </w:tcBorders>
            <w:shd w:val="clear" w:color="auto" w:fill="33CCCC"/>
          </w:tcPr>
          <w:p>
            <w:pPr>
              <w:ind w:left="500"/>
              <w:spacing w:after="0"/>
              <w:rPr>
                <w:sz w:val="20"/>
                <w:szCs w:val="20"/>
                <w:color w:val="auto"/>
              </w:rPr>
            </w:pPr>
            <w:r>
              <w:rPr>
                <w:rFonts w:ascii="Arial" w:cs="Arial" w:eastAsia="Arial" w:hAnsi="Arial"/>
                <w:sz w:val="13"/>
                <w:szCs w:val="13"/>
                <w:b w:val="1"/>
                <w:bCs w:val="1"/>
                <w:color w:val="FFFFFF"/>
              </w:rPr>
              <w:t>3Q25</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3Q25</w:t>
            </w:r>
          </w:p>
        </w:tc>
      </w:tr>
      <w:tr>
        <w:trPr>
          <w:trHeight w:val="137"/>
        </w:trPr>
        <w:tc>
          <w:tcPr>
            <w:tcW w:w="3000" w:type="dxa"/>
            <w:vAlign w:val="bottom"/>
            <w:tcBorders>
              <w:left w:val="single" w:sz="8" w:color="auto"/>
            </w:tcBorders>
          </w:tcPr>
          <w:p>
            <w:pPr>
              <w:ind w:left="20"/>
              <w:spacing w:after="0" w:line="137" w:lineRule="exact"/>
              <w:rPr>
                <w:sz w:val="20"/>
                <w:szCs w:val="20"/>
                <w:color w:val="auto"/>
              </w:rPr>
            </w:pPr>
            <w:r>
              <w:rPr>
                <w:rFonts w:ascii="Arial" w:cs="Arial" w:eastAsia="Arial" w:hAnsi="Arial"/>
                <w:sz w:val="13"/>
                <w:szCs w:val="13"/>
                <w:color w:val="auto"/>
              </w:rPr>
              <w:t>AUMs (S/ Millions)</w:t>
            </w:r>
          </w:p>
        </w:tc>
        <w:tc>
          <w:tcPr>
            <w:tcW w:w="8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60" w:type="dxa"/>
            <w:vAlign w:val="bottom"/>
          </w:tcPr>
          <w:p>
            <w:pPr>
              <w:jc w:val="center"/>
              <w:spacing w:after="0" w:line="137" w:lineRule="exact"/>
              <w:rPr>
                <w:sz w:val="20"/>
                <w:szCs w:val="20"/>
                <w:color w:val="auto"/>
              </w:rPr>
            </w:pPr>
            <w:r>
              <w:rPr>
                <w:rFonts w:ascii="Arial" w:cs="Arial" w:eastAsia="Arial" w:hAnsi="Arial"/>
                <w:sz w:val="13"/>
                <w:szCs w:val="13"/>
                <w:color w:val="auto"/>
              </w:rPr>
              <w:t>32,943</w:t>
            </w:r>
          </w:p>
        </w:tc>
        <w:tc>
          <w:tcPr>
            <w:tcW w:w="1140" w:type="dxa"/>
            <w:vAlign w:val="bottom"/>
          </w:tcPr>
          <w:p>
            <w:pPr>
              <w:jc w:val="center"/>
              <w:ind w:right="204"/>
              <w:spacing w:after="0" w:line="137" w:lineRule="exact"/>
              <w:rPr>
                <w:sz w:val="20"/>
                <w:szCs w:val="20"/>
                <w:color w:val="auto"/>
              </w:rPr>
            </w:pPr>
            <w:r>
              <w:rPr>
                <w:rFonts w:ascii="Arial" w:cs="Arial" w:eastAsia="Arial" w:hAnsi="Arial"/>
                <w:sz w:val="13"/>
                <w:szCs w:val="13"/>
                <w:color w:val="auto"/>
              </w:rPr>
              <w:t>113,513</w:t>
            </w:r>
          </w:p>
        </w:tc>
        <w:tc>
          <w:tcPr>
            <w:tcW w:w="760" w:type="dxa"/>
            <w:vAlign w:val="bottom"/>
            <w:tcBorders>
              <w:right w:val="single" w:sz="8" w:color="auto"/>
            </w:tcBorders>
          </w:tcPr>
          <w:p>
            <w:pPr>
              <w:jc w:val="center"/>
              <w:ind w:right="204"/>
              <w:spacing w:after="0" w:line="137" w:lineRule="exact"/>
              <w:rPr>
                <w:sz w:val="20"/>
                <w:szCs w:val="20"/>
                <w:color w:val="auto"/>
              </w:rPr>
            </w:pPr>
            <w:r>
              <w:rPr>
                <w:rFonts w:ascii="Arial" w:cs="Arial" w:eastAsia="Arial" w:hAnsi="Arial"/>
                <w:sz w:val="13"/>
                <w:szCs w:val="13"/>
                <w:color w:val="auto"/>
                <w:w w:val="99"/>
              </w:rPr>
              <w:t>29%</w:t>
            </w:r>
          </w:p>
        </w:tc>
        <w:tc>
          <w:tcPr>
            <w:tcW w:w="760" w:type="dxa"/>
            <w:vAlign w:val="bottom"/>
          </w:tcPr>
          <w:p>
            <w:pPr>
              <w:jc w:val="center"/>
              <w:ind w:left="84"/>
              <w:spacing w:after="0" w:line="137" w:lineRule="exact"/>
              <w:rPr>
                <w:sz w:val="20"/>
                <w:szCs w:val="20"/>
                <w:color w:val="auto"/>
              </w:rPr>
            </w:pPr>
            <w:r>
              <w:rPr>
                <w:rFonts w:ascii="Arial" w:cs="Arial" w:eastAsia="Arial" w:hAnsi="Arial"/>
                <w:sz w:val="13"/>
                <w:szCs w:val="13"/>
                <w:color w:val="auto"/>
              </w:rPr>
              <w:t>35,067</w:t>
            </w:r>
          </w:p>
        </w:tc>
        <w:tc>
          <w:tcPr>
            <w:tcW w:w="1120" w:type="dxa"/>
            <w:vAlign w:val="bottom"/>
          </w:tcPr>
          <w:p>
            <w:pPr>
              <w:jc w:val="center"/>
              <w:ind w:left="104"/>
              <w:spacing w:after="0" w:line="137" w:lineRule="exact"/>
              <w:rPr>
                <w:sz w:val="20"/>
                <w:szCs w:val="20"/>
                <w:color w:val="auto"/>
              </w:rPr>
            </w:pPr>
            <w:r>
              <w:rPr>
                <w:rFonts w:ascii="Arial" w:cs="Arial" w:eastAsia="Arial" w:hAnsi="Arial"/>
                <w:sz w:val="13"/>
                <w:szCs w:val="13"/>
                <w:color w:val="auto"/>
              </w:rPr>
              <w:t>122,262</w:t>
            </w:r>
          </w:p>
        </w:tc>
        <w:tc>
          <w:tcPr>
            <w:tcW w:w="9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w w:val="99"/>
              </w:rPr>
              <w:t>29%</w:t>
            </w:r>
          </w:p>
        </w:tc>
      </w:tr>
      <w:tr>
        <w:trPr>
          <w:trHeight w:val="156"/>
        </w:trPr>
        <w:tc>
          <w:tcPr>
            <w:tcW w:w="300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Affiliates (S/ Millions)</w:t>
            </w:r>
          </w:p>
        </w:tc>
        <w:tc>
          <w:tcPr>
            <w:tcW w:w="8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2,339,871</w:t>
            </w:r>
          </w:p>
        </w:tc>
        <w:tc>
          <w:tcPr>
            <w:tcW w:w="1140" w:type="dxa"/>
            <w:vAlign w:val="bottom"/>
          </w:tcPr>
          <w:p>
            <w:pPr>
              <w:jc w:val="center"/>
              <w:ind w:right="184"/>
              <w:spacing w:after="0"/>
              <w:rPr>
                <w:sz w:val="20"/>
                <w:szCs w:val="20"/>
                <w:color w:val="auto"/>
              </w:rPr>
            </w:pPr>
            <w:r>
              <w:rPr>
                <w:rFonts w:ascii="Arial" w:cs="Arial" w:eastAsia="Arial" w:hAnsi="Arial"/>
                <w:sz w:val="13"/>
                <w:szCs w:val="13"/>
                <w:color w:val="auto"/>
              </w:rPr>
              <w:t>10,049,438</w:t>
            </w:r>
          </w:p>
        </w:tc>
        <w:tc>
          <w:tcPr>
            <w:tcW w:w="760" w:type="dxa"/>
            <w:vAlign w:val="bottom"/>
            <w:tcBorders>
              <w:right w:val="single" w:sz="8" w:color="auto"/>
            </w:tcBorders>
          </w:tcPr>
          <w:p>
            <w:pPr>
              <w:jc w:val="center"/>
              <w:ind w:right="204"/>
              <w:spacing w:after="0"/>
              <w:rPr>
                <w:sz w:val="20"/>
                <w:szCs w:val="20"/>
                <w:color w:val="auto"/>
              </w:rPr>
            </w:pPr>
            <w:r>
              <w:rPr>
                <w:rFonts w:ascii="Arial" w:cs="Arial" w:eastAsia="Arial" w:hAnsi="Arial"/>
                <w:sz w:val="13"/>
                <w:szCs w:val="13"/>
                <w:color w:val="auto"/>
                <w:w w:val="99"/>
              </w:rPr>
              <w:t>23%</w:t>
            </w:r>
          </w:p>
        </w:tc>
        <w:tc>
          <w:tcPr>
            <w:tcW w:w="760" w:type="dxa"/>
            <w:vAlign w:val="bottom"/>
          </w:tcPr>
          <w:p>
            <w:pPr>
              <w:jc w:val="center"/>
              <w:ind w:left="84"/>
              <w:spacing w:after="0"/>
              <w:rPr>
                <w:sz w:val="20"/>
                <w:szCs w:val="20"/>
                <w:color w:val="auto"/>
              </w:rPr>
            </w:pPr>
            <w:r>
              <w:rPr>
                <w:rFonts w:ascii="Arial" w:cs="Arial" w:eastAsia="Arial" w:hAnsi="Arial"/>
                <w:sz w:val="13"/>
                <w:szCs w:val="13"/>
                <w:color w:val="auto"/>
              </w:rPr>
              <w:t>2,343,615</w:t>
            </w:r>
          </w:p>
        </w:tc>
        <w:tc>
          <w:tcPr>
            <w:tcW w:w="1120" w:type="dxa"/>
            <w:vAlign w:val="bottom"/>
          </w:tcPr>
          <w:p>
            <w:pPr>
              <w:jc w:val="center"/>
              <w:ind w:left="84"/>
              <w:spacing w:after="0"/>
              <w:rPr>
                <w:sz w:val="20"/>
                <w:szCs w:val="20"/>
                <w:color w:val="auto"/>
              </w:rPr>
            </w:pPr>
            <w:r>
              <w:rPr>
                <w:rFonts w:ascii="Arial" w:cs="Arial" w:eastAsia="Arial" w:hAnsi="Arial"/>
                <w:sz w:val="13"/>
                <w:szCs w:val="13"/>
                <w:color w:val="auto"/>
              </w:rPr>
              <w:t>10,167,243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23%</w:t>
            </w:r>
          </w:p>
        </w:tc>
      </w:tr>
      <w:tr>
        <w:trPr>
          <w:trHeight w:val="168"/>
        </w:trPr>
        <w:tc>
          <w:tcPr>
            <w:tcW w:w="30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Collections (S/ Millions)</w:t>
            </w:r>
          </w:p>
        </w:tc>
        <w:tc>
          <w:tcPr>
            <w:tcW w:w="84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1,121</w:t>
            </w:r>
          </w:p>
        </w:tc>
        <w:tc>
          <w:tcPr>
            <w:tcW w:w="1140" w:type="dxa"/>
            <w:vAlign w:val="bottom"/>
            <w:tcBorders>
              <w:bottom w:val="single" w:sz="8" w:color="auto"/>
            </w:tcBorders>
          </w:tcPr>
          <w:p>
            <w:pPr>
              <w:jc w:val="center"/>
              <w:ind w:right="184"/>
              <w:spacing w:after="0"/>
              <w:rPr>
                <w:sz w:val="20"/>
                <w:szCs w:val="20"/>
                <w:color w:val="auto"/>
              </w:rPr>
            </w:pPr>
            <w:r>
              <w:rPr>
                <w:rFonts w:ascii="Arial" w:cs="Arial" w:eastAsia="Arial" w:hAnsi="Arial"/>
                <w:sz w:val="13"/>
                <w:szCs w:val="13"/>
                <w:color w:val="auto"/>
              </w:rPr>
              <w:t>4,348</w:t>
            </w:r>
          </w:p>
        </w:tc>
        <w:tc>
          <w:tcPr>
            <w:tcW w:w="760" w:type="dxa"/>
            <w:vAlign w:val="bottom"/>
            <w:tcBorders>
              <w:bottom w:val="single" w:sz="8" w:color="auto"/>
              <w:right w:val="single" w:sz="8" w:color="auto"/>
            </w:tcBorders>
          </w:tcPr>
          <w:p>
            <w:pPr>
              <w:jc w:val="center"/>
              <w:ind w:right="204"/>
              <w:spacing w:after="0"/>
              <w:rPr>
                <w:sz w:val="20"/>
                <w:szCs w:val="20"/>
                <w:color w:val="auto"/>
              </w:rPr>
            </w:pPr>
            <w:r>
              <w:rPr>
                <w:rFonts w:ascii="Arial" w:cs="Arial" w:eastAsia="Arial" w:hAnsi="Arial"/>
                <w:sz w:val="13"/>
                <w:szCs w:val="13"/>
                <w:color w:val="auto"/>
                <w:w w:val="99"/>
              </w:rPr>
              <w:t>26%</w:t>
            </w:r>
          </w:p>
        </w:tc>
        <w:tc>
          <w:tcPr>
            <w:tcW w:w="760" w:type="dxa"/>
            <w:vAlign w:val="bottom"/>
            <w:tcBorders>
              <w:bottom w:val="single" w:sz="8" w:color="auto"/>
            </w:tcBorders>
          </w:tcPr>
          <w:p>
            <w:pPr>
              <w:jc w:val="center"/>
              <w:ind w:left="104"/>
              <w:spacing w:after="0"/>
              <w:rPr>
                <w:sz w:val="20"/>
                <w:szCs w:val="20"/>
                <w:color w:val="auto"/>
              </w:rPr>
            </w:pPr>
            <w:r>
              <w:rPr>
                <w:rFonts w:ascii="Arial" w:cs="Arial" w:eastAsia="Arial" w:hAnsi="Arial"/>
                <w:sz w:val="13"/>
                <w:szCs w:val="13"/>
                <w:color w:val="auto"/>
                <w:w w:val="98"/>
              </w:rPr>
              <w:t>1,092</w:t>
            </w:r>
          </w:p>
        </w:tc>
        <w:tc>
          <w:tcPr>
            <w:tcW w:w="1120" w:type="dxa"/>
            <w:vAlign w:val="bottom"/>
            <w:tcBorders>
              <w:bottom w:val="single" w:sz="8" w:color="auto"/>
            </w:tcBorders>
          </w:tcPr>
          <w:p>
            <w:pPr>
              <w:jc w:val="center"/>
              <w:ind w:left="104"/>
              <w:spacing w:after="0"/>
              <w:rPr>
                <w:sz w:val="20"/>
                <w:szCs w:val="20"/>
                <w:color w:val="auto"/>
              </w:rPr>
            </w:pPr>
            <w:r>
              <w:rPr>
                <w:rFonts w:ascii="Arial" w:cs="Arial" w:eastAsia="Arial" w:hAnsi="Arial"/>
                <w:sz w:val="13"/>
                <w:szCs w:val="13"/>
                <w:color w:val="auto"/>
                <w:w w:val="98"/>
              </w:rPr>
              <w:t>4,320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25%</w:t>
            </w:r>
          </w:p>
        </w:tc>
      </w:tr>
    </w:tbl>
    <w:p>
      <w:pPr>
        <w:spacing w:after="0" w:line="12"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Source: Superintendencia de Banca, Seguros y AFPs.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727710</wp:posOffset>
            </wp:positionV>
            <wp:extent cx="6707505"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117475</wp:posOffset>
            </wp:positionV>
            <wp:extent cx="6379845" cy="518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79845" cy="518160"/>
                    </a:xfrm>
                    <a:prstGeom prst="rect">
                      <a:avLst/>
                    </a:prstGeom>
                    <a:noFill/>
                  </pic:spPr>
                </pic:pic>
              </a:graphicData>
            </a:graphic>
          </wp:anchor>
        </w:drawing>
      </w:r>
    </w:p>
    <w:p>
      <w:pPr>
        <w:sectPr>
          <w:pgSz w:w="11900" w:h="16840" w:orient="portrait"/>
          <w:cols w:equalWidth="0" w:num="1">
            <w:col w:w="10560"/>
          </w:cols>
          <w:pgMar w:left="660" w:top="931" w:right="680" w:bottom="1440" w:gutter="0" w:footer="0" w:header="0"/>
        </w:sectPr>
      </w:pPr>
    </w:p>
    <w:bookmarkStart w:id="69" w:name="page70"/>
    <w:bookmarkEnd w:id="69"/>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12.7.8. Grupo Pacifico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Indicators of Financial Position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5840" w:type="dxa"/>
            <w:vAlign w:val="bottom"/>
            <w:tcBorders>
              <w:top w:val="single" w:sz="8" w:color="auto"/>
              <w:left w:val="single" w:sz="8" w:color="auto"/>
              <w:right w:val="single" w:sz="8" w:color="auto"/>
            </w:tcBorders>
            <w:shd w:val="clear" w:color="auto" w:fill="33CCCC"/>
          </w:tcPr>
          <w:p>
            <w:pPr>
              <w:spacing w:after="0"/>
              <w:rPr>
                <w:sz w:val="14"/>
                <w:szCs w:val="14"/>
                <w:color w:val="auto"/>
              </w:rPr>
            </w:pPr>
          </w:p>
        </w:tc>
        <w:tc>
          <w:tcPr>
            <w:tcW w:w="920" w:type="dxa"/>
            <w:vAlign w:val="bottom"/>
            <w:tcBorders>
              <w:top w:val="single" w:sz="8" w:color="auto"/>
            </w:tcBorders>
            <w:shd w:val="clear" w:color="auto" w:fill="33CCCC"/>
          </w:tcPr>
          <w:p>
            <w:pPr>
              <w:spacing w:after="0"/>
              <w:rPr>
                <w:sz w:val="14"/>
                <w:szCs w:val="14"/>
                <w:color w:val="auto"/>
              </w:rPr>
            </w:pPr>
          </w:p>
        </w:tc>
        <w:tc>
          <w:tcPr>
            <w:tcW w:w="96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As of</w:t>
            </w:r>
          </w:p>
        </w:tc>
        <w:tc>
          <w:tcPr>
            <w:tcW w:w="960" w:type="dxa"/>
            <w:vAlign w:val="bottom"/>
            <w:tcBorders>
              <w:top w:val="single" w:sz="8" w:color="auto"/>
              <w:right w:val="single" w:sz="8" w:color="auto"/>
            </w:tcBorders>
            <w:shd w:val="clear" w:color="auto" w:fill="33CCCC"/>
          </w:tcPr>
          <w:p>
            <w:pPr>
              <w:spacing w:after="0"/>
              <w:rPr>
                <w:sz w:val="14"/>
                <w:szCs w:val="14"/>
                <w:color w:val="auto"/>
              </w:rPr>
            </w:pPr>
          </w:p>
        </w:tc>
        <w:tc>
          <w:tcPr>
            <w:tcW w:w="620" w:type="dxa"/>
            <w:vAlign w:val="bottom"/>
            <w:tcBorders>
              <w:top w:val="single" w:sz="8" w:color="auto"/>
            </w:tcBorders>
            <w:shd w:val="clear" w:color="auto" w:fill="33CCCC"/>
          </w:tcPr>
          <w:p>
            <w:pPr>
              <w:spacing w:after="0"/>
              <w:rPr>
                <w:sz w:val="14"/>
                <w:szCs w:val="14"/>
                <w:color w:val="auto"/>
              </w:rPr>
            </w:pPr>
          </w:p>
        </w:tc>
        <w:tc>
          <w:tcPr>
            <w:tcW w:w="1280" w:type="dxa"/>
            <w:vAlign w:val="bottom"/>
            <w:tcBorders>
              <w:top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 Change</w:t>
            </w:r>
          </w:p>
        </w:tc>
      </w:tr>
      <w:tr>
        <w:trPr>
          <w:trHeight w:val="156"/>
        </w:trPr>
        <w:tc>
          <w:tcPr>
            <w:tcW w:w="5840" w:type="dxa"/>
            <w:vAlign w:val="bottom"/>
            <w:tcBorders>
              <w:left w:val="single" w:sz="8" w:color="auto"/>
              <w:bottom w:val="single" w:sz="8" w:color="auto"/>
              <w:right w:val="single" w:sz="8" w:color="auto"/>
            </w:tcBorders>
            <w:shd w:val="clear" w:color="auto" w:fill="33CCCC"/>
          </w:tcPr>
          <w:p>
            <w:pPr>
              <w:spacing w:after="0"/>
              <w:rPr>
                <w:sz w:val="13"/>
                <w:szCs w:val="13"/>
                <w:color w:val="auto"/>
              </w:rPr>
            </w:pPr>
          </w:p>
        </w:tc>
        <w:tc>
          <w:tcPr>
            <w:tcW w:w="920" w:type="dxa"/>
            <w:vAlign w:val="bottom"/>
            <w:tcBorders>
              <w:bottom w:val="single" w:sz="8" w:color="auto"/>
            </w:tcBorders>
            <w:shd w:val="clear" w:color="auto" w:fill="33CCCC"/>
          </w:tcPr>
          <w:p>
            <w:pPr>
              <w:ind w:left="240"/>
              <w:spacing w:after="0"/>
              <w:rPr>
                <w:sz w:val="20"/>
                <w:szCs w:val="20"/>
                <w:color w:val="auto"/>
              </w:rPr>
            </w:pPr>
            <w:r>
              <w:rPr>
                <w:rFonts w:ascii="Arial" w:cs="Arial" w:eastAsia="Arial" w:hAnsi="Arial"/>
                <w:sz w:val="13"/>
                <w:szCs w:val="13"/>
                <w:b w:val="1"/>
                <w:bCs w:val="1"/>
                <w:color w:val="FFFFFF"/>
              </w:rPr>
              <w:t>Sep 24</w:t>
            </w:r>
          </w:p>
        </w:tc>
        <w:tc>
          <w:tcPr>
            <w:tcW w:w="9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Jun 25</w:t>
            </w:r>
          </w:p>
        </w:tc>
        <w:tc>
          <w:tcPr>
            <w:tcW w:w="960" w:type="dxa"/>
            <w:vAlign w:val="bottom"/>
            <w:tcBorders>
              <w:bottom w:val="single" w:sz="8" w:color="auto"/>
              <w:right w:val="single" w:sz="8" w:color="auto"/>
            </w:tcBorders>
            <w:shd w:val="clear" w:color="auto" w:fill="33CCCC"/>
          </w:tcPr>
          <w:p>
            <w:pPr>
              <w:ind w:left="260"/>
              <w:spacing w:after="0"/>
              <w:rPr>
                <w:sz w:val="20"/>
                <w:szCs w:val="20"/>
                <w:color w:val="auto"/>
              </w:rPr>
            </w:pPr>
            <w:r>
              <w:rPr>
                <w:rFonts w:ascii="Arial" w:cs="Arial" w:eastAsia="Arial" w:hAnsi="Arial"/>
                <w:sz w:val="13"/>
                <w:szCs w:val="13"/>
                <w:b w:val="1"/>
                <w:bCs w:val="1"/>
                <w:color w:val="FFFFFF"/>
              </w:rPr>
              <w:t>Sep 25</w:t>
            </w:r>
          </w:p>
        </w:tc>
        <w:tc>
          <w:tcPr>
            <w:tcW w:w="620" w:type="dxa"/>
            <w:vAlign w:val="bottom"/>
            <w:tcBorders>
              <w:bottom w:val="single" w:sz="8" w:color="auto"/>
            </w:tcBorders>
            <w:shd w:val="clear" w:color="auto" w:fill="33CCCC"/>
          </w:tcPr>
          <w:p>
            <w:pPr>
              <w:ind w:left="320"/>
              <w:spacing w:after="0"/>
              <w:rPr>
                <w:sz w:val="20"/>
                <w:szCs w:val="20"/>
                <w:color w:val="auto"/>
              </w:rPr>
            </w:pPr>
            <w:r>
              <w:rPr>
                <w:rFonts w:ascii="Arial" w:cs="Arial" w:eastAsia="Arial" w:hAnsi="Arial"/>
                <w:sz w:val="13"/>
                <w:szCs w:val="13"/>
                <w:b w:val="1"/>
                <w:bCs w:val="1"/>
                <w:color w:val="FFFFFF"/>
                <w:w w:val="99"/>
              </w:rPr>
              <w:t>QoQ</w:t>
            </w:r>
          </w:p>
        </w:tc>
        <w:tc>
          <w:tcPr>
            <w:tcW w:w="1280" w:type="dxa"/>
            <w:vAlign w:val="bottom"/>
            <w:tcBorders>
              <w:bottom w:val="single" w:sz="8" w:color="auto"/>
              <w:right w:val="single" w:sz="8" w:color="auto"/>
            </w:tcBorders>
            <w:shd w:val="clear" w:color="auto" w:fill="33CCCC"/>
          </w:tcPr>
          <w:p>
            <w:pPr>
              <w:ind w:left="660"/>
              <w:spacing w:after="0"/>
              <w:rPr>
                <w:sz w:val="20"/>
                <w:szCs w:val="20"/>
                <w:color w:val="auto"/>
              </w:rPr>
            </w:pPr>
            <w:r>
              <w:rPr>
                <w:rFonts w:ascii="Arial" w:cs="Arial" w:eastAsia="Arial" w:hAnsi="Arial"/>
                <w:sz w:val="13"/>
                <w:szCs w:val="13"/>
                <w:b w:val="1"/>
                <w:bCs w:val="1"/>
                <w:color w:val="FFFFFF"/>
              </w:rPr>
              <w:t>YoY</w:t>
            </w:r>
          </w:p>
        </w:tc>
      </w:tr>
      <w:tr>
        <w:trPr>
          <w:trHeight w:val="136"/>
        </w:trPr>
        <w:tc>
          <w:tcPr>
            <w:tcW w:w="584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color w:val="auto"/>
              </w:rPr>
              <w:t>Total assets</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auto"/>
              </w:rPr>
              <w:t>17,683,826</w:t>
            </w:r>
          </w:p>
        </w:tc>
        <w:tc>
          <w:tcPr>
            <w:tcW w:w="960" w:type="dxa"/>
            <w:vAlign w:val="bottom"/>
          </w:tcPr>
          <w:p>
            <w:pPr>
              <w:jc w:val="center"/>
              <w:spacing w:after="0" w:line="136" w:lineRule="exact"/>
              <w:rPr>
                <w:sz w:val="20"/>
                <w:szCs w:val="20"/>
                <w:color w:val="auto"/>
              </w:rPr>
            </w:pPr>
            <w:r>
              <w:rPr>
                <w:rFonts w:ascii="Arial" w:cs="Arial" w:eastAsia="Arial" w:hAnsi="Arial"/>
                <w:sz w:val="13"/>
                <w:szCs w:val="13"/>
                <w:color w:val="auto"/>
              </w:rPr>
              <w:t>19,964,153</w:t>
            </w:r>
          </w:p>
        </w:tc>
        <w:tc>
          <w:tcPr>
            <w:tcW w:w="9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20,594,428</w:t>
            </w:r>
          </w:p>
        </w:tc>
        <w:tc>
          <w:tcPr>
            <w:tcW w:w="620" w:type="dxa"/>
            <w:vAlign w:val="bottom"/>
          </w:tcPr>
          <w:p>
            <w:pPr>
              <w:ind w:left="320"/>
              <w:spacing w:after="0" w:line="136" w:lineRule="exact"/>
              <w:rPr>
                <w:sz w:val="20"/>
                <w:szCs w:val="20"/>
                <w:color w:val="auto"/>
              </w:rPr>
            </w:pPr>
            <w:r>
              <w:rPr>
                <w:rFonts w:ascii="Arial" w:cs="Arial" w:eastAsia="Arial" w:hAnsi="Arial"/>
                <w:sz w:val="13"/>
                <w:szCs w:val="13"/>
                <w:color w:val="auto"/>
                <w:w w:val="94"/>
              </w:rPr>
              <w:t>3.2%</w:t>
            </w:r>
          </w:p>
        </w:tc>
        <w:tc>
          <w:tcPr>
            <w:tcW w:w="1280" w:type="dxa"/>
            <w:vAlign w:val="bottom"/>
            <w:tcBorders>
              <w:right w:val="single" w:sz="8" w:color="auto"/>
            </w:tcBorders>
          </w:tcPr>
          <w:p>
            <w:pPr>
              <w:jc w:val="center"/>
              <w:ind w:left="214"/>
              <w:spacing w:after="0" w:line="136" w:lineRule="exact"/>
              <w:rPr>
                <w:sz w:val="20"/>
                <w:szCs w:val="20"/>
                <w:color w:val="auto"/>
              </w:rPr>
            </w:pPr>
            <w:r>
              <w:rPr>
                <w:rFonts w:ascii="Arial" w:cs="Arial" w:eastAsia="Arial" w:hAnsi="Arial"/>
                <w:sz w:val="13"/>
                <w:szCs w:val="13"/>
                <w:color w:val="auto"/>
                <w:w w:val="97"/>
              </w:rPr>
              <w:t>16.5%</w:t>
            </w:r>
          </w:p>
        </w:tc>
      </w:tr>
      <w:tr>
        <w:trPr>
          <w:trHeight w:val="156"/>
        </w:trPr>
        <w:tc>
          <w:tcPr>
            <w:tcW w:w="584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2"/>
                <w:szCs w:val="12"/>
                <w:color w:val="auto"/>
              </w:rPr>
              <w:t xml:space="preserve">Total Invesment </w:t>
            </w:r>
            <w:r>
              <w:rPr>
                <w:rFonts w:ascii="Arial" w:cs="Arial" w:eastAsia="Arial" w:hAnsi="Arial"/>
                <w:sz w:val="18"/>
                <w:szCs w:val="18"/>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3"/>
                <w:szCs w:val="13"/>
                <w:color w:val="auto"/>
              </w:rPr>
              <w:t>13,550,847</w:t>
            </w:r>
          </w:p>
        </w:tc>
        <w:tc>
          <w:tcPr>
            <w:tcW w:w="960" w:type="dxa"/>
            <w:vAlign w:val="bottom"/>
          </w:tcPr>
          <w:p>
            <w:pPr>
              <w:jc w:val="center"/>
              <w:spacing w:after="0"/>
              <w:rPr>
                <w:sz w:val="20"/>
                <w:szCs w:val="20"/>
                <w:color w:val="auto"/>
              </w:rPr>
            </w:pPr>
            <w:r>
              <w:rPr>
                <w:rFonts w:ascii="Arial" w:cs="Arial" w:eastAsia="Arial" w:hAnsi="Arial"/>
                <w:sz w:val="13"/>
                <w:szCs w:val="13"/>
                <w:color w:val="auto"/>
              </w:rPr>
              <w:t>14,228,488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14,661,176</w:t>
            </w:r>
          </w:p>
        </w:tc>
        <w:tc>
          <w:tcPr>
            <w:tcW w:w="620" w:type="dxa"/>
            <w:vAlign w:val="bottom"/>
          </w:tcPr>
          <w:p>
            <w:pPr>
              <w:ind w:left="320"/>
              <w:spacing w:after="0"/>
              <w:rPr>
                <w:sz w:val="20"/>
                <w:szCs w:val="20"/>
                <w:color w:val="auto"/>
              </w:rPr>
            </w:pPr>
            <w:r>
              <w:rPr>
                <w:rFonts w:ascii="Arial" w:cs="Arial" w:eastAsia="Arial" w:hAnsi="Arial"/>
                <w:sz w:val="13"/>
                <w:szCs w:val="13"/>
                <w:color w:val="auto"/>
                <w:w w:val="94"/>
              </w:rPr>
              <w:t>3.0%</w:t>
            </w:r>
          </w:p>
        </w:tc>
        <w:tc>
          <w:tcPr>
            <w:tcW w:w="1280" w:type="dxa"/>
            <w:vAlign w:val="bottom"/>
            <w:tcBorders>
              <w:right w:val="single" w:sz="8" w:color="auto"/>
            </w:tcBorders>
          </w:tcPr>
          <w:p>
            <w:pPr>
              <w:jc w:val="center"/>
              <w:ind w:left="234"/>
              <w:spacing w:after="0"/>
              <w:rPr>
                <w:sz w:val="20"/>
                <w:szCs w:val="20"/>
                <w:color w:val="auto"/>
              </w:rPr>
            </w:pPr>
            <w:r>
              <w:rPr>
                <w:rFonts w:ascii="Arial" w:cs="Arial" w:eastAsia="Arial" w:hAnsi="Arial"/>
                <w:sz w:val="13"/>
                <w:szCs w:val="13"/>
                <w:color w:val="auto"/>
              </w:rPr>
              <w:t>8.2%</w:t>
            </w:r>
          </w:p>
        </w:tc>
      </w:tr>
      <w:tr>
        <w:trPr>
          <w:trHeight w:val="156"/>
        </w:trPr>
        <w:tc>
          <w:tcPr>
            <w:tcW w:w="5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Total Liabilities</w:t>
            </w:r>
          </w:p>
        </w:tc>
        <w:tc>
          <w:tcPr>
            <w:tcW w:w="920" w:type="dxa"/>
            <w:vAlign w:val="bottom"/>
          </w:tcPr>
          <w:p>
            <w:pPr>
              <w:jc w:val="center"/>
              <w:spacing w:after="0"/>
              <w:rPr>
                <w:sz w:val="20"/>
                <w:szCs w:val="20"/>
                <w:color w:val="auto"/>
              </w:rPr>
            </w:pPr>
            <w:r>
              <w:rPr>
                <w:rFonts w:ascii="Arial" w:cs="Arial" w:eastAsia="Arial" w:hAnsi="Arial"/>
                <w:sz w:val="13"/>
                <w:szCs w:val="13"/>
                <w:color w:val="auto"/>
              </w:rPr>
              <w:t>14,442,027</w:t>
            </w:r>
          </w:p>
        </w:tc>
        <w:tc>
          <w:tcPr>
            <w:tcW w:w="960" w:type="dxa"/>
            <w:vAlign w:val="bottom"/>
          </w:tcPr>
          <w:p>
            <w:pPr>
              <w:jc w:val="center"/>
              <w:spacing w:after="0"/>
              <w:rPr>
                <w:sz w:val="20"/>
                <w:szCs w:val="20"/>
                <w:color w:val="auto"/>
              </w:rPr>
            </w:pPr>
            <w:r>
              <w:rPr>
                <w:rFonts w:ascii="Arial" w:cs="Arial" w:eastAsia="Arial" w:hAnsi="Arial"/>
                <w:sz w:val="13"/>
                <w:szCs w:val="13"/>
                <w:color w:val="auto"/>
              </w:rPr>
              <w:t>15,922,813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16,308,599</w:t>
            </w:r>
          </w:p>
        </w:tc>
        <w:tc>
          <w:tcPr>
            <w:tcW w:w="620" w:type="dxa"/>
            <w:vAlign w:val="bottom"/>
          </w:tcPr>
          <w:p>
            <w:pPr>
              <w:ind w:left="320"/>
              <w:spacing w:after="0"/>
              <w:rPr>
                <w:sz w:val="20"/>
                <w:szCs w:val="20"/>
                <w:color w:val="auto"/>
              </w:rPr>
            </w:pPr>
            <w:r>
              <w:rPr>
                <w:rFonts w:ascii="Arial" w:cs="Arial" w:eastAsia="Arial" w:hAnsi="Arial"/>
                <w:sz w:val="13"/>
                <w:szCs w:val="13"/>
                <w:color w:val="auto"/>
                <w:w w:val="94"/>
              </w:rPr>
              <w:t>2.4%</w:t>
            </w:r>
          </w:p>
        </w:tc>
        <w:tc>
          <w:tcPr>
            <w:tcW w:w="1280" w:type="dxa"/>
            <w:vAlign w:val="bottom"/>
            <w:tcBorders>
              <w:right w:val="single" w:sz="8" w:color="auto"/>
            </w:tcBorders>
          </w:tcPr>
          <w:p>
            <w:pPr>
              <w:jc w:val="center"/>
              <w:ind w:left="214"/>
              <w:spacing w:after="0"/>
              <w:rPr>
                <w:sz w:val="20"/>
                <w:szCs w:val="20"/>
                <w:color w:val="auto"/>
              </w:rPr>
            </w:pPr>
            <w:r>
              <w:rPr>
                <w:rFonts w:ascii="Arial" w:cs="Arial" w:eastAsia="Arial" w:hAnsi="Arial"/>
                <w:sz w:val="13"/>
                <w:szCs w:val="13"/>
                <w:color w:val="auto"/>
                <w:w w:val="97"/>
              </w:rPr>
              <w:t>12.9%</w:t>
            </w:r>
          </w:p>
        </w:tc>
      </w:tr>
      <w:tr>
        <w:trPr>
          <w:trHeight w:val="168"/>
        </w:trPr>
        <w:tc>
          <w:tcPr>
            <w:tcW w:w="5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Net equity</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3,226,717</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3,341,104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3,602,690</w:t>
            </w: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w w:val="94"/>
              </w:rPr>
              <w:t>7.8%</w:t>
            </w:r>
          </w:p>
        </w:tc>
        <w:tc>
          <w:tcPr>
            <w:tcW w:w="1280" w:type="dxa"/>
            <w:vAlign w:val="bottom"/>
            <w:tcBorders>
              <w:bottom w:val="single" w:sz="8" w:color="auto"/>
              <w:right w:val="single" w:sz="8" w:color="auto"/>
            </w:tcBorders>
          </w:tcPr>
          <w:p>
            <w:pPr>
              <w:jc w:val="center"/>
              <w:ind w:left="214"/>
              <w:spacing w:after="0"/>
              <w:rPr>
                <w:sz w:val="20"/>
                <w:szCs w:val="20"/>
                <w:color w:val="auto"/>
              </w:rPr>
            </w:pPr>
            <w:r>
              <w:rPr>
                <w:rFonts w:ascii="Arial" w:cs="Arial" w:eastAsia="Arial" w:hAnsi="Arial"/>
                <w:sz w:val="13"/>
                <w:szCs w:val="13"/>
                <w:color w:val="auto"/>
                <w:w w:val="97"/>
              </w:rPr>
              <w:t>11.7%</w:t>
            </w:r>
          </w:p>
        </w:tc>
      </w:tr>
    </w:tbl>
    <w:p>
      <w:pPr>
        <w:spacing w:after="0" w:line="167"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Statement of Income</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(S/ Thousands, IFRS)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000" w:type="dxa"/>
            <w:vAlign w:val="bottom"/>
            <w:tcBorders>
              <w:top w:val="single" w:sz="8" w:color="auto"/>
              <w:left w:val="single" w:sz="8" w:color="auto"/>
              <w:right w:val="single" w:sz="8" w:color="auto"/>
            </w:tcBorders>
            <w:shd w:val="clear" w:color="auto" w:fill="33CCCC"/>
          </w:tcPr>
          <w:p>
            <w:pPr>
              <w:spacing w:after="0"/>
              <w:rPr>
                <w:sz w:val="12"/>
                <w:szCs w:val="12"/>
                <w:color w:val="auto"/>
              </w:rPr>
            </w:pPr>
          </w:p>
        </w:tc>
        <w:tc>
          <w:tcPr>
            <w:tcW w:w="920" w:type="dxa"/>
            <w:vAlign w:val="bottom"/>
            <w:tcBorders>
              <w:top w:val="single" w:sz="8" w:color="auto"/>
            </w:tcBorders>
            <w:shd w:val="clear" w:color="auto" w:fill="33CCCC"/>
          </w:tcPr>
          <w:p>
            <w:pPr>
              <w:spacing w:after="0"/>
              <w:rPr>
                <w:sz w:val="12"/>
                <w:szCs w:val="12"/>
                <w:color w:val="auto"/>
              </w:rPr>
            </w:pPr>
          </w:p>
        </w:tc>
        <w:tc>
          <w:tcPr>
            <w:tcW w:w="960" w:type="dxa"/>
            <w:vAlign w:val="bottom"/>
            <w:tcBorders>
              <w:top w:val="single" w:sz="8" w:color="auto"/>
            </w:tcBorders>
            <w:shd w:val="clear" w:color="auto" w:fill="33CCCC"/>
          </w:tcPr>
          <w:p>
            <w:pPr>
              <w:ind w:left="280"/>
              <w:spacing w:after="0"/>
              <w:rPr>
                <w:sz w:val="20"/>
                <w:szCs w:val="20"/>
                <w:color w:val="auto"/>
              </w:rPr>
            </w:pPr>
            <w:r>
              <w:rPr>
                <w:rFonts w:ascii="Arial" w:cs="Arial" w:eastAsia="Arial" w:hAnsi="Arial"/>
                <w:sz w:val="11"/>
                <w:szCs w:val="11"/>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12"/>
                <w:szCs w:val="12"/>
                <w:color w:val="auto"/>
              </w:rPr>
            </w:pPr>
          </w:p>
        </w:tc>
        <w:tc>
          <w:tcPr>
            <w:tcW w:w="660" w:type="dxa"/>
            <w:vAlign w:val="bottom"/>
            <w:tcBorders>
              <w:top w:val="single" w:sz="8" w:color="auto"/>
            </w:tcBorders>
            <w:shd w:val="clear" w:color="auto" w:fill="33CCCC"/>
          </w:tcPr>
          <w:p>
            <w:pPr>
              <w:spacing w:after="0"/>
              <w:rPr>
                <w:sz w:val="12"/>
                <w:szCs w:val="12"/>
                <w:color w:val="auto"/>
              </w:rPr>
            </w:pPr>
          </w:p>
        </w:tc>
        <w:tc>
          <w:tcPr>
            <w:tcW w:w="1240" w:type="dxa"/>
            <w:vAlign w:val="bottom"/>
            <w:tcBorders>
              <w:top w:val="single" w:sz="8" w:color="auto"/>
              <w:right w:val="single" w:sz="8" w:color="auto"/>
            </w:tcBorders>
            <w:shd w:val="clear" w:color="auto" w:fill="33CCCC"/>
          </w:tcPr>
          <w:p>
            <w:pPr>
              <w:spacing w:after="0"/>
              <w:rPr>
                <w:sz w:val="20"/>
                <w:szCs w:val="20"/>
                <w:color w:val="auto"/>
              </w:rPr>
            </w:pPr>
            <w:r>
              <w:rPr>
                <w:rFonts w:ascii="Arial" w:cs="Arial" w:eastAsia="Arial" w:hAnsi="Arial"/>
                <w:sz w:val="11"/>
                <w:szCs w:val="11"/>
                <w:b w:val="1"/>
                <w:bCs w:val="1"/>
                <w:color w:val="FFFFFF"/>
              </w:rPr>
              <w:t>% Change</w:t>
            </w:r>
          </w:p>
        </w:tc>
        <w:tc>
          <w:tcPr>
            <w:tcW w:w="740" w:type="dxa"/>
            <w:vAlign w:val="bottom"/>
            <w:tcBorders>
              <w:top w:val="single" w:sz="8" w:color="auto"/>
            </w:tcBorders>
            <w:shd w:val="clear" w:color="auto" w:fill="33CCCC"/>
          </w:tcPr>
          <w:p>
            <w:pPr>
              <w:spacing w:after="0"/>
              <w:rPr>
                <w:sz w:val="12"/>
                <w:szCs w:val="12"/>
                <w:color w:val="auto"/>
              </w:rPr>
            </w:pPr>
          </w:p>
        </w:tc>
        <w:tc>
          <w:tcPr>
            <w:tcW w:w="1140" w:type="dxa"/>
            <w:vAlign w:val="bottom"/>
            <w:tcBorders>
              <w:top w:val="single" w:sz="8" w:color="auto"/>
              <w:right w:val="single" w:sz="8" w:color="auto"/>
            </w:tcBorders>
            <w:shd w:val="clear" w:color="auto" w:fill="33CCCC"/>
          </w:tcPr>
          <w:p>
            <w:pPr>
              <w:jc w:val="right"/>
              <w:ind w:right="766"/>
              <w:spacing w:after="0"/>
              <w:rPr>
                <w:sz w:val="20"/>
                <w:szCs w:val="20"/>
                <w:color w:val="auto"/>
              </w:rPr>
            </w:pPr>
            <w:r>
              <w:rPr>
                <w:rFonts w:ascii="Arial" w:cs="Arial" w:eastAsia="Arial" w:hAnsi="Arial"/>
                <w:sz w:val="11"/>
                <w:szCs w:val="11"/>
                <w:b w:val="1"/>
                <w:bCs w:val="1"/>
                <w:color w:val="FFFFFF"/>
              </w:rPr>
              <w:t>Up to</w:t>
            </w:r>
          </w:p>
        </w:tc>
        <w:tc>
          <w:tcPr>
            <w:tcW w:w="9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 change</w:t>
            </w:r>
          </w:p>
        </w:tc>
      </w:tr>
      <w:tr>
        <w:trPr>
          <w:trHeight w:val="132"/>
        </w:trPr>
        <w:tc>
          <w:tcPr>
            <w:tcW w:w="300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3Q24</w:t>
            </w:r>
          </w:p>
        </w:tc>
        <w:tc>
          <w:tcPr>
            <w:tcW w:w="9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2Q25</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3Q25</w:t>
            </w:r>
          </w:p>
        </w:tc>
        <w:tc>
          <w:tcPr>
            <w:tcW w:w="660" w:type="dxa"/>
            <w:vAlign w:val="bottom"/>
            <w:tcBorders>
              <w:bottom w:val="single" w:sz="8" w:color="auto"/>
            </w:tcBorders>
            <w:shd w:val="clear" w:color="auto" w:fill="33CCCC"/>
          </w:tcPr>
          <w:p>
            <w:pPr>
              <w:ind w:left="340"/>
              <w:spacing w:after="0"/>
              <w:rPr>
                <w:sz w:val="20"/>
                <w:szCs w:val="20"/>
                <w:color w:val="auto"/>
              </w:rPr>
            </w:pPr>
            <w:r>
              <w:rPr>
                <w:rFonts w:ascii="Arial" w:cs="Arial" w:eastAsia="Arial" w:hAnsi="Arial"/>
                <w:sz w:val="11"/>
                <w:szCs w:val="11"/>
                <w:b w:val="1"/>
                <w:bCs w:val="1"/>
                <w:color w:val="FFFFFF"/>
              </w:rPr>
              <w:t>QoQ</w:t>
            </w:r>
          </w:p>
        </w:tc>
        <w:tc>
          <w:tcPr>
            <w:tcW w:w="1240" w:type="dxa"/>
            <w:vAlign w:val="bottom"/>
            <w:tcBorders>
              <w:bottom w:val="single" w:sz="8" w:color="auto"/>
              <w:right w:val="single" w:sz="8" w:color="auto"/>
            </w:tcBorders>
            <w:shd w:val="clear" w:color="auto" w:fill="33CCCC"/>
          </w:tcPr>
          <w:p>
            <w:pPr>
              <w:ind w:left="640"/>
              <w:spacing w:after="0"/>
              <w:rPr>
                <w:sz w:val="20"/>
                <w:szCs w:val="20"/>
                <w:color w:val="auto"/>
              </w:rPr>
            </w:pPr>
            <w:r>
              <w:rPr>
                <w:rFonts w:ascii="Arial" w:cs="Arial" w:eastAsia="Arial" w:hAnsi="Arial"/>
                <w:sz w:val="11"/>
                <w:szCs w:val="11"/>
                <w:b w:val="1"/>
                <w:bCs w:val="1"/>
                <w:color w:val="FFFFFF"/>
              </w:rPr>
              <w:t>YoY</w:t>
            </w:r>
          </w:p>
        </w:tc>
        <w:tc>
          <w:tcPr>
            <w:tcW w:w="74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11"/>
                <w:szCs w:val="11"/>
                <w:b w:val="1"/>
                <w:bCs w:val="1"/>
                <w:color w:val="FFFFFF"/>
              </w:rPr>
              <w:t>Sep 24</w:t>
            </w:r>
          </w:p>
        </w:tc>
        <w:tc>
          <w:tcPr>
            <w:tcW w:w="1140" w:type="dxa"/>
            <w:vAlign w:val="bottom"/>
            <w:tcBorders>
              <w:bottom w:val="single" w:sz="8" w:color="auto"/>
              <w:right w:val="single" w:sz="8" w:color="auto"/>
            </w:tcBorders>
            <w:shd w:val="clear" w:color="auto" w:fill="33CCCC"/>
          </w:tcPr>
          <w:p>
            <w:pPr>
              <w:jc w:val="right"/>
              <w:ind w:right="266"/>
              <w:spacing w:after="0"/>
              <w:rPr>
                <w:sz w:val="20"/>
                <w:szCs w:val="20"/>
                <w:color w:val="auto"/>
              </w:rPr>
            </w:pPr>
            <w:r>
              <w:rPr>
                <w:rFonts w:ascii="Arial" w:cs="Arial" w:eastAsia="Arial" w:hAnsi="Arial"/>
                <w:sz w:val="11"/>
                <w:szCs w:val="11"/>
                <w:b w:val="1"/>
                <w:bCs w:val="1"/>
                <w:color w:val="FFFFFF"/>
              </w:rPr>
              <w:t>Sep 25</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9"/>
              </w:rPr>
              <w:t>Sep 25 / Sep 24</w:t>
            </w:r>
          </w:p>
        </w:tc>
      </w:tr>
      <w:tr>
        <w:trPr>
          <w:trHeight w:val="124"/>
        </w:trPr>
        <w:tc>
          <w:tcPr>
            <w:tcW w:w="300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Insurance Service Result</w:t>
            </w:r>
          </w:p>
        </w:tc>
        <w:tc>
          <w:tcPr>
            <w:tcW w:w="920" w:type="dxa"/>
            <w:vAlign w:val="bottom"/>
          </w:tcPr>
          <w:p>
            <w:pPr>
              <w:jc w:val="center"/>
              <w:spacing w:after="0" w:line="124" w:lineRule="exact"/>
              <w:rPr>
                <w:sz w:val="20"/>
                <w:szCs w:val="20"/>
                <w:color w:val="auto"/>
              </w:rPr>
            </w:pPr>
            <w:r>
              <w:rPr>
                <w:rFonts w:ascii="Arial" w:cs="Arial" w:eastAsia="Arial" w:hAnsi="Arial"/>
                <w:sz w:val="11"/>
                <w:szCs w:val="11"/>
                <w:color w:val="auto"/>
                <w:w w:val="95"/>
              </w:rPr>
              <w:t>308,072</w:t>
            </w:r>
          </w:p>
        </w:tc>
        <w:tc>
          <w:tcPr>
            <w:tcW w:w="960" w:type="dxa"/>
            <w:vAlign w:val="bottom"/>
          </w:tcPr>
          <w:p>
            <w:pPr>
              <w:jc w:val="center"/>
              <w:spacing w:after="0" w:line="124" w:lineRule="exact"/>
              <w:rPr>
                <w:sz w:val="20"/>
                <w:szCs w:val="20"/>
                <w:color w:val="auto"/>
              </w:rPr>
            </w:pPr>
            <w:r>
              <w:rPr>
                <w:rFonts w:ascii="Arial" w:cs="Arial" w:eastAsia="Arial" w:hAnsi="Arial"/>
                <w:sz w:val="11"/>
                <w:szCs w:val="11"/>
                <w:color w:val="auto"/>
                <w:w w:val="95"/>
              </w:rPr>
              <w:t>340,560</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359,462</w:t>
            </w:r>
          </w:p>
        </w:tc>
        <w:tc>
          <w:tcPr>
            <w:tcW w:w="660" w:type="dxa"/>
            <w:vAlign w:val="bottom"/>
          </w:tcPr>
          <w:p>
            <w:pPr>
              <w:jc w:val="center"/>
              <w:ind w:left="186"/>
              <w:spacing w:after="0" w:line="124" w:lineRule="exact"/>
              <w:rPr>
                <w:sz w:val="20"/>
                <w:szCs w:val="20"/>
                <w:color w:val="auto"/>
              </w:rPr>
            </w:pPr>
            <w:r>
              <w:rPr>
                <w:rFonts w:ascii="Arial" w:cs="Arial" w:eastAsia="Arial" w:hAnsi="Arial"/>
                <w:sz w:val="11"/>
                <w:szCs w:val="11"/>
                <w:color w:val="auto"/>
              </w:rPr>
              <w:t>5.6%</w:t>
            </w:r>
          </w:p>
        </w:tc>
        <w:tc>
          <w:tcPr>
            <w:tcW w:w="124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w w:val="96"/>
              </w:rPr>
              <w:t>16.7%</w:t>
            </w:r>
          </w:p>
        </w:tc>
        <w:tc>
          <w:tcPr>
            <w:tcW w:w="740" w:type="dxa"/>
            <w:vAlign w:val="bottom"/>
          </w:tcPr>
          <w:p>
            <w:pPr>
              <w:jc w:val="center"/>
              <w:ind w:left="106"/>
              <w:spacing w:after="0" w:line="124" w:lineRule="exact"/>
              <w:rPr>
                <w:sz w:val="20"/>
                <w:szCs w:val="20"/>
                <w:color w:val="auto"/>
              </w:rPr>
            </w:pPr>
            <w:r>
              <w:rPr>
                <w:rFonts w:ascii="Arial" w:cs="Arial" w:eastAsia="Arial" w:hAnsi="Arial"/>
                <w:sz w:val="11"/>
                <w:szCs w:val="11"/>
                <w:color w:val="auto"/>
                <w:w w:val="95"/>
              </w:rPr>
              <w:t>936,853</w:t>
            </w:r>
          </w:p>
        </w:tc>
        <w:tc>
          <w:tcPr>
            <w:tcW w:w="1140" w:type="dxa"/>
            <w:vAlign w:val="bottom"/>
            <w:tcBorders>
              <w:right w:val="single" w:sz="8" w:color="auto"/>
            </w:tcBorders>
          </w:tcPr>
          <w:p>
            <w:pPr>
              <w:jc w:val="right"/>
              <w:ind w:right="246"/>
              <w:spacing w:after="0" w:line="124" w:lineRule="exact"/>
              <w:rPr>
                <w:sz w:val="20"/>
                <w:szCs w:val="20"/>
                <w:color w:val="auto"/>
              </w:rPr>
            </w:pPr>
            <w:r>
              <w:rPr>
                <w:rFonts w:ascii="Arial" w:cs="Arial" w:eastAsia="Arial" w:hAnsi="Arial"/>
                <w:sz w:val="11"/>
                <w:szCs w:val="11"/>
                <w:color w:val="auto"/>
              </w:rPr>
              <w:t>979,953</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4.6%</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Reinsurance Result</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(151,920)</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(105,650)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(108,282)</w:t>
            </w:r>
          </w:p>
        </w:tc>
        <w:tc>
          <w:tcPr>
            <w:tcW w:w="660" w:type="dxa"/>
            <w:vAlign w:val="bottom"/>
          </w:tcPr>
          <w:p>
            <w:pPr>
              <w:jc w:val="center"/>
              <w:ind w:left="186"/>
              <w:spacing w:after="0"/>
              <w:rPr>
                <w:sz w:val="20"/>
                <w:szCs w:val="20"/>
                <w:color w:val="auto"/>
              </w:rPr>
            </w:pPr>
            <w:r>
              <w:rPr>
                <w:rFonts w:ascii="Arial" w:cs="Arial" w:eastAsia="Arial" w:hAnsi="Arial"/>
                <w:sz w:val="11"/>
                <w:szCs w:val="11"/>
                <w:color w:val="auto"/>
              </w:rPr>
              <w:t>2.5%</w:t>
            </w:r>
          </w:p>
        </w:tc>
        <w:tc>
          <w:tcPr>
            <w:tcW w:w="12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-28.7%</w:t>
            </w:r>
          </w:p>
        </w:tc>
        <w:tc>
          <w:tcPr>
            <w:tcW w:w="740" w:type="dxa"/>
            <w:vAlign w:val="bottom"/>
          </w:tcPr>
          <w:p>
            <w:pPr>
              <w:jc w:val="center"/>
              <w:ind w:left="106"/>
              <w:spacing w:after="0"/>
              <w:rPr>
                <w:sz w:val="20"/>
                <w:szCs w:val="20"/>
                <w:color w:val="auto"/>
              </w:rPr>
            </w:pPr>
            <w:r>
              <w:rPr>
                <w:rFonts w:ascii="Arial" w:cs="Arial" w:eastAsia="Arial" w:hAnsi="Arial"/>
                <w:sz w:val="11"/>
                <w:szCs w:val="11"/>
                <w:color w:val="auto"/>
                <w:w w:val="97"/>
              </w:rPr>
              <w:t>(427,209)</w:t>
            </w:r>
          </w:p>
        </w:tc>
        <w:tc>
          <w:tcPr>
            <w:tcW w:w="1140" w:type="dxa"/>
            <w:vAlign w:val="bottom"/>
            <w:tcBorders>
              <w:right w:val="single" w:sz="8" w:color="auto"/>
            </w:tcBorders>
          </w:tcPr>
          <w:p>
            <w:pPr>
              <w:jc w:val="right"/>
              <w:ind w:right="206"/>
              <w:spacing w:after="0"/>
              <w:rPr>
                <w:sz w:val="20"/>
                <w:szCs w:val="20"/>
                <w:color w:val="auto"/>
              </w:rPr>
            </w:pPr>
            <w:r>
              <w:rPr>
                <w:rFonts w:ascii="Arial" w:cs="Arial" w:eastAsia="Arial" w:hAnsi="Arial"/>
                <w:sz w:val="11"/>
                <w:szCs w:val="11"/>
                <w:color w:val="auto"/>
              </w:rPr>
              <w:t>(308,793)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-27.7%</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Insurance underwriting result</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5"/>
              </w:rPr>
              <w:t>156,152</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5"/>
              </w:rPr>
              <w:t>234,910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251,180</w:t>
            </w:r>
          </w:p>
        </w:tc>
        <w:tc>
          <w:tcPr>
            <w:tcW w:w="660" w:type="dxa"/>
            <w:vAlign w:val="bottom"/>
          </w:tcPr>
          <w:p>
            <w:pPr>
              <w:jc w:val="center"/>
              <w:ind w:left="186"/>
              <w:spacing w:after="0"/>
              <w:rPr>
                <w:sz w:val="20"/>
                <w:szCs w:val="20"/>
                <w:color w:val="auto"/>
              </w:rPr>
            </w:pPr>
            <w:r>
              <w:rPr>
                <w:rFonts w:ascii="Arial" w:cs="Arial" w:eastAsia="Arial" w:hAnsi="Arial"/>
                <w:sz w:val="11"/>
                <w:szCs w:val="11"/>
                <w:b w:val="1"/>
                <w:bCs w:val="1"/>
                <w:color w:val="auto"/>
              </w:rPr>
              <w:t>6.9%</w:t>
            </w:r>
          </w:p>
        </w:tc>
        <w:tc>
          <w:tcPr>
            <w:tcW w:w="12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6"/>
              </w:rPr>
              <w:t>60.9%</w:t>
            </w:r>
          </w:p>
        </w:tc>
        <w:tc>
          <w:tcPr>
            <w:tcW w:w="740" w:type="dxa"/>
            <w:vAlign w:val="bottom"/>
          </w:tcPr>
          <w:p>
            <w:pPr>
              <w:jc w:val="center"/>
              <w:ind w:left="106"/>
              <w:spacing w:after="0"/>
              <w:rPr>
                <w:sz w:val="20"/>
                <w:szCs w:val="20"/>
                <w:color w:val="auto"/>
              </w:rPr>
            </w:pPr>
            <w:r>
              <w:rPr>
                <w:rFonts w:ascii="Arial" w:cs="Arial" w:eastAsia="Arial" w:hAnsi="Arial"/>
                <w:sz w:val="11"/>
                <w:szCs w:val="11"/>
                <w:b w:val="1"/>
                <w:bCs w:val="1"/>
                <w:color w:val="auto"/>
                <w:w w:val="95"/>
              </w:rPr>
              <w:t>509,644</w:t>
            </w:r>
          </w:p>
        </w:tc>
        <w:tc>
          <w:tcPr>
            <w:tcW w:w="1140" w:type="dxa"/>
            <w:vAlign w:val="bottom"/>
            <w:tcBorders>
              <w:right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671,160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31.7%</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Sale of medical services</w:t>
            </w:r>
          </w:p>
        </w:tc>
        <w:tc>
          <w:tcPr>
            <w:tcW w:w="92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474,732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421,839</w:t>
            </w:r>
          </w:p>
        </w:tc>
        <w:tc>
          <w:tcPr>
            <w:tcW w:w="660" w:type="dxa"/>
            <w:vAlign w:val="bottom"/>
          </w:tcPr>
          <w:p>
            <w:pPr>
              <w:jc w:val="center"/>
              <w:ind w:left="186"/>
              <w:spacing w:after="0"/>
              <w:rPr>
                <w:sz w:val="20"/>
                <w:szCs w:val="20"/>
                <w:color w:val="auto"/>
              </w:rPr>
            </w:pPr>
            <w:r>
              <w:rPr>
                <w:rFonts w:ascii="Arial" w:cs="Arial" w:eastAsia="Arial" w:hAnsi="Arial"/>
                <w:sz w:val="11"/>
                <w:szCs w:val="11"/>
                <w:color w:val="auto"/>
                <w:w w:val="97"/>
              </w:rPr>
              <w:t>-11.1%</w:t>
            </w:r>
          </w:p>
        </w:tc>
        <w:tc>
          <w:tcPr>
            <w:tcW w:w="1240" w:type="dxa"/>
            <w:vAlign w:val="bottom"/>
            <w:tcBorders>
              <w:right w:val="single" w:sz="8" w:color="auto"/>
            </w:tcBorders>
          </w:tcPr>
          <w:p>
            <w:pPr>
              <w:ind w:left="640"/>
              <w:spacing w:after="0"/>
              <w:rPr>
                <w:sz w:val="20"/>
                <w:szCs w:val="20"/>
                <w:color w:val="auto"/>
              </w:rPr>
            </w:pPr>
            <w:r>
              <w:rPr>
                <w:rFonts w:ascii="Arial" w:cs="Arial" w:eastAsia="Arial" w:hAnsi="Arial"/>
                <w:sz w:val="11"/>
                <w:szCs w:val="11"/>
                <w:color w:val="auto"/>
              </w:rPr>
              <w:t>n.a.</w:t>
            </w:r>
          </w:p>
        </w:tc>
        <w:tc>
          <w:tcPr>
            <w:tcW w:w="740" w:type="dxa"/>
            <w:vAlign w:val="bottom"/>
          </w:tcPr>
          <w:p>
            <w:pPr>
              <w:jc w:val="center"/>
              <w:ind w:left="126"/>
              <w:spacing w:after="0"/>
              <w:rPr>
                <w:sz w:val="20"/>
                <w:szCs w:val="20"/>
                <w:color w:val="auto"/>
              </w:rPr>
            </w:pPr>
            <w:r>
              <w:rPr>
                <w:rFonts w:ascii="Arial" w:cs="Arial" w:eastAsia="Arial" w:hAnsi="Arial"/>
                <w:sz w:val="11"/>
                <w:szCs w:val="11"/>
                <w:color w:val="auto"/>
              </w:rPr>
              <w:t>-</w:t>
            </w:r>
          </w:p>
        </w:tc>
        <w:tc>
          <w:tcPr>
            <w:tcW w:w="1140" w:type="dxa"/>
            <w:vAlign w:val="bottom"/>
            <w:tcBorders>
              <w:right w:val="single" w:sz="8" w:color="auto"/>
            </w:tcBorders>
          </w:tcPr>
          <w:p>
            <w:pPr>
              <w:jc w:val="right"/>
              <w:ind w:right="246"/>
              <w:spacing w:after="0"/>
              <w:rPr>
                <w:sz w:val="20"/>
                <w:szCs w:val="20"/>
                <w:color w:val="auto"/>
              </w:rPr>
            </w:pPr>
            <w:r>
              <w:rPr>
                <w:rFonts w:ascii="Arial" w:cs="Arial" w:eastAsia="Arial" w:hAnsi="Arial"/>
                <w:sz w:val="11"/>
                <w:szCs w:val="11"/>
                <w:color w:val="auto"/>
              </w:rPr>
              <w:t>974,838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n.a.</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Cost of sales of medical services</w:t>
            </w:r>
          </w:p>
        </w:tc>
        <w:tc>
          <w:tcPr>
            <w:tcW w:w="92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(351,512)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(297,919)</w:t>
            </w:r>
          </w:p>
        </w:tc>
        <w:tc>
          <w:tcPr>
            <w:tcW w:w="660" w:type="dxa"/>
            <w:vAlign w:val="bottom"/>
          </w:tcPr>
          <w:p>
            <w:pPr>
              <w:jc w:val="center"/>
              <w:ind w:left="186"/>
              <w:spacing w:after="0"/>
              <w:rPr>
                <w:sz w:val="20"/>
                <w:szCs w:val="20"/>
                <w:color w:val="auto"/>
              </w:rPr>
            </w:pPr>
            <w:r>
              <w:rPr>
                <w:rFonts w:ascii="Arial" w:cs="Arial" w:eastAsia="Arial" w:hAnsi="Arial"/>
                <w:sz w:val="11"/>
                <w:szCs w:val="11"/>
                <w:color w:val="auto"/>
                <w:w w:val="97"/>
              </w:rPr>
              <w:t>-15.2%</w:t>
            </w:r>
          </w:p>
        </w:tc>
        <w:tc>
          <w:tcPr>
            <w:tcW w:w="1240" w:type="dxa"/>
            <w:vAlign w:val="bottom"/>
            <w:tcBorders>
              <w:right w:val="single" w:sz="8" w:color="auto"/>
            </w:tcBorders>
          </w:tcPr>
          <w:p>
            <w:pPr>
              <w:ind w:left="640"/>
              <w:spacing w:after="0"/>
              <w:rPr>
                <w:sz w:val="20"/>
                <w:szCs w:val="20"/>
                <w:color w:val="auto"/>
              </w:rPr>
            </w:pPr>
            <w:r>
              <w:rPr>
                <w:rFonts w:ascii="Arial" w:cs="Arial" w:eastAsia="Arial" w:hAnsi="Arial"/>
                <w:sz w:val="11"/>
                <w:szCs w:val="11"/>
                <w:color w:val="auto"/>
              </w:rPr>
              <w:t>n.a.</w:t>
            </w:r>
          </w:p>
        </w:tc>
        <w:tc>
          <w:tcPr>
            <w:tcW w:w="740" w:type="dxa"/>
            <w:vAlign w:val="bottom"/>
          </w:tcPr>
          <w:p>
            <w:pPr>
              <w:jc w:val="center"/>
              <w:ind w:left="126"/>
              <w:spacing w:after="0"/>
              <w:rPr>
                <w:sz w:val="20"/>
                <w:szCs w:val="20"/>
                <w:color w:val="auto"/>
              </w:rPr>
            </w:pPr>
            <w:r>
              <w:rPr>
                <w:rFonts w:ascii="Arial" w:cs="Arial" w:eastAsia="Arial" w:hAnsi="Arial"/>
                <w:sz w:val="11"/>
                <w:szCs w:val="11"/>
                <w:color w:val="auto"/>
              </w:rPr>
              <w:t>-</w:t>
            </w:r>
          </w:p>
        </w:tc>
        <w:tc>
          <w:tcPr>
            <w:tcW w:w="1140" w:type="dxa"/>
            <w:vAlign w:val="bottom"/>
            <w:tcBorders>
              <w:right w:val="single" w:sz="8" w:color="auto"/>
            </w:tcBorders>
          </w:tcPr>
          <w:p>
            <w:pPr>
              <w:jc w:val="right"/>
              <w:ind w:right="206"/>
              <w:spacing w:after="0"/>
              <w:rPr>
                <w:sz w:val="20"/>
                <w:szCs w:val="20"/>
                <w:color w:val="auto"/>
              </w:rPr>
            </w:pPr>
            <w:r>
              <w:rPr>
                <w:rFonts w:ascii="Arial" w:cs="Arial" w:eastAsia="Arial" w:hAnsi="Arial"/>
                <w:sz w:val="11"/>
                <w:szCs w:val="11"/>
                <w:color w:val="auto"/>
              </w:rPr>
              <w:t>(684,824)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n.a.</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Medical services result</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w w:val="73"/>
              </w:rPr>
              <w:t>-</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5"/>
              </w:rPr>
              <w:t>123,220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123,920</w:t>
            </w:r>
          </w:p>
        </w:tc>
        <w:tc>
          <w:tcPr>
            <w:tcW w:w="660" w:type="dxa"/>
            <w:vAlign w:val="bottom"/>
          </w:tcPr>
          <w:p>
            <w:pPr>
              <w:jc w:val="center"/>
              <w:ind w:left="186"/>
              <w:spacing w:after="0"/>
              <w:rPr>
                <w:sz w:val="20"/>
                <w:szCs w:val="20"/>
                <w:color w:val="auto"/>
              </w:rPr>
            </w:pPr>
            <w:r>
              <w:rPr>
                <w:rFonts w:ascii="Arial" w:cs="Arial" w:eastAsia="Arial" w:hAnsi="Arial"/>
                <w:sz w:val="11"/>
                <w:szCs w:val="11"/>
                <w:b w:val="1"/>
                <w:bCs w:val="1"/>
                <w:color w:val="auto"/>
              </w:rPr>
              <w:t>0.6%</w:t>
            </w:r>
          </w:p>
        </w:tc>
        <w:tc>
          <w:tcPr>
            <w:tcW w:w="1240" w:type="dxa"/>
            <w:vAlign w:val="bottom"/>
            <w:tcBorders>
              <w:right w:val="single" w:sz="8" w:color="auto"/>
            </w:tcBorders>
          </w:tcPr>
          <w:p>
            <w:pPr>
              <w:ind w:left="640"/>
              <w:spacing w:after="0"/>
              <w:rPr>
                <w:sz w:val="20"/>
                <w:szCs w:val="20"/>
                <w:color w:val="auto"/>
              </w:rPr>
            </w:pPr>
            <w:r>
              <w:rPr>
                <w:rFonts w:ascii="Arial" w:cs="Arial" w:eastAsia="Arial" w:hAnsi="Arial"/>
                <w:sz w:val="11"/>
                <w:szCs w:val="11"/>
                <w:b w:val="1"/>
                <w:bCs w:val="1"/>
                <w:color w:val="auto"/>
              </w:rPr>
              <w:t>n.a.</w:t>
            </w:r>
          </w:p>
        </w:tc>
        <w:tc>
          <w:tcPr>
            <w:tcW w:w="740" w:type="dxa"/>
            <w:vAlign w:val="bottom"/>
          </w:tcPr>
          <w:p>
            <w:pPr>
              <w:jc w:val="center"/>
              <w:ind w:left="126"/>
              <w:spacing w:after="0"/>
              <w:rPr>
                <w:sz w:val="20"/>
                <w:szCs w:val="20"/>
                <w:color w:val="auto"/>
              </w:rPr>
            </w:pPr>
            <w:r>
              <w:rPr>
                <w:rFonts w:ascii="Arial" w:cs="Arial" w:eastAsia="Arial" w:hAnsi="Arial"/>
                <w:sz w:val="11"/>
                <w:szCs w:val="11"/>
                <w:b w:val="1"/>
                <w:bCs w:val="1"/>
                <w:color w:val="auto"/>
              </w:rPr>
              <w:t>-</w:t>
            </w:r>
          </w:p>
        </w:tc>
        <w:tc>
          <w:tcPr>
            <w:tcW w:w="1140" w:type="dxa"/>
            <w:vAlign w:val="bottom"/>
            <w:tcBorders>
              <w:right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290,014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n.a.</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Interest income</w:t>
            </w:r>
          </w:p>
        </w:tc>
        <w:tc>
          <w:tcPr>
            <w:tcW w:w="920" w:type="dxa"/>
            <w:vAlign w:val="bottom"/>
          </w:tcPr>
          <w:p>
            <w:pPr>
              <w:jc w:val="center"/>
              <w:spacing w:after="0"/>
              <w:rPr>
                <w:sz w:val="20"/>
                <w:szCs w:val="20"/>
                <w:color w:val="auto"/>
              </w:rPr>
            </w:pPr>
            <w:r>
              <w:rPr>
                <w:rFonts w:ascii="Arial" w:cs="Arial" w:eastAsia="Arial" w:hAnsi="Arial"/>
                <w:sz w:val="11"/>
                <w:szCs w:val="11"/>
                <w:color w:val="auto"/>
                <w:w w:val="95"/>
              </w:rPr>
              <w:t>209,425</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234,866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220,584</w:t>
            </w:r>
          </w:p>
        </w:tc>
        <w:tc>
          <w:tcPr>
            <w:tcW w:w="660" w:type="dxa"/>
            <w:vAlign w:val="bottom"/>
          </w:tcPr>
          <w:p>
            <w:pPr>
              <w:jc w:val="center"/>
              <w:ind w:left="206"/>
              <w:spacing w:after="0"/>
              <w:rPr>
                <w:sz w:val="20"/>
                <w:szCs w:val="20"/>
                <w:color w:val="auto"/>
              </w:rPr>
            </w:pPr>
            <w:r>
              <w:rPr>
                <w:rFonts w:ascii="Arial" w:cs="Arial" w:eastAsia="Arial" w:hAnsi="Arial"/>
                <w:sz w:val="11"/>
                <w:szCs w:val="11"/>
                <w:color w:val="auto"/>
                <w:w w:val="97"/>
              </w:rPr>
              <w:t>-6.1%</w:t>
            </w:r>
          </w:p>
        </w:tc>
        <w:tc>
          <w:tcPr>
            <w:tcW w:w="124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5"/>
              </w:rPr>
              <w:t>5.3%</w:t>
            </w:r>
          </w:p>
        </w:tc>
        <w:tc>
          <w:tcPr>
            <w:tcW w:w="740" w:type="dxa"/>
            <w:vAlign w:val="bottom"/>
          </w:tcPr>
          <w:p>
            <w:pPr>
              <w:jc w:val="center"/>
              <w:ind w:left="106"/>
              <w:spacing w:after="0"/>
              <w:rPr>
                <w:sz w:val="20"/>
                <w:szCs w:val="20"/>
                <w:color w:val="auto"/>
              </w:rPr>
            </w:pPr>
            <w:r>
              <w:rPr>
                <w:rFonts w:ascii="Arial" w:cs="Arial" w:eastAsia="Arial" w:hAnsi="Arial"/>
                <w:sz w:val="11"/>
                <w:szCs w:val="11"/>
                <w:color w:val="auto"/>
                <w:w w:val="95"/>
              </w:rPr>
              <w:t>626,145</w:t>
            </w:r>
          </w:p>
        </w:tc>
        <w:tc>
          <w:tcPr>
            <w:tcW w:w="1140" w:type="dxa"/>
            <w:vAlign w:val="bottom"/>
            <w:tcBorders>
              <w:right w:val="single" w:sz="8" w:color="auto"/>
            </w:tcBorders>
          </w:tcPr>
          <w:p>
            <w:pPr>
              <w:jc w:val="right"/>
              <w:ind w:right="246"/>
              <w:spacing w:after="0"/>
              <w:rPr>
                <w:sz w:val="20"/>
                <w:szCs w:val="20"/>
                <w:color w:val="auto"/>
              </w:rPr>
            </w:pPr>
            <w:r>
              <w:rPr>
                <w:rFonts w:ascii="Arial" w:cs="Arial" w:eastAsia="Arial" w:hAnsi="Arial"/>
                <w:sz w:val="11"/>
                <w:szCs w:val="11"/>
                <w:color w:val="auto"/>
              </w:rPr>
              <w:t>693,663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10.8%</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Interest Expenses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(135,554)</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(156,502)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(158,576)</w:t>
            </w:r>
          </w:p>
        </w:tc>
        <w:tc>
          <w:tcPr>
            <w:tcW w:w="660" w:type="dxa"/>
            <w:vAlign w:val="bottom"/>
          </w:tcPr>
          <w:p>
            <w:pPr>
              <w:jc w:val="center"/>
              <w:ind w:left="186"/>
              <w:spacing w:after="0"/>
              <w:rPr>
                <w:sz w:val="20"/>
                <w:szCs w:val="20"/>
                <w:color w:val="auto"/>
              </w:rPr>
            </w:pPr>
            <w:r>
              <w:rPr>
                <w:rFonts w:ascii="Arial" w:cs="Arial" w:eastAsia="Arial" w:hAnsi="Arial"/>
                <w:sz w:val="11"/>
                <w:szCs w:val="11"/>
                <w:color w:val="auto"/>
              </w:rPr>
              <w:t>1.3%</w:t>
            </w:r>
          </w:p>
        </w:tc>
        <w:tc>
          <w:tcPr>
            <w:tcW w:w="12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6"/>
              </w:rPr>
              <w:t>17.0%</w:t>
            </w:r>
          </w:p>
        </w:tc>
        <w:tc>
          <w:tcPr>
            <w:tcW w:w="740" w:type="dxa"/>
            <w:vAlign w:val="bottom"/>
          </w:tcPr>
          <w:p>
            <w:pPr>
              <w:jc w:val="center"/>
              <w:ind w:left="106"/>
              <w:spacing w:after="0"/>
              <w:rPr>
                <w:sz w:val="20"/>
                <w:szCs w:val="20"/>
                <w:color w:val="auto"/>
              </w:rPr>
            </w:pPr>
            <w:r>
              <w:rPr>
                <w:rFonts w:ascii="Arial" w:cs="Arial" w:eastAsia="Arial" w:hAnsi="Arial"/>
                <w:sz w:val="11"/>
                <w:szCs w:val="11"/>
                <w:color w:val="auto"/>
                <w:w w:val="97"/>
              </w:rPr>
              <w:t>(396,116)</w:t>
            </w:r>
          </w:p>
        </w:tc>
        <w:tc>
          <w:tcPr>
            <w:tcW w:w="1140" w:type="dxa"/>
            <w:vAlign w:val="bottom"/>
            <w:tcBorders>
              <w:right w:val="single" w:sz="8" w:color="auto"/>
            </w:tcBorders>
          </w:tcPr>
          <w:p>
            <w:pPr>
              <w:jc w:val="right"/>
              <w:ind w:right="206"/>
              <w:spacing w:after="0"/>
              <w:rPr>
                <w:sz w:val="20"/>
                <w:szCs w:val="20"/>
                <w:color w:val="auto"/>
              </w:rPr>
            </w:pPr>
            <w:r>
              <w:rPr>
                <w:rFonts w:ascii="Arial" w:cs="Arial" w:eastAsia="Arial" w:hAnsi="Arial"/>
                <w:sz w:val="11"/>
                <w:szCs w:val="11"/>
                <w:color w:val="auto"/>
              </w:rPr>
              <w:t>(460,776)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16.3%</w:t>
            </w:r>
          </w:p>
        </w:tc>
      </w:tr>
      <w:tr>
        <w:trPr>
          <w:trHeight w:val="132"/>
        </w:trPr>
        <w:tc>
          <w:tcPr>
            <w:tcW w:w="30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Interest expenses attributable to insurance activities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(128,578)</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(139,054)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(141,444)</w:t>
            </w:r>
          </w:p>
        </w:tc>
        <w:tc>
          <w:tcPr>
            <w:tcW w:w="660" w:type="dxa"/>
            <w:vAlign w:val="bottom"/>
          </w:tcPr>
          <w:p>
            <w:pPr>
              <w:jc w:val="center"/>
              <w:ind w:left="186"/>
              <w:spacing w:after="0"/>
              <w:rPr>
                <w:sz w:val="20"/>
                <w:szCs w:val="20"/>
                <w:color w:val="auto"/>
              </w:rPr>
            </w:pPr>
            <w:r>
              <w:rPr>
                <w:rFonts w:ascii="Arial" w:cs="Arial" w:eastAsia="Arial" w:hAnsi="Arial"/>
                <w:sz w:val="11"/>
                <w:szCs w:val="11"/>
                <w:color w:val="auto"/>
              </w:rPr>
              <w:t>1.7%</w:t>
            </w:r>
          </w:p>
        </w:tc>
        <w:tc>
          <w:tcPr>
            <w:tcW w:w="12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6"/>
              </w:rPr>
              <w:t>10.0%</w:t>
            </w:r>
          </w:p>
        </w:tc>
        <w:tc>
          <w:tcPr>
            <w:tcW w:w="740" w:type="dxa"/>
            <w:vAlign w:val="bottom"/>
          </w:tcPr>
          <w:p>
            <w:pPr>
              <w:jc w:val="center"/>
              <w:ind w:left="106"/>
              <w:spacing w:after="0"/>
              <w:rPr>
                <w:sz w:val="20"/>
                <w:szCs w:val="20"/>
                <w:color w:val="auto"/>
              </w:rPr>
            </w:pPr>
            <w:r>
              <w:rPr>
                <w:rFonts w:ascii="Arial" w:cs="Arial" w:eastAsia="Arial" w:hAnsi="Arial"/>
                <w:sz w:val="11"/>
                <w:szCs w:val="11"/>
                <w:color w:val="auto"/>
                <w:w w:val="97"/>
              </w:rPr>
              <w:t>(375,268)</w:t>
            </w:r>
          </w:p>
        </w:tc>
        <w:tc>
          <w:tcPr>
            <w:tcW w:w="1140" w:type="dxa"/>
            <w:vAlign w:val="bottom"/>
            <w:tcBorders>
              <w:right w:val="single" w:sz="8" w:color="auto"/>
            </w:tcBorders>
          </w:tcPr>
          <w:p>
            <w:pPr>
              <w:jc w:val="right"/>
              <w:ind w:right="206"/>
              <w:spacing w:after="0"/>
              <w:rPr>
                <w:sz w:val="20"/>
                <w:szCs w:val="20"/>
                <w:color w:val="auto"/>
              </w:rPr>
            </w:pPr>
            <w:r>
              <w:rPr>
                <w:rFonts w:ascii="Arial" w:cs="Arial" w:eastAsia="Arial" w:hAnsi="Arial"/>
                <w:sz w:val="11"/>
                <w:szCs w:val="11"/>
                <w:color w:val="auto"/>
              </w:rPr>
              <w:t>(416,120)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10.9%</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Interest Income</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rPr>
              <w:t>73,871</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78,364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62,008</w:t>
            </w:r>
          </w:p>
        </w:tc>
        <w:tc>
          <w:tcPr>
            <w:tcW w:w="66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-20.9%</w:t>
            </w:r>
          </w:p>
        </w:tc>
        <w:tc>
          <w:tcPr>
            <w:tcW w:w="12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7"/>
              </w:rPr>
              <w:t>-16.1%</w:t>
            </w:r>
          </w:p>
        </w:tc>
        <w:tc>
          <w:tcPr>
            <w:tcW w:w="740" w:type="dxa"/>
            <w:vAlign w:val="bottom"/>
          </w:tcPr>
          <w:p>
            <w:pPr>
              <w:jc w:val="center"/>
              <w:ind w:left="106"/>
              <w:spacing w:after="0"/>
              <w:rPr>
                <w:sz w:val="20"/>
                <w:szCs w:val="20"/>
                <w:color w:val="auto"/>
              </w:rPr>
            </w:pPr>
            <w:r>
              <w:rPr>
                <w:rFonts w:ascii="Arial" w:cs="Arial" w:eastAsia="Arial" w:hAnsi="Arial"/>
                <w:sz w:val="11"/>
                <w:szCs w:val="11"/>
                <w:b w:val="1"/>
                <w:bCs w:val="1"/>
                <w:color w:val="auto"/>
                <w:w w:val="95"/>
              </w:rPr>
              <w:t>230,029</w:t>
            </w:r>
          </w:p>
        </w:tc>
        <w:tc>
          <w:tcPr>
            <w:tcW w:w="1140" w:type="dxa"/>
            <w:vAlign w:val="bottom"/>
            <w:tcBorders>
              <w:right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232,887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1.2%</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Fee Income and Gain in FX</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(4,676)</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(6,397)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(5,160)</w:t>
            </w:r>
          </w:p>
        </w:tc>
        <w:tc>
          <w:tcPr>
            <w:tcW w:w="660" w:type="dxa"/>
            <w:vAlign w:val="bottom"/>
          </w:tcPr>
          <w:p>
            <w:pPr>
              <w:jc w:val="center"/>
              <w:ind w:left="186"/>
              <w:spacing w:after="0"/>
              <w:rPr>
                <w:sz w:val="20"/>
                <w:szCs w:val="20"/>
                <w:color w:val="auto"/>
              </w:rPr>
            </w:pPr>
            <w:r>
              <w:rPr>
                <w:rFonts w:ascii="Arial" w:cs="Arial" w:eastAsia="Arial" w:hAnsi="Arial"/>
                <w:sz w:val="11"/>
                <w:szCs w:val="11"/>
                <w:color w:val="auto"/>
                <w:w w:val="97"/>
              </w:rPr>
              <w:t>-19.3%</w:t>
            </w:r>
          </w:p>
        </w:tc>
        <w:tc>
          <w:tcPr>
            <w:tcW w:w="12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6"/>
              </w:rPr>
              <w:t>10.4%</w:t>
            </w:r>
          </w:p>
        </w:tc>
        <w:tc>
          <w:tcPr>
            <w:tcW w:w="740" w:type="dxa"/>
            <w:vAlign w:val="bottom"/>
          </w:tcPr>
          <w:p>
            <w:pPr>
              <w:jc w:val="center"/>
              <w:ind w:left="126"/>
              <w:spacing w:after="0"/>
              <w:rPr>
                <w:sz w:val="20"/>
                <w:szCs w:val="20"/>
                <w:color w:val="auto"/>
              </w:rPr>
            </w:pPr>
            <w:r>
              <w:rPr>
                <w:rFonts w:ascii="Arial" w:cs="Arial" w:eastAsia="Arial" w:hAnsi="Arial"/>
                <w:sz w:val="11"/>
                <w:szCs w:val="11"/>
                <w:color w:val="auto"/>
                <w:w w:val="97"/>
              </w:rPr>
              <w:t>(10,200)</w:t>
            </w:r>
          </w:p>
        </w:tc>
        <w:tc>
          <w:tcPr>
            <w:tcW w:w="1140" w:type="dxa"/>
            <w:vAlign w:val="bottom"/>
            <w:tcBorders>
              <w:right w:val="single" w:sz="8" w:color="auto"/>
            </w:tcBorders>
          </w:tcPr>
          <w:p>
            <w:pPr>
              <w:jc w:val="right"/>
              <w:ind w:right="226"/>
              <w:spacing w:after="0"/>
              <w:rPr>
                <w:sz w:val="20"/>
                <w:szCs w:val="20"/>
                <w:color w:val="auto"/>
              </w:rPr>
            </w:pPr>
            <w:r>
              <w:rPr>
                <w:rFonts w:ascii="Arial" w:cs="Arial" w:eastAsia="Arial" w:hAnsi="Arial"/>
                <w:sz w:val="11"/>
                <w:szCs w:val="11"/>
                <w:color w:val="auto"/>
              </w:rPr>
              <w:t>(15,708)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54.0%</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i w:val="1"/>
                <w:iCs w:val="1"/>
                <w:color w:val="auto"/>
              </w:rPr>
              <w:t>Other Income No Core:</w:t>
            </w: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Net gain (loss) from exchange differences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191</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488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1,454</w:t>
            </w:r>
          </w:p>
        </w:tc>
        <w:tc>
          <w:tcPr>
            <w:tcW w:w="660" w:type="dxa"/>
            <w:vAlign w:val="bottom"/>
          </w:tcPr>
          <w:p>
            <w:pPr>
              <w:jc w:val="center"/>
              <w:ind w:left="186"/>
              <w:spacing w:after="0"/>
              <w:rPr>
                <w:sz w:val="20"/>
                <w:szCs w:val="20"/>
                <w:color w:val="auto"/>
              </w:rPr>
            </w:pPr>
            <w:r>
              <w:rPr>
                <w:rFonts w:ascii="Arial" w:cs="Arial" w:eastAsia="Arial" w:hAnsi="Arial"/>
                <w:sz w:val="11"/>
                <w:szCs w:val="11"/>
                <w:color w:val="auto"/>
              </w:rPr>
              <w:t>198.0%</w:t>
            </w:r>
          </w:p>
        </w:tc>
        <w:tc>
          <w:tcPr>
            <w:tcW w:w="124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6"/>
              </w:rPr>
              <w:t>661.3%</w:t>
            </w:r>
          </w:p>
        </w:tc>
        <w:tc>
          <w:tcPr>
            <w:tcW w:w="740" w:type="dxa"/>
            <w:vAlign w:val="bottom"/>
          </w:tcPr>
          <w:p>
            <w:pPr>
              <w:jc w:val="center"/>
              <w:ind w:left="106"/>
              <w:spacing w:after="0"/>
              <w:rPr>
                <w:sz w:val="20"/>
                <w:szCs w:val="20"/>
                <w:color w:val="auto"/>
              </w:rPr>
            </w:pPr>
            <w:r>
              <w:rPr>
                <w:rFonts w:ascii="Arial" w:cs="Arial" w:eastAsia="Arial" w:hAnsi="Arial"/>
                <w:sz w:val="11"/>
                <w:szCs w:val="11"/>
                <w:color w:val="auto"/>
                <w:w w:val="97"/>
              </w:rPr>
              <w:t>(1,808)</w:t>
            </w:r>
          </w:p>
        </w:tc>
        <w:tc>
          <w:tcPr>
            <w:tcW w:w="1140" w:type="dxa"/>
            <w:vAlign w:val="bottom"/>
            <w:tcBorders>
              <w:right w:val="single" w:sz="8" w:color="auto"/>
            </w:tcBorders>
          </w:tcPr>
          <w:p>
            <w:pPr>
              <w:jc w:val="right"/>
              <w:ind w:right="306"/>
              <w:spacing w:after="0"/>
              <w:rPr>
                <w:sz w:val="20"/>
                <w:szCs w:val="20"/>
                <w:color w:val="auto"/>
              </w:rPr>
            </w:pPr>
            <w:r>
              <w:rPr>
                <w:rFonts w:ascii="Arial" w:cs="Arial" w:eastAsia="Arial" w:hAnsi="Arial"/>
                <w:sz w:val="11"/>
                <w:szCs w:val="11"/>
                <w:color w:val="auto"/>
              </w:rPr>
              <w:t>1,591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-188.0%</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Net loss on securities and associates</w:t>
            </w:r>
          </w:p>
        </w:tc>
        <w:tc>
          <w:tcPr>
            <w:tcW w:w="920" w:type="dxa"/>
            <w:vAlign w:val="bottom"/>
          </w:tcPr>
          <w:p>
            <w:pPr>
              <w:jc w:val="center"/>
              <w:spacing w:after="0"/>
              <w:rPr>
                <w:sz w:val="20"/>
                <w:szCs w:val="20"/>
                <w:color w:val="auto"/>
              </w:rPr>
            </w:pPr>
            <w:r>
              <w:rPr>
                <w:rFonts w:ascii="Arial" w:cs="Arial" w:eastAsia="Arial" w:hAnsi="Arial"/>
                <w:sz w:val="11"/>
                <w:szCs w:val="11"/>
                <w:color w:val="auto"/>
              </w:rPr>
              <w:t>29,761</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(15,390)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(12,740)</w:t>
            </w:r>
          </w:p>
        </w:tc>
        <w:tc>
          <w:tcPr>
            <w:tcW w:w="660" w:type="dxa"/>
            <w:vAlign w:val="bottom"/>
          </w:tcPr>
          <w:p>
            <w:pPr>
              <w:jc w:val="center"/>
              <w:ind w:left="186"/>
              <w:spacing w:after="0"/>
              <w:rPr>
                <w:sz w:val="20"/>
                <w:szCs w:val="20"/>
                <w:color w:val="auto"/>
              </w:rPr>
            </w:pPr>
            <w:r>
              <w:rPr>
                <w:rFonts w:ascii="Arial" w:cs="Arial" w:eastAsia="Arial" w:hAnsi="Arial"/>
                <w:sz w:val="11"/>
                <w:szCs w:val="11"/>
                <w:color w:val="auto"/>
                <w:w w:val="97"/>
              </w:rPr>
              <w:t>-17.2%</w:t>
            </w:r>
          </w:p>
        </w:tc>
        <w:tc>
          <w:tcPr>
            <w:tcW w:w="124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-142.8%</w:t>
            </w:r>
          </w:p>
        </w:tc>
        <w:tc>
          <w:tcPr>
            <w:tcW w:w="740" w:type="dxa"/>
            <w:vAlign w:val="bottom"/>
          </w:tcPr>
          <w:p>
            <w:pPr>
              <w:jc w:val="center"/>
              <w:ind w:left="106"/>
              <w:spacing w:after="0"/>
              <w:rPr>
                <w:sz w:val="20"/>
                <w:szCs w:val="20"/>
                <w:color w:val="auto"/>
              </w:rPr>
            </w:pPr>
            <w:r>
              <w:rPr>
                <w:rFonts w:ascii="Arial" w:cs="Arial" w:eastAsia="Arial" w:hAnsi="Arial"/>
                <w:sz w:val="11"/>
                <w:szCs w:val="11"/>
                <w:color w:val="auto"/>
              </w:rPr>
              <w:t>77,839</w:t>
            </w:r>
          </w:p>
        </w:tc>
        <w:tc>
          <w:tcPr>
            <w:tcW w:w="1140" w:type="dxa"/>
            <w:vAlign w:val="bottom"/>
            <w:tcBorders>
              <w:right w:val="single" w:sz="8" w:color="auto"/>
            </w:tcBorders>
          </w:tcPr>
          <w:p>
            <w:pPr>
              <w:jc w:val="right"/>
              <w:ind w:right="226"/>
              <w:spacing w:after="0"/>
              <w:rPr>
                <w:sz w:val="20"/>
                <w:szCs w:val="20"/>
                <w:color w:val="auto"/>
              </w:rPr>
            </w:pPr>
            <w:r>
              <w:rPr>
                <w:rFonts w:ascii="Arial" w:cs="Arial" w:eastAsia="Arial" w:hAnsi="Arial"/>
                <w:sz w:val="11"/>
                <w:szCs w:val="11"/>
                <w:color w:val="auto"/>
              </w:rPr>
              <w:t>(62,526)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-180.3%</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Other Income not operational</w:t>
            </w:r>
          </w:p>
        </w:tc>
        <w:tc>
          <w:tcPr>
            <w:tcW w:w="920" w:type="dxa"/>
            <w:vAlign w:val="bottom"/>
          </w:tcPr>
          <w:p>
            <w:pPr>
              <w:jc w:val="center"/>
              <w:spacing w:after="0"/>
              <w:rPr>
                <w:sz w:val="20"/>
                <w:szCs w:val="20"/>
                <w:color w:val="auto"/>
              </w:rPr>
            </w:pPr>
            <w:r>
              <w:rPr>
                <w:rFonts w:ascii="Arial" w:cs="Arial" w:eastAsia="Arial" w:hAnsi="Arial"/>
                <w:sz w:val="11"/>
                <w:szCs w:val="11"/>
                <w:color w:val="auto"/>
              </w:rPr>
              <w:t>26,029</w:t>
            </w:r>
          </w:p>
        </w:tc>
        <w:tc>
          <w:tcPr>
            <w:tcW w:w="960" w:type="dxa"/>
            <w:vAlign w:val="bottom"/>
          </w:tcPr>
          <w:p>
            <w:pPr>
              <w:jc w:val="center"/>
              <w:spacing w:after="0"/>
              <w:rPr>
                <w:sz w:val="20"/>
                <w:szCs w:val="20"/>
                <w:color w:val="auto"/>
              </w:rPr>
            </w:pPr>
            <w:r>
              <w:rPr>
                <w:rFonts w:ascii="Arial" w:cs="Arial" w:eastAsia="Arial" w:hAnsi="Arial"/>
                <w:sz w:val="11"/>
                <w:szCs w:val="11"/>
                <w:color w:val="auto"/>
              </w:rPr>
              <w:t>34,343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46,175</w:t>
            </w:r>
          </w:p>
        </w:tc>
        <w:tc>
          <w:tcPr>
            <w:tcW w:w="660" w:type="dxa"/>
            <w:vAlign w:val="bottom"/>
          </w:tcPr>
          <w:p>
            <w:pPr>
              <w:jc w:val="center"/>
              <w:ind w:left="186"/>
              <w:spacing w:after="0"/>
              <w:rPr>
                <w:sz w:val="20"/>
                <w:szCs w:val="20"/>
                <w:color w:val="auto"/>
              </w:rPr>
            </w:pPr>
            <w:r>
              <w:rPr>
                <w:rFonts w:ascii="Arial" w:cs="Arial" w:eastAsia="Arial" w:hAnsi="Arial"/>
                <w:sz w:val="11"/>
                <w:szCs w:val="11"/>
                <w:color w:val="auto"/>
                <w:w w:val="96"/>
              </w:rPr>
              <w:t>34.5%</w:t>
            </w:r>
          </w:p>
        </w:tc>
        <w:tc>
          <w:tcPr>
            <w:tcW w:w="12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6"/>
              </w:rPr>
              <w:t>77.4%</w:t>
            </w:r>
          </w:p>
        </w:tc>
        <w:tc>
          <w:tcPr>
            <w:tcW w:w="740" w:type="dxa"/>
            <w:vAlign w:val="bottom"/>
          </w:tcPr>
          <w:p>
            <w:pPr>
              <w:jc w:val="center"/>
              <w:ind w:left="106"/>
              <w:spacing w:after="0"/>
              <w:rPr>
                <w:sz w:val="20"/>
                <w:szCs w:val="20"/>
                <w:color w:val="auto"/>
              </w:rPr>
            </w:pPr>
            <w:r>
              <w:rPr>
                <w:rFonts w:ascii="Arial" w:cs="Arial" w:eastAsia="Arial" w:hAnsi="Arial"/>
                <w:sz w:val="11"/>
                <w:szCs w:val="11"/>
                <w:color w:val="auto"/>
              </w:rPr>
              <w:t>99,988</w:t>
            </w:r>
          </w:p>
        </w:tc>
        <w:tc>
          <w:tcPr>
            <w:tcW w:w="1140" w:type="dxa"/>
            <w:vAlign w:val="bottom"/>
            <w:tcBorders>
              <w:right w:val="single" w:sz="8" w:color="auto"/>
            </w:tcBorders>
          </w:tcPr>
          <w:p>
            <w:pPr>
              <w:jc w:val="right"/>
              <w:ind w:right="246"/>
              <w:spacing w:after="0"/>
              <w:rPr>
                <w:sz w:val="20"/>
                <w:szCs w:val="20"/>
                <w:color w:val="auto"/>
              </w:rPr>
            </w:pPr>
            <w:r>
              <w:rPr>
                <w:rFonts w:ascii="Arial" w:cs="Arial" w:eastAsia="Arial" w:hAnsi="Arial"/>
                <w:sz w:val="11"/>
                <w:szCs w:val="11"/>
                <w:color w:val="auto"/>
              </w:rPr>
              <w:t>106,782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6.8%</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Other Income</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rPr>
              <w:t>51,305</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13,044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29,729</w:t>
            </w:r>
          </w:p>
        </w:tc>
        <w:tc>
          <w:tcPr>
            <w:tcW w:w="660" w:type="dxa"/>
            <w:vAlign w:val="bottom"/>
          </w:tcPr>
          <w:p>
            <w:pPr>
              <w:jc w:val="center"/>
              <w:ind w:left="186"/>
              <w:spacing w:after="0"/>
              <w:rPr>
                <w:sz w:val="20"/>
                <w:szCs w:val="20"/>
                <w:color w:val="auto"/>
              </w:rPr>
            </w:pPr>
            <w:r>
              <w:rPr>
                <w:rFonts w:ascii="Arial" w:cs="Arial" w:eastAsia="Arial" w:hAnsi="Arial"/>
                <w:sz w:val="11"/>
                <w:szCs w:val="11"/>
                <w:b w:val="1"/>
                <w:bCs w:val="1"/>
                <w:color w:val="auto"/>
              </w:rPr>
              <w:t>127.9%</w:t>
            </w:r>
          </w:p>
        </w:tc>
        <w:tc>
          <w:tcPr>
            <w:tcW w:w="12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7"/>
              </w:rPr>
              <w:t>-42.1%</w:t>
            </w:r>
          </w:p>
        </w:tc>
        <w:tc>
          <w:tcPr>
            <w:tcW w:w="740" w:type="dxa"/>
            <w:vAlign w:val="bottom"/>
          </w:tcPr>
          <w:p>
            <w:pPr>
              <w:jc w:val="center"/>
              <w:ind w:left="106"/>
              <w:spacing w:after="0"/>
              <w:rPr>
                <w:sz w:val="20"/>
                <w:szCs w:val="20"/>
                <w:color w:val="auto"/>
              </w:rPr>
            </w:pPr>
            <w:r>
              <w:rPr>
                <w:rFonts w:ascii="Arial" w:cs="Arial" w:eastAsia="Arial" w:hAnsi="Arial"/>
                <w:sz w:val="11"/>
                <w:szCs w:val="11"/>
                <w:b w:val="1"/>
                <w:bCs w:val="1"/>
                <w:color w:val="auto"/>
                <w:w w:val="95"/>
              </w:rPr>
              <w:t>165,819</w:t>
            </w:r>
          </w:p>
        </w:tc>
        <w:tc>
          <w:tcPr>
            <w:tcW w:w="1140" w:type="dxa"/>
            <w:vAlign w:val="bottom"/>
            <w:tcBorders>
              <w:right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30,139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-81.8%</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expenses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(64,307)</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(161,499)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(165,580)</w:t>
            </w:r>
          </w:p>
        </w:tc>
        <w:tc>
          <w:tcPr>
            <w:tcW w:w="660" w:type="dxa"/>
            <w:vAlign w:val="bottom"/>
          </w:tcPr>
          <w:p>
            <w:pPr>
              <w:jc w:val="center"/>
              <w:ind w:left="186"/>
              <w:spacing w:after="0"/>
              <w:rPr>
                <w:sz w:val="20"/>
                <w:szCs w:val="20"/>
                <w:color w:val="auto"/>
              </w:rPr>
            </w:pPr>
            <w:r>
              <w:rPr>
                <w:rFonts w:ascii="Arial" w:cs="Arial" w:eastAsia="Arial" w:hAnsi="Arial"/>
                <w:sz w:val="11"/>
                <w:szCs w:val="11"/>
                <w:color w:val="auto"/>
              </w:rPr>
              <w:t>2.5%</w:t>
            </w:r>
          </w:p>
        </w:tc>
        <w:tc>
          <w:tcPr>
            <w:tcW w:w="124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6"/>
              </w:rPr>
              <w:t>157.5%</w:t>
            </w:r>
          </w:p>
        </w:tc>
        <w:tc>
          <w:tcPr>
            <w:tcW w:w="740" w:type="dxa"/>
            <w:vAlign w:val="bottom"/>
          </w:tcPr>
          <w:p>
            <w:pPr>
              <w:jc w:val="center"/>
              <w:ind w:left="106"/>
              <w:spacing w:after="0"/>
              <w:rPr>
                <w:sz w:val="20"/>
                <w:szCs w:val="20"/>
                <w:color w:val="auto"/>
              </w:rPr>
            </w:pPr>
            <w:r>
              <w:rPr>
                <w:rFonts w:ascii="Arial" w:cs="Arial" w:eastAsia="Arial" w:hAnsi="Arial"/>
                <w:sz w:val="11"/>
                <w:szCs w:val="11"/>
                <w:color w:val="auto"/>
                <w:w w:val="97"/>
              </w:rPr>
              <w:t>(215,878)</w:t>
            </w:r>
          </w:p>
        </w:tc>
        <w:tc>
          <w:tcPr>
            <w:tcW w:w="1140" w:type="dxa"/>
            <w:vAlign w:val="bottom"/>
            <w:tcBorders>
              <w:right w:val="single" w:sz="8" w:color="auto"/>
            </w:tcBorders>
          </w:tcPr>
          <w:p>
            <w:pPr>
              <w:jc w:val="right"/>
              <w:ind w:right="206"/>
              <w:spacing w:after="0"/>
              <w:rPr>
                <w:sz w:val="20"/>
                <w:szCs w:val="20"/>
                <w:color w:val="auto"/>
              </w:rPr>
            </w:pPr>
            <w:r>
              <w:rPr>
                <w:rFonts w:ascii="Arial" w:cs="Arial" w:eastAsia="Arial" w:hAnsi="Arial"/>
                <w:sz w:val="11"/>
                <w:szCs w:val="11"/>
                <w:color w:val="auto"/>
              </w:rPr>
              <w:t>(432,494)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100.3%</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Other expenses</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(24,098)</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(25,822)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(18,325)</w:t>
            </w:r>
          </w:p>
        </w:tc>
        <w:tc>
          <w:tcPr>
            <w:tcW w:w="660" w:type="dxa"/>
            <w:vAlign w:val="bottom"/>
          </w:tcPr>
          <w:p>
            <w:pPr>
              <w:jc w:val="center"/>
              <w:ind w:left="186"/>
              <w:spacing w:after="0"/>
              <w:rPr>
                <w:sz w:val="20"/>
                <w:szCs w:val="20"/>
                <w:color w:val="auto"/>
              </w:rPr>
            </w:pPr>
            <w:r>
              <w:rPr>
                <w:rFonts w:ascii="Arial" w:cs="Arial" w:eastAsia="Arial" w:hAnsi="Arial"/>
                <w:sz w:val="11"/>
                <w:szCs w:val="11"/>
                <w:color w:val="auto"/>
                <w:w w:val="97"/>
              </w:rPr>
              <w:t>-29.0%</w:t>
            </w:r>
          </w:p>
        </w:tc>
        <w:tc>
          <w:tcPr>
            <w:tcW w:w="12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-24.0%</w:t>
            </w:r>
          </w:p>
        </w:tc>
        <w:tc>
          <w:tcPr>
            <w:tcW w:w="740" w:type="dxa"/>
            <w:vAlign w:val="bottom"/>
          </w:tcPr>
          <w:p>
            <w:pPr>
              <w:jc w:val="center"/>
              <w:ind w:left="126"/>
              <w:spacing w:after="0"/>
              <w:rPr>
                <w:sz w:val="20"/>
                <w:szCs w:val="20"/>
                <w:color w:val="auto"/>
              </w:rPr>
            </w:pPr>
            <w:r>
              <w:rPr>
                <w:rFonts w:ascii="Arial" w:cs="Arial" w:eastAsia="Arial" w:hAnsi="Arial"/>
                <w:sz w:val="11"/>
                <w:szCs w:val="11"/>
                <w:color w:val="auto"/>
                <w:w w:val="97"/>
              </w:rPr>
              <w:t>(58,428)</w:t>
            </w:r>
          </w:p>
        </w:tc>
        <w:tc>
          <w:tcPr>
            <w:tcW w:w="1140" w:type="dxa"/>
            <w:vAlign w:val="bottom"/>
            <w:tcBorders>
              <w:right w:val="single" w:sz="8" w:color="auto"/>
            </w:tcBorders>
          </w:tcPr>
          <w:p>
            <w:pPr>
              <w:jc w:val="right"/>
              <w:ind w:right="226"/>
              <w:spacing w:after="0"/>
              <w:rPr>
                <w:sz w:val="20"/>
                <w:szCs w:val="20"/>
                <w:color w:val="auto"/>
              </w:rPr>
            </w:pPr>
            <w:r>
              <w:rPr>
                <w:rFonts w:ascii="Arial" w:cs="Arial" w:eastAsia="Arial" w:hAnsi="Arial"/>
                <w:sz w:val="11"/>
                <w:szCs w:val="11"/>
                <w:color w:val="auto"/>
              </w:rPr>
              <w:t>(47,984)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-17.9%</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Expenses</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7"/>
              </w:rPr>
              <w:t>(88,405)</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7"/>
              </w:rPr>
              <w:t>(187,321)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(183,905)</w:t>
            </w:r>
          </w:p>
        </w:tc>
        <w:tc>
          <w:tcPr>
            <w:tcW w:w="660" w:type="dxa"/>
            <w:vAlign w:val="bottom"/>
          </w:tcPr>
          <w:p>
            <w:pPr>
              <w:jc w:val="center"/>
              <w:ind w:left="206"/>
              <w:spacing w:after="0"/>
              <w:rPr>
                <w:sz w:val="20"/>
                <w:szCs w:val="20"/>
                <w:color w:val="auto"/>
              </w:rPr>
            </w:pPr>
            <w:r>
              <w:rPr>
                <w:rFonts w:ascii="Arial" w:cs="Arial" w:eastAsia="Arial" w:hAnsi="Arial"/>
                <w:sz w:val="11"/>
                <w:szCs w:val="11"/>
                <w:b w:val="1"/>
                <w:bCs w:val="1"/>
                <w:color w:val="auto"/>
                <w:w w:val="97"/>
              </w:rPr>
              <w:t>-1.8%</w:t>
            </w:r>
          </w:p>
        </w:tc>
        <w:tc>
          <w:tcPr>
            <w:tcW w:w="124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6"/>
              </w:rPr>
              <w:t>108.0%</w:t>
            </w:r>
          </w:p>
        </w:tc>
        <w:tc>
          <w:tcPr>
            <w:tcW w:w="740" w:type="dxa"/>
            <w:vAlign w:val="bottom"/>
          </w:tcPr>
          <w:p>
            <w:pPr>
              <w:jc w:val="center"/>
              <w:ind w:left="106"/>
              <w:spacing w:after="0"/>
              <w:rPr>
                <w:sz w:val="20"/>
                <w:szCs w:val="20"/>
                <w:color w:val="auto"/>
              </w:rPr>
            </w:pPr>
            <w:r>
              <w:rPr>
                <w:rFonts w:ascii="Arial" w:cs="Arial" w:eastAsia="Arial" w:hAnsi="Arial"/>
                <w:sz w:val="11"/>
                <w:szCs w:val="11"/>
                <w:b w:val="1"/>
                <w:bCs w:val="1"/>
                <w:color w:val="auto"/>
                <w:w w:val="97"/>
              </w:rPr>
              <w:t>(274,306)</w:t>
            </w:r>
          </w:p>
        </w:tc>
        <w:tc>
          <w:tcPr>
            <w:tcW w:w="1140" w:type="dxa"/>
            <w:vAlign w:val="bottom"/>
            <w:tcBorders>
              <w:right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(480,478)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75.2%</w:t>
            </w:r>
          </w:p>
        </w:tc>
      </w:tr>
      <w:tr>
        <w:trPr>
          <w:trHeight w:val="132"/>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Income tax</w:t>
            </w:r>
          </w:p>
        </w:tc>
        <w:tc>
          <w:tcPr>
            <w:tcW w:w="920" w:type="dxa"/>
            <w:vAlign w:val="bottom"/>
          </w:tcPr>
          <w:p>
            <w:pPr>
              <w:jc w:val="center"/>
              <w:spacing w:after="0"/>
              <w:rPr>
                <w:sz w:val="20"/>
                <w:szCs w:val="20"/>
                <w:color w:val="auto"/>
              </w:rPr>
            </w:pPr>
            <w:r>
              <w:rPr>
                <w:rFonts w:ascii="Arial" w:cs="Arial" w:eastAsia="Arial" w:hAnsi="Arial"/>
                <w:sz w:val="11"/>
                <w:szCs w:val="11"/>
                <w:color w:val="auto"/>
                <w:w w:val="97"/>
              </w:rPr>
              <w:t>(3,615)</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(37,568)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(49,398)</w:t>
            </w:r>
          </w:p>
        </w:tc>
        <w:tc>
          <w:tcPr>
            <w:tcW w:w="660" w:type="dxa"/>
            <w:vAlign w:val="bottom"/>
          </w:tcPr>
          <w:p>
            <w:pPr>
              <w:jc w:val="center"/>
              <w:ind w:left="186"/>
              <w:spacing w:after="0"/>
              <w:rPr>
                <w:sz w:val="20"/>
                <w:szCs w:val="20"/>
                <w:color w:val="auto"/>
              </w:rPr>
            </w:pPr>
            <w:r>
              <w:rPr>
                <w:rFonts w:ascii="Arial" w:cs="Arial" w:eastAsia="Arial" w:hAnsi="Arial"/>
                <w:sz w:val="11"/>
                <w:szCs w:val="11"/>
                <w:color w:val="auto"/>
                <w:w w:val="96"/>
              </w:rPr>
              <w:t>31.5%</w:t>
            </w:r>
          </w:p>
        </w:tc>
        <w:tc>
          <w:tcPr>
            <w:tcW w:w="12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6"/>
              </w:rPr>
              <w:t>1266.5%</w:t>
            </w:r>
          </w:p>
        </w:tc>
        <w:tc>
          <w:tcPr>
            <w:tcW w:w="740" w:type="dxa"/>
            <w:vAlign w:val="bottom"/>
          </w:tcPr>
          <w:p>
            <w:pPr>
              <w:jc w:val="center"/>
              <w:ind w:left="126"/>
              <w:spacing w:after="0"/>
              <w:rPr>
                <w:sz w:val="20"/>
                <w:szCs w:val="20"/>
                <w:color w:val="auto"/>
              </w:rPr>
            </w:pPr>
            <w:r>
              <w:rPr>
                <w:rFonts w:ascii="Arial" w:cs="Arial" w:eastAsia="Arial" w:hAnsi="Arial"/>
                <w:sz w:val="11"/>
                <w:szCs w:val="11"/>
                <w:color w:val="auto"/>
                <w:w w:val="97"/>
              </w:rPr>
              <w:t>(31,006)</w:t>
            </w:r>
          </w:p>
        </w:tc>
        <w:tc>
          <w:tcPr>
            <w:tcW w:w="1140" w:type="dxa"/>
            <w:vAlign w:val="bottom"/>
            <w:tcBorders>
              <w:right w:val="single" w:sz="8" w:color="auto"/>
            </w:tcBorders>
          </w:tcPr>
          <w:p>
            <w:pPr>
              <w:jc w:val="right"/>
              <w:ind w:right="206"/>
              <w:spacing w:after="0"/>
              <w:rPr>
                <w:sz w:val="20"/>
                <w:szCs w:val="20"/>
                <w:color w:val="auto"/>
              </w:rPr>
            </w:pPr>
            <w:r>
              <w:rPr>
                <w:rFonts w:ascii="Arial" w:cs="Arial" w:eastAsia="Arial" w:hAnsi="Arial"/>
                <w:sz w:val="11"/>
                <w:szCs w:val="11"/>
                <w:color w:val="auto"/>
              </w:rPr>
              <w:t>(103,018)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232.3%</w:t>
            </w:r>
          </w:p>
        </w:tc>
      </w:tr>
      <w:tr>
        <w:trPr>
          <w:trHeight w:val="132"/>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income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189,308</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224,649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233,534</w:t>
            </w:r>
          </w:p>
        </w:tc>
        <w:tc>
          <w:tcPr>
            <w:tcW w:w="66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b w:val="1"/>
                <w:bCs w:val="1"/>
                <w:color w:val="auto"/>
              </w:rPr>
              <w:t>4.0%</w:t>
            </w:r>
          </w:p>
        </w:tc>
        <w:tc>
          <w:tcPr>
            <w:tcW w:w="1240" w:type="dxa"/>
            <w:vAlign w:val="bottom"/>
            <w:tcBorders>
              <w:bottom w:val="single" w:sz="8" w:color="auto"/>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6"/>
              </w:rPr>
              <w:t>23.4%</w:t>
            </w:r>
          </w:p>
        </w:tc>
        <w:tc>
          <w:tcPr>
            <w:tcW w:w="740" w:type="dxa"/>
            <w:vAlign w:val="bottom"/>
            <w:tcBorders>
              <w:bottom w:val="single" w:sz="8" w:color="auto"/>
            </w:tcBorders>
          </w:tcPr>
          <w:p>
            <w:pPr>
              <w:jc w:val="center"/>
              <w:ind w:left="106"/>
              <w:spacing w:after="0"/>
              <w:rPr>
                <w:sz w:val="20"/>
                <w:szCs w:val="20"/>
                <w:color w:val="auto"/>
              </w:rPr>
            </w:pPr>
            <w:r>
              <w:rPr>
                <w:rFonts w:ascii="Arial" w:cs="Arial" w:eastAsia="Arial" w:hAnsi="Arial"/>
                <w:sz w:val="11"/>
                <w:szCs w:val="11"/>
                <w:b w:val="1"/>
                <w:bCs w:val="1"/>
                <w:color w:val="auto"/>
                <w:w w:val="95"/>
              </w:rPr>
              <w:t>600,180</w:t>
            </w:r>
          </w:p>
        </w:tc>
        <w:tc>
          <w:tcPr>
            <w:tcW w:w="1140" w:type="dxa"/>
            <w:vAlign w:val="bottom"/>
            <w:tcBorders>
              <w:bottom w:val="single" w:sz="8" w:color="auto"/>
              <w:right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640,704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6.8%</w:t>
            </w:r>
          </w:p>
        </w:tc>
      </w:tr>
    </w:tbl>
    <w:p>
      <w:pPr>
        <w:spacing w:after="0" w:line="180"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*Financial statements without consolidation adjustments.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(1) Excluding investments in real estate.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Up to February 2025, Grupo Pacifico’s financial statements reflect the agreement with Banmedica (in equal parts) of the businesses of:</w:t>
      </w:r>
    </w:p>
    <w:p>
      <w:pPr>
        <w:spacing w:after="0" w:line="1" w:lineRule="exact"/>
        <w:rPr>
          <w:sz w:val="20"/>
          <w:szCs w:val="20"/>
          <w:color w:val="auto"/>
        </w:rPr>
      </w:pPr>
    </w:p>
    <w:p>
      <w:pPr>
        <w:ind w:left="700" w:hanging="274"/>
        <w:spacing w:after="0"/>
        <w:tabs>
          <w:tab w:leader="none" w:pos="700" w:val="left"/>
        </w:tabs>
        <w:numPr>
          <w:ilvl w:val="0"/>
          <w:numId w:val="60"/>
        </w:numPr>
        <w:rPr>
          <w:rFonts w:ascii="Arial" w:cs="Arial" w:eastAsia="Arial" w:hAnsi="Arial"/>
          <w:sz w:val="16"/>
          <w:szCs w:val="16"/>
          <w:color w:val="auto"/>
        </w:rPr>
      </w:pPr>
      <w:r>
        <w:rPr>
          <w:rFonts w:ascii="Arial" w:cs="Arial" w:eastAsia="Arial" w:hAnsi="Arial"/>
          <w:sz w:val="14"/>
          <w:szCs w:val="14"/>
          <w:color w:val="auto"/>
        </w:rPr>
        <w:t>private health insurance managed by Grupo Pacifico and included in its Financial Statements in each of the accounting lines;</w:t>
      </w:r>
    </w:p>
    <w:p>
      <w:pPr>
        <w:spacing w:after="0" w:line="3" w:lineRule="exact"/>
        <w:rPr>
          <w:rFonts w:ascii="Arial" w:cs="Arial" w:eastAsia="Arial" w:hAnsi="Arial"/>
          <w:sz w:val="16"/>
          <w:szCs w:val="16"/>
          <w:color w:val="auto"/>
        </w:rPr>
      </w:pPr>
    </w:p>
    <w:p>
      <w:pPr>
        <w:ind w:left="700" w:hanging="274"/>
        <w:spacing w:after="0" w:line="230" w:lineRule="auto"/>
        <w:tabs>
          <w:tab w:leader="none" w:pos="700" w:val="left"/>
        </w:tabs>
        <w:numPr>
          <w:ilvl w:val="0"/>
          <w:numId w:val="60"/>
        </w:numPr>
        <w:rPr>
          <w:rFonts w:ascii="Arial" w:cs="Arial" w:eastAsia="Arial" w:hAnsi="Arial"/>
          <w:sz w:val="16"/>
          <w:szCs w:val="16"/>
          <w:color w:val="auto"/>
        </w:rPr>
      </w:pPr>
      <w:r>
        <w:rPr>
          <w:rFonts w:ascii="Arial" w:cs="Arial" w:eastAsia="Arial" w:hAnsi="Arial"/>
          <w:sz w:val="14"/>
          <w:szCs w:val="14"/>
          <w:color w:val="auto"/>
        </w:rPr>
        <w:t>corporate health insurance (dependent workers); and</w:t>
      </w:r>
    </w:p>
    <w:p>
      <w:pPr>
        <w:spacing w:after="0" w:line="3" w:lineRule="exact"/>
        <w:rPr>
          <w:rFonts w:ascii="Arial" w:cs="Arial" w:eastAsia="Arial" w:hAnsi="Arial"/>
          <w:sz w:val="16"/>
          <w:szCs w:val="16"/>
          <w:color w:val="auto"/>
        </w:rPr>
      </w:pPr>
    </w:p>
    <w:p>
      <w:pPr>
        <w:ind w:left="700" w:hanging="274"/>
        <w:spacing w:after="0" w:line="230" w:lineRule="auto"/>
        <w:tabs>
          <w:tab w:leader="none" w:pos="700" w:val="left"/>
        </w:tabs>
        <w:numPr>
          <w:ilvl w:val="0"/>
          <w:numId w:val="60"/>
        </w:numPr>
        <w:rPr>
          <w:rFonts w:ascii="Arial" w:cs="Arial" w:eastAsia="Arial" w:hAnsi="Arial"/>
          <w:sz w:val="16"/>
          <w:szCs w:val="16"/>
          <w:color w:val="auto"/>
        </w:rPr>
      </w:pPr>
      <w:r>
        <w:rPr>
          <w:rFonts w:ascii="Arial" w:cs="Arial" w:eastAsia="Arial" w:hAnsi="Arial"/>
          <w:sz w:val="14"/>
          <w:szCs w:val="14"/>
          <w:color w:val="auto"/>
        </w:rPr>
        <w:t>medical services.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38" w:lineRule="exact"/>
        <w:rPr>
          <w:sz w:val="20"/>
          <w:szCs w:val="20"/>
          <w:color w:val="auto"/>
        </w:rPr>
      </w:pPr>
    </w:p>
    <w:p>
      <w:pPr>
        <w:ind w:right="520"/>
        <w:spacing w:after="0" w:line="262" w:lineRule="auto"/>
        <w:rPr>
          <w:sz w:val="20"/>
          <w:szCs w:val="20"/>
          <w:color w:val="auto"/>
        </w:rPr>
      </w:pPr>
      <w:r>
        <w:rPr>
          <w:rFonts w:ascii="Arial" w:cs="Arial" w:eastAsia="Arial" w:hAnsi="Arial"/>
          <w:sz w:val="16"/>
          <w:szCs w:val="16"/>
          <w:color w:val="auto"/>
        </w:rPr>
        <w:t>As explained before, corporate health insurance and medical services businesses are consolidated by Banmedica. The following table reflects the consolidated results from which Grupo Pacifico receives the 50%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704850</wp:posOffset>
            </wp:positionV>
            <wp:extent cx="6707505"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95250</wp:posOffset>
            </wp:positionV>
            <wp:extent cx="6395085" cy="518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395085" cy="518160"/>
                    </a:xfrm>
                    <a:prstGeom prst="rect">
                      <a:avLst/>
                    </a:prstGeom>
                    <a:noFill/>
                  </pic:spPr>
                </pic:pic>
              </a:graphicData>
            </a:graphic>
          </wp:anchor>
        </w:drawing>
      </w:r>
    </w:p>
    <w:p>
      <w:pPr>
        <w:sectPr>
          <w:pgSz w:w="11900" w:h="16840" w:orient="portrait"/>
          <w:cols w:equalWidth="0" w:num="1">
            <w:col w:w="10560"/>
          </w:cols>
          <w:pgMar w:left="660" w:top="931" w:right="680" w:bottom="1440" w:gutter="0" w:footer="0" w:header="0"/>
        </w:sectPr>
      </w:pPr>
    </w:p>
    <w:bookmarkStart w:id="70" w:name="page71"/>
    <w:bookmarkEnd w:id="70"/>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12.7.9. Investment Management &amp; Advisory </w:t>
      </w:r>
      <w:r>
        <w:rPr>
          <w:rFonts w:ascii="Arial" w:cs="Arial" w:eastAsia="Arial" w:hAnsi="Arial"/>
          <w:sz w:val="26"/>
          <w:szCs w:val="26"/>
          <w:b w:val="1"/>
          <w:bCs w:val="1"/>
          <w:color w:val="auto"/>
          <w:vertAlign w:val="superscript"/>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980" w:type="dxa"/>
            <w:vAlign w:val="bottom"/>
            <w:shd w:val="clear" w:color="auto" w:fill="33CCCC"/>
          </w:tcPr>
          <w:p>
            <w:pPr>
              <w:ind w:left="20"/>
              <w:spacing w:after="0"/>
              <w:rPr>
                <w:sz w:val="20"/>
                <w:szCs w:val="20"/>
                <w:color w:val="auto"/>
              </w:rPr>
            </w:pPr>
            <w:r>
              <w:rPr>
                <w:rFonts w:ascii="Arial" w:cs="Arial" w:eastAsia="Arial" w:hAnsi="Arial"/>
                <w:sz w:val="11"/>
                <w:szCs w:val="11"/>
                <w:b w:val="1"/>
                <w:bCs w:val="1"/>
                <w:color w:val="FFFFFF"/>
              </w:rPr>
              <w:t>Investment Management &amp; Advisory *</w:t>
            </w:r>
          </w:p>
        </w:tc>
        <w:tc>
          <w:tcPr>
            <w:tcW w:w="960" w:type="dxa"/>
            <w:vAlign w:val="bottom"/>
            <w:shd w:val="clear" w:color="auto" w:fill="33CCCC"/>
          </w:tcPr>
          <w:p>
            <w:pPr>
              <w:spacing w:after="0"/>
              <w:rPr>
                <w:sz w:val="12"/>
                <w:szCs w:val="12"/>
                <w:color w:val="auto"/>
              </w:rPr>
            </w:pPr>
          </w:p>
        </w:tc>
        <w:tc>
          <w:tcPr>
            <w:tcW w:w="940" w:type="dxa"/>
            <w:vAlign w:val="bottom"/>
            <w:shd w:val="clear" w:color="auto" w:fill="33CCCC"/>
          </w:tcPr>
          <w:p>
            <w:pPr>
              <w:ind w:left="260"/>
              <w:spacing w:after="0"/>
              <w:rPr>
                <w:sz w:val="20"/>
                <w:szCs w:val="20"/>
                <w:color w:val="auto"/>
              </w:rPr>
            </w:pPr>
            <w:r>
              <w:rPr>
                <w:rFonts w:ascii="Arial" w:cs="Arial" w:eastAsia="Arial" w:hAnsi="Arial"/>
                <w:sz w:val="11"/>
                <w:szCs w:val="11"/>
                <w:b w:val="1"/>
                <w:bCs w:val="1"/>
                <w:color w:val="FFFFFF"/>
              </w:rPr>
              <w:t>Quarter</w:t>
            </w:r>
          </w:p>
        </w:tc>
        <w:tc>
          <w:tcPr>
            <w:tcW w:w="940" w:type="dxa"/>
            <w:vAlign w:val="bottom"/>
            <w:shd w:val="clear" w:color="auto" w:fill="33CCCC"/>
          </w:tcPr>
          <w:p>
            <w:pPr>
              <w:spacing w:after="0"/>
              <w:rPr>
                <w:sz w:val="12"/>
                <w:szCs w:val="12"/>
                <w:color w:val="auto"/>
              </w:rPr>
            </w:pPr>
          </w:p>
        </w:tc>
        <w:tc>
          <w:tcPr>
            <w:tcW w:w="640" w:type="dxa"/>
            <w:vAlign w:val="bottom"/>
            <w:shd w:val="clear" w:color="auto" w:fill="33CCCC"/>
          </w:tcPr>
          <w:p>
            <w:pPr>
              <w:spacing w:after="0"/>
              <w:rPr>
                <w:sz w:val="12"/>
                <w:szCs w:val="12"/>
                <w:color w:val="auto"/>
              </w:rPr>
            </w:pPr>
          </w:p>
        </w:tc>
        <w:tc>
          <w:tcPr>
            <w:tcW w:w="1220" w:type="dxa"/>
            <w:vAlign w:val="bottom"/>
            <w:shd w:val="clear" w:color="auto" w:fill="33CCCC"/>
          </w:tcPr>
          <w:p>
            <w:pPr>
              <w:ind w:left="40"/>
              <w:spacing w:after="0"/>
              <w:rPr>
                <w:sz w:val="20"/>
                <w:szCs w:val="20"/>
                <w:color w:val="auto"/>
              </w:rPr>
            </w:pPr>
            <w:r>
              <w:rPr>
                <w:rFonts w:ascii="Arial" w:cs="Arial" w:eastAsia="Arial" w:hAnsi="Arial"/>
                <w:sz w:val="11"/>
                <w:szCs w:val="11"/>
                <w:b w:val="1"/>
                <w:bCs w:val="1"/>
                <w:color w:val="FFFFFF"/>
              </w:rPr>
              <w:t>% change</w:t>
            </w:r>
          </w:p>
        </w:tc>
        <w:tc>
          <w:tcPr>
            <w:tcW w:w="800" w:type="dxa"/>
            <w:vAlign w:val="bottom"/>
            <w:shd w:val="clear" w:color="auto" w:fill="33CCCC"/>
          </w:tcPr>
          <w:p>
            <w:pPr>
              <w:spacing w:after="0"/>
              <w:rPr>
                <w:sz w:val="12"/>
                <w:szCs w:val="12"/>
                <w:color w:val="auto"/>
              </w:rPr>
            </w:pPr>
          </w:p>
        </w:tc>
        <w:tc>
          <w:tcPr>
            <w:tcW w:w="1040" w:type="dxa"/>
            <w:vAlign w:val="bottom"/>
            <w:shd w:val="clear" w:color="auto" w:fill="33CCCC"/>
          </w:tcPr>
          <w:p>
            <w:pPr>
              <w:ind w:left="40"/>
              <w:spacing w:after="0"/>
              <w:rPr>
                <w:sz w:val="20"/>
                <w:szCs w:val="20"/>
                <w:color w:val="auto"/>
              </w:rPr>
            </w:pPr>
            <w:r>
              <w:rPr>
                <w:rFonts w:ascii="Arial" w:cs="Arial" w:eastAsia="Arial" w:hAnsi="Arial"/>
                <w:sz w:val="11"/>
                <w:szCs w:val="11"/>
                <w:b w:val="1"/>
                <w:bCs w:val="1"/>
                <w:color w:val="FFFFFF"/>
              </w:rPr>
              <w:t>Up to</w:t>
            </w:r>
          </w:p>
        </w:tc>
        <w:tc>
          <w:tcPr>
            <w:tcW w:w="1040" w:type="dxa"/>
            <w:vAlign w:val="bottom"/>
            <w:shd w:val="clear" w:color="auto" w:fill="33CCCC"/>
          </w:tcPr>
          <w:p>
            <w:pPr>
              <w:jc w:val="center"/>
              <w:ind w:left="26"/>
              <w:spacing w:after="0"/>
              <w:rPr>
                <w:sz w:val="20"/>
                <w:szCs w:val="20"/>
                <w:color w:val="auto"/>
              </w:rPr>
            </w:pPr>
            <w:r>
              <w:rPr>
                <w:rFonts w:ascii="Arial" w:cs="Arial" w:eastAsia="Arial" w:hAnsi="Arial"/>
                <w:sz w:val="11"/>
                <w:szCs w:val="11"/>
                <w:b w:val="1"/>
                <w:bCs w:val="1"/>
                <w:color w:val="FFFFFF"/>
                <w:w w:val="97"/>
              </w:rPr>
              <w:t>% Change</w:t>
            </w:r>
          </w:p>
        </w:tc>
      </w:tr>
      <w:tr>
        <w:trPr>
          <w:trHeight w:val="132"/>
        </w:trPr>
        <w:tc>
          <w:tcPr>
            <w:tcW w:w="2980" w:type="dxa"/>
            <w:vAlign w:val="bottom"/>
            <w:tcBorders>
              <w:bottom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S/ 000</w:t>
            </w:r>
          </w:p>
        </w:tc>
        <w:tc>
          <w:tcPr>
            <w:tcW w:w="9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3Q24</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2Q25</w:t>
            </w:r>
          </w:p>
        </w:tc>
        <w:tc>
          <w:tcPr>
            <w:tcW w:w="940" w:type="dxa"/>
            <w:vAlign w:val="bottom"/>
            <w:tcBorders>
              <w:bottom w:val="single" w:sz="8" w:color="auto"/>
            </w:tcBorders>
            <w:shd w:val="clear" w:color="auto" w:fill="33CCCC"/>
          </w:tcPr>
          <w:p>
            <w:pPr>
              <w:jc w:val="center"/>
              <w:ind w:right="26"/>
              <w:spacing w:after="0"/>
              <w:rPr>
                <w:sz w:val="20"/>
                <w:szCs w:val="20"/>
                <w:color w:val="auto"/>
              </w:rPr>
            </w:pPr>
            <w:r>
              <w:rPr>
                <w:rFonts w:ascii="Arial" w:cs="Arial" w:eastAsia="Arial" w:hAnsi="Arial"/>
                <w:sz w:val="11"/>
                <w:szCs w:val="11"/>
                <w:b w:val="1"/>
                <w:bCs w:val="1"/>
                <w:color w:val="FFFFFF"/>
                <w:w w:val="96"/>
              </w:rPr>
              <w:t>3Q25</w:t>
            </w:r>
          </w:p>
        </w:tc>
        <w:tc>
          <w:tcPr>
            <w:tcW w:w="640" w:type="dxa"/>
            <w:vAlign w:val="bottom"/>
            <w:tcBorders>
              <w:bottom w:val="single" w:sz="8" w:color="auto"/>
            </w:tcBorders>
            <w:shd w:val="clear" w:color="auto" w:fill="33CCCC"/>
          </w:tcPr>
          <w:p>
            <w:pPr>
              <w:ind w:left="340"/>
              <w:spacing w:after="0"/>
              <w:rPr>
                <w:sz w:val="20"/>
                <w:szCs w:val="20"/>
                <w:color w:val="auto"/>
              </w:rPr>
            </w:pPr>
            <w:r>
              <w:rPr>
                <w:rFonts w:ascii="Arial" w:cs="Arial" w:eastAsia="Arial" w:hAnsi="Arial"/>
                <w:sz w:val="11"/>
                <w:szCs w:val="11"/>
                <w:b w:val="1"/>
                <w:bCs w:val="1"/>
                <w:color w:val="FFFFFF"/>
              </w:rPr>
              <w:t>QoQ</w:t>
            </w:r>
          </w:p>
        </w:tc>
        <w:tc>
          <w:tcPr>
            <w:tcW w:w="1220" w:type="dxa"/>
            <w:vAlign w:val="bottom"/>
            <w:tcBorders>
              <w:bottom w:val="single" w:sz="8" w:color="auto"/>
            </w:tcBorders>
            <w:shd w:val="clear" w:color="auto" w:fill="33CCCC"/>
          </w:tcPr>
          <w:p>
            <w:pPr>
              <w:ind w:left="660"/>
              <w:spacing w:after="0"/>
              <w:rPr>
                <w:sz w:val="20"/>
                <w:szCs w:val="20"/>
                <w:color w:val="auto"/>
              </w:rPr>
            </w:pPr>
            <w:r>
              <w:rPr>
                <w:rFonts w:ascii="Arial" w:cs="Arial" w:eastAsia="Arial" w:hAnsi="Arial"/>
                <w:sz w:val="11"/>
                <w:szCs w:val="11"/>
                <w:b w:val="1"/>
                <w:bCs w:val="1"/>
                <w:color w:val="FFFFFF"/>
              </w:rPr>
              <w:t>YoY</w:t>
            </w:r>
          </w:p>
        </w:tc>
        <w:tc>
          <w:tcPr>
            <w:tcW w:w="800" w:type="dxa"/>
            <w:vAlign w:val="bottom"/>
            <w:tcBorders>
              <w:bottom w:val="single" w:sz="8" w:color="auto"/>
            </w:tcBorders>
            <w:shd w:val="clear" w:color="auto" w:fill="33CCCC"/>
          </w:tcPr>
          <w:p>
            <w:pPr>
              <w:ind w:left="340"/>
              <w:spacing w:after="0"/>
              <w:rPr>
                <w:sz w:val="20"/>
                <w:szCs w:val="20"/>
                <w:color w:val="auto"/>
              </w:rPr>
            </w:pPr>
            <w:r>
              <w:rPr>
                <w:rFonts w:ascii="Arial" w:cs="Arial" w:eastAsia="Arial" w:hAnsi="Arial"/>
                <w:sz w:val="11"/>
                <w:szCs w:val="11"/>
                <w:b w:val="1"/>
                <w:bCs w:val="1"/>
                <w:color w:val="FFFFFF"/>
              </w:rPr>
              <w:t>Sep 24</w:t>
            </w:r>
          </w:p>
        </w:tc>
        <w:tc>
          <w:tcPr>
            <w:tcW w:w="1040" w:type="dxa"/>
            <w:vAlign w:val="bottom"/>
            <w:tcBorders>
              <w:bottom w:val="single" w:sz="8" w:color="auto"/>
            </w:tcBorders>
            <w:shd w:val="clear" w:color="auto" w:fill="33CCCC"/>
          </w:tcPr>
          <w:p>
            <w:pPr>
              <w:ind w:left="480"/>
              <w:spacing w:after="0"/>
              <w:rPr>
                <w:sz w:val="20"/>
                <w:szCs w:val="20"/>
                <w:color w:val="auto"/>
              </w:rPr>
            </w:pPr>
            <w:r>
              <w:rPr>
                <w:rFonts w:ascii="Arial" w:cs="Arial" w:eastAsia="Arial" w:hAnsi="Arial"/>
                <w:sz w:val="11"/>
                <w:szCs w:val="11"/>
                <w:b w:val="1"/>
                <w:bCs w:val="1"/>
                <w:color w:val="FFFFFF"/>
              </w:rPr>
              <w:t>Sep 25</w:t>
            </w:r>
          </w:p>
        </w:tc>
        <w:tc>
          <w:tcPr>
            <w:tcW w:w="1040" w:type="dxa"/>
            <w:vAlign w:val="bottom"/>
            <w:tcBorders>
              <w:bottom w:val="single" w:sz="8" w:color="auto"/>
            </w:tcBorders>
            <w:shd w:val="clear" w:color="auto" w:fill="33CCCC"/>
          </w:tcPr>
          <w:p>
            <w:pPr>
              <w:jc w:val="center"/>
              <w:ind w:left="6"/>
              <w:spacing w:after="0"/>
              <w:rPr>
                <w:sz w:val="20"/>
                <w:szCs w:val="20"/>
                <w:color w:val="auto"/>
              </w:rPr>
            </w:pPr>
            <w:r>
              <w:rPr>
                <w:rFonts w:ascii="Arial" w:cs="Arial" w:eastAsia="Arial" w:hAnsi="Arial"/>
                <w:sz w:val="11"/>
                <w:szCs w:val="11"/>
                <w:b w:val="1"/>
                <w:bCs w:val="1"/>
                <w:color w:val="FFFFFF"/>
                <w:w w:val="97"/>
              </w:rPr>
              <w:t>Sep 25 / Sep 24</w:t>
            </w:r>
          </w:p>
        </w:tc>
      </w:tr>
      <w:tr>
        <w:trPr>
          <w:trHeight w:val="124"/>
        </w:trPr>
        <w:tc>
          <w:tcPr>
            <w:tcW w:w="2980" w:type="dxa"/>
            <w:vAlign w:val="bottom"/>
          </w:tcPr>
          <w:p>
            <w:pPr>
              <w:ind w:left="20"/>
              <w:spacing w:after="0" w:line="124" w:lineRule="exact"/>
              <w:rPr>
                <w:sz w:val="20"/>
                <w:szCs w:val="20"/>
                <w:color w:val="auto"/>
              </w:rPr>
            </w:pPr>
            <w:r>
              <w:rPr>
                <w:rFonts w:ascii="Arial" w:cs="Arial" w:eastAsia="Arial" w:hAnsi="Arial"/>
                <w:sz w:val="11"/>
                <w:szCs w:val="11"/>
                <w:color w:val="auto"/>
              </w:rPr>
              <w:t>Net interest income</w:t>
            </w:r>
          </w:p>
        </w:tc>
        <w:tc>
          <w:tcPr>
            <w:tcW w:w="960" w:type="dxa"/>
            <w:vAlign w:val="bottom"/>
          </w:tcPr>
          <w:p>
            <w:pPr>
              <w:jc w:val="center"/>
              <w:spacing w:after="0" w:line="124" w:lineRule="exact"/>
              <w:rPr>
                <w:sz w:val="20"/>
                <w:szCs w:val="20"/>
                <w:color w:val="auto"/>
              </w:rPr>
            </w:pPr>
            <w:r>
              <w:rPr>
                <w:rFonts w:ascii="Arial" w:cs="Arial" w:eastAsia="Arial" w:hAnsi="Arial"/>
                <w:sz w:val="11"/>
                <w:szCs w:val="11"/>
                <w:color w:val="auto"/>
              </w:rPr>
              <w:t>9,934</w:t>
            </w:r>
          </w:p>
        </w:tc>
        <w:tc>
          <w:tcPr>
            <w:tcW w:w="940" w:type="dxa"/>
            <w:vAlign w:val="bottom"/>
          </w:tcPr>
          <w:p>
            <w:pPr>
              <w:jc w:val="center"/>
              <w:spacing w:after="0" w:line="124" w:lineRule="exact"/>
              <w:rPr>
                <w:sz w:val="20"/>
                <w:szCs w:val="20"/>
                <w:color w:val="auto"/>
              </w:rPr>
            </w:pPr>
            <w:r>
              <w:rPr>
                <w:rFonts w:ascii="Arial" w:cs="Arial" w:eastAsia="Arial" w:hAnsi="Arial"/>
                <w:sz w:val="11"/>
                <w:szCs w:val="11"/>
                <w:color w:val="auto"/>
              </w:rPr>
              <w:t>13,978</w:t>
            </w:r>
          </w:p>
        </w:tc>
        <w:tc>
          <w:tcPr>
            <w:tcW w:w="940" w:type="dxa"/>
            <w:vAlign w:val="bottom"/>
          </w:tcPr>
          <w:p>
            <w:pPr>
              <w:jc w:val="center"/>
              <w:ind w:right="26"/>
              <w:spacing w:after="0" w:line="124" w:lineRule="exact"/>
              <w:rPr>
                <w:sz w:val="20"/>
                <w:szCs w:val="20"/>
                <w:color w:val="auto"/>
              </w:rPr>
            </w:pPr>
            <w:r>
              <w:rPr>
                <w:rFonts w:ascii="Arial" w:cs="Arial" w:eastAsia="Arial" w:hAnsi="Arial"/>
                <w:sz w:val="11"/>
                <w:szCs w:val="11"/>
                <w:color w:val="auto"/>
              </w:rPr>
              <w:t>12,434</w:t>
            </w:r>
          </w:p>
        </w:tc>
        <w:tc>
          <w:tcPr>
            <w:tcW w:w="640" w:type="dxa"/>
            <w:vAlign w:val="bottom"/>
          </w:tcPr>
          <w:p>
            <w:pPr>
              <w:jc w:val="center"/>
              <w:ind w:left="206"/>
              <w:spacing w:after="0" w:line="124" w:lineRule="exact"/>
              <w:rPr>
                <w:sz w:val="20"/>
                <w:szCs w:val="20"/>
                <w:color w:val="auto"/>
              </w:rPr>
            </w:pPr>
            <w:r>
              <w:rPr>
                <w:rFonts w:ascii="Arial" w:cs="Arial" w:eastAsia="Arial" w:hAnsi="Arial"/>
                <w:sz w:val="11"/>
                <w:szCs w:val="11"/>
                <w:color w:val="auto"/>
                <w:w w:val="97"/>
              </w:rPr>
              <w:t>-11.0%</w:t>
            </w:r>
          </w:p>
        </w:tc>
        <w:tc>
          <w:tcPr>
            <w:tcW w:w="1220" w:type="dxa"/>
            <w:vAlign w:val="bottom"/>
          </w:tcPr>
          <w:p>
            <w:pPr>
              <w:jc w:val="center"/>
              <w:ind w:left="226"/>
              <w:spacing w:after="0" w:line="124" w:lineRule="exact"/>
              <w:rPr>
                <w:sz w:val="20"/>
                <w:szCs w:val="20"/>
                <w:color w:val="auto"/>
              </w:rPr>
            </w:pPr>
            <w:r>
              <w:rPr>
                <w:rFonts w:ascii="Arial" w:cs="Arial" w:eastAsia="Arial" w:hAnsi="Arial"/>
                <w:sz w:val="11"/>
                <w:szCs w:val="11"/>
                <w:color w:val="auto"/>
                <w:w w:val="96"/>
              </w:rPr>
              <w:t>25.2%</w:t>
            </w:r>
          </w:p>
        </w:tc>
        <w:tc>
          <w:tcPr>
            <w:tcW w:w="800" w:type="dxa"/>
            <w:vAlign w:val="bottom"/>
          </w:tcPr>
          <w:p>
            <w:pPr>
              <w:jc w:val="center"/>
              <w:ind w:left="146"/>
              <w:spacing w:after="0" w:line="124" w:lineRule="exact"/>
              <w:rPr>
                <w:sz w:val="20"/>
                <w:szCs w:val="20"/>
                <w:color w:val="auto"/>
              </w:rPr>
            </w:pPr>
            <w:r>
              <w:rPr>
                <w:rFonts w:ascii="Arial" w:cs="Arial" w:eastAsia="Arial" w:hAnsi="Arial"/>
                <w:sz w:val="11"/>
                <w:szCs w:val="11"/>
                <w:color w:val="auto"/>
                <w:w w:val="94"/>
              </w:rPr>
              <w:t>21,672</w:t>
            </w:r>
          </w:p>
        </w:tc>
        <w:tc>
          <w:tcPr>
            <w:tcW w:w="1040" w:type="dxa"/>
            <w:vAlign w:val="bottom"/>
          </w:tcPr>
          <w:p>
            <w:pPr>
              <w:jc w:val="center"/>
              <w:ind w:left="206"/>
              <w:spacing w:after="0" w:line="124" w:lineRule="exact"/>
              <w:rPr>
                <w:sz w:val="20"/>
                <w:szCs w:val="20"/>
                <w:color w:val="auto"/>
              </w:rPr>
            </w:pPr>
            <w:r>
              <w:rPr>
                <w:rFonts w:ascii="Arial" w:cs="Arial" w:eastAsia="Arial" w:hAnsi="Arial"/>
                <w:sz w:val="11"/>
                <w:szCs w:val="11"/>
                <w:color w:val="auto"/>
              </w:rPr>
              <w:t>36,853</w:t>
            </w:r>
          </w:p>
        </w:tc>
        <w:tc>
          <w:tcPr>
            <w:tcW w:w="1040" w:type="dxa"/>
            <w:vAlign w:val="bottom"/>
          </w:tcPr>
          <w:p>
            <w:pPr>
              <w:jc w:val="center"/>
              <w:ind w:left="26"/>
              <w:spacing w:after="0" w:line="124" w:lineRule="exact"/>
              <w:rPr>
                <w:sz w:val="20"/>
                <w:szCs w:val="20"/>
                <w:color w:val="auto"/>
              </w:rPr>
            </w:pPr>
            <w:r>
              <w:rPr>
                <w:rFonts w:ascii="Arial" w:cs="Arial" w:eastAsia="Arial" w:hAnsi="Arial"/>
                <w:sz w:val="11"/>
                <w:szCs w:val="11"/>
                <w:color w:val="auto"/>
              </w:rPr>
              <w:t>70.0%</w:t>
            </w:r>
          </w:p>
        </w:tc>
      </w:tr>
      <w:tr>
        <w:trPr>
          <w:trHeight w:val="132"/>
        </w:trPr>
        <w:tc>
          <w:tcPr>
            <w:tcW w:w="2980" w:type="dxa"/>
            <w:vAlign w:val="bottom"/>
          </w:tcPr>
          <w:p>
            <w:pPr>
              <w:ind w:left="20"/>
              <w:spacing w:after="0"/>
              <w:rPr>
                <w:sz w:val="20"/>
                <w:szCs w:val="20"/>
                <w:color w:val="auto"/>
              </w:rPr>
            </w:pPr>
            <w:r>
              <w:rPr>
                <w:rFonts w:ascii="Arial" w:cs="Arial" w:eastAsia="Arial" w:hAnsi="Arial"/>
                <w:sz w:val="11"/>
                <w:szCs w:val="11"/>
                <w:color w:val="auto"/>
              </w:rPr>
              <w:t>Other income</w:t>
            </w:r>
          </w:p>
        </w:tc>
        <w:tc>
          <w:tcPr>
            <w:tcW w:w="960" w:type="dxa"/>
            <w:vAlign w:val="bottom"/>
          </w:tcPr>
          <w:p>
            <w:pPr>
              <w:jc w:val="center"/>
              <w:spacing w:after="0"/>
              <w:rPr>
                <w:sz w:val="20"/>
                <w:szCs w:val="20"/>
                <w:color w:val="auto"/>
              </w:rPr>
            </w:pPr>
            <w:r>
              <w:rPr>
                <w:rFonts w:ascii="Arial" w:cs="Arial" w:eastAsia="Arial" w:hAnsi="Arial"/>
                <w:sz w:val="11"/>
                <w:szCs w:val="11"/>
                <w:color w:val="auto"/>
              </w:rPr>
              <w:t>241,628</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232,110</w:t>
            </w:r>
          </w:p>
        </w:tc>
        <w:tc>
          <w:tcPr>
            <w:tcW w:w="940" w:type="dxa"/>
            <w:vAlign w:val="bottom"/>
          </w:tcPr>
          <w:p>
            <w:pPr>
              <w:jc w:val="center"/>
              <w:ind w:right="26"/>
              <w:spacing w:after="0"/>
              <w:rPr>
                <w:sz w:val="20"/>
                <w:szCs w:val="20"/>
                <w:color w:val="auto"/>
              </w:rPr>
            </w:pPr>
            <w:r>
              <w:rPr>
                <w:rFonts w:ascii="Arial" w:cs="Arial" w:eastAsia="Arial" w:hAnsi="Arial"/>
                <w:sz w:val="11"/>
                <w:szCs w:val="11"/>
                <w:color w:val="auto"/>
                <w:w w:val="95"/>
              </w:rPr>
              <w:t>260,937</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rPr>
              <w:t>12.4%</w:t>
            </w:r>
          </w:p>
        </w:tc>
        <w:tc>
          <w:tcPr>
            <w:tcW w:w="1220" w:type="dxa"/>
            <w:vAlign w:val="bottom"/>
          </w:tcPr>
          <w:p>
            <w:pPr>
              <w:jc w:val="center"/>
              <w:ind w:left="246"/>
              <w:spacing w:after="0"/>
              <w:rPr>
                <w:sz w:val="20"/>
                <w:szCs w:val="20"/>
                <w:color w:val="auto"/>
              </w:rPr>
            </w:pPr>
            <w:r>
              <w:rPr>
                <w:rFonts w:ascii="Arial" w:cs="Arial" w:eastAsia="Arial" w:hAnsi="Arial"/>
                <w:sz w:val="11"/>
                <w:szCs w:val="11"/>
                <w:color w:val="auto"/>
                <w:w w:val="95"/>
              </w:rPr>
              <w:t>8.0%</w:t>
            </w:r>
          </w:p>
        </w:tc>
        <w:tc>
          <w:tcPr>
            <w:tcW w:w="800" w:type="dxa"/>
            <w:vAlign w:val="bottom"/>
          </w:tcPr>
          <w:p>
            <w:pPr>
              <w:jc w:val="center"/>
              <w:ind w:left="146"/>
              <w:spacing w:after="0"/>
              <w:rPr>
                <w:sz w:val="20"/>
                <w:szCs w:val="20"/>
                <w:color w:val="auto"/>
              </w:rPr>
            </w:pPr>
            <w:r>
              <w:rPr>
                <w:rFonts w:ascii="Arial" w:cs="Arial" w:eastAsia="Arial" w:hAnsi="Arial"/>
                <w:sz w:val="11"/>
                <w:szCs w:val="11"/>
                <w:color w:val="auto"/>
              </w:rPr>
              <w:t>730,832</w:t>
            </w:r>
          </w:p>
        </w:tc>
        <w:tc>
          <w:tcPr>
            <w:tcW w:w="1040" w:type="dxa"/>
            <w:vAlign w:val="bottom"/>
          </w:tcPr>
          <w:p>
            <w:pPr>
              <w:jc w:val="center"/>
              <w:ind w:left="206"/>
              <w:spacing w:after="0"/>
              <w:rPr>
                <w:sz w:val="20"/>
                <w:szCs w:val="20"/>
                <w:color w:val="auto"/>
              </w:rPr>
            </w:pPr>
            <w:r>
              <w:rPr>
                <w:rFonts w:ascii="Arial" w:cs="Arial" w:eastAsia="Arial" w:hAnsi="Arial"/>
                <w:sz w:val="11"/>
                <w:szCs w:val="11"/>
                <w:color w:val="auto"/>
                <w:w w:val="95"/>
              </w:rPr>
              <w:t>757,973</w:t>
            </w:r>
          </w:p>
        </w:tc>
        <w:tc>
          <w:tcPr>
            <w:tcW w:w="1040" w:type="dxa"/>
            <w:vAlign w:val="bottom"/>
          </w:tcPr>
          <w:p>
            <w:pPr>
              <w:jc w:val="center"/>
              <w:ind w:left="26"/>
              <w:spacing w:after="0"/>
              <w:rPr>
                <w:sz w:val="20"/>
                <w:szCs w:val="20"/>
                <w:color w:val="auto"/>
              </w:rPr>
            </w:pPr>
            <w:r>
              <w:rPr>
                <w:rFonts w:ascii="Arial" w:cs="Arial" w:eastAsia="Arial" w:hAnsi="Arial"/>
                <w:sz w:val="11"/>
                <w:szCs w:val="11"/>
                <w:color w:val="auto"/>
                <w:w w:val="95"/>
              </w:rPr>
              <w:t>3.7%</w:t>
            </w:r>
          </w:p>
        </w:tc>
      </w:tr>
      <w:tr>
        <w:trPr>
          <w:trHeight w:val="132"/>
        </w:trPr>
        <w:tc>
          <w:tcPr>
            <w:tcW w:w="2980" w:type="dxa"/>
            <w:vAlign w:val="bottom"/>
          </w:tcPr>
          <w:p>
            <w:pPr>
              <w:ind w:left="160"/>
              <w:spacing w:after="0"/>
              <w:rPr>
                <w:sz w:val="20"/>
                <w:szCs w:val="20"/>
                <w:color w:val="auto"/>
              </w:rPr>
            </w:pPr>
            <w:r>
              <w:rPr>
                <w:rFonts w:ascii="Arial" w:cs="Arial" w:eastAsia="Arial" w:hAnsi="Arial"/>
                <w:sz w:val="11"/>
                <w:szCs w:val="11"/>
                <w:color w:val="auto"/>
              </w:rPr>
              <w:t>Fee income</w:t>
            </w:r>
          </w:p>
        </w:tc>
        <w:tc>
          <w:tcPr>
            <w:tcW w:w="960" w:type="dxa"/>
            <w:vAlign w:val="bottom"/>
          </w:tcPr>
          <w:p>
            <w:pPr>
              <w:jc w:val="center"/>
              <w:spacing w:after="0"/>
              <w:rPr>
                <w:sz w:val="20"/>
                <w:szCs w:val="20"/>
                <w:color w:val="auto"/>
              </w:rPr>
            </w:pPr>
            <w:r>
              <w:rPr>
                <w:rFonts w:ascii="Arial" w:cs="Arial" w:eastAsia="Arial" w:hAnsi="Arial"/>
                <w:sz w:val="11"/>
                <w:szCs w:val="11"/>
                <w:color w:val="auto"/>
              </w:rPr>
              <w:t>157,828</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147,138</w:t>
            </w:r>
          </w:p>
        </w:tc>
        <w:tc>
          <w:tcPr>
            <w:tcW w:w="940" w:type="dxa"/>
            <w:vAlign w:val="bottom"/>
          </w:tcPr>
          <w:p>
            <w:pPr>
              <w:jc w:val="center"/>
              <w:ind w:right="26"/>
              <w:spacing w:after="0"/>
              <w:rPr>
                <w:sz w:val="20"/>
                <w:szCs w:val="20"/>
                <w:color w:val="auto"/>
              </w:rPr>
            </w:pPr>
            <w:r>
              <w:rPr>
                <w:rFonts w:ascii="Arial" w:cs="Arial" w:eastAsia="Arial" w:hAnsi="Arial"/>
                <w:sz w:val="11"/>
                <w:szCs w:val="11"/>
                <w:color w:val="auto"/>
                <w:w w:val="95"/>
              </w:rPr>
              <w:t>161,004</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9.4%</w:t>
            </w:r>
          </w:p>
        </w:tc>
        <w:tc>
          <w:tcPr>
            <w:tcW w:w="1220" w:type="dxa"/>
            <w:vAlign w:val="bottom"/>
          </w:tcPr>
          <w:p>
            <w:pPr>
              <w:jc w:val="center"/>
              <w:ind w:left="246"/>
              <w:spacing w:after="0"/>
              <w:rPr>
                <w:sz w:val="20"/>
                <w:szCs w:val="20"/>
                <w:color w:val="auto"/>
              </w:rPr>
            </w:pPr>
            <w:r>
              <w:rPr>
                <w:rFonts w:ascii="Arial" w:cs="Arial" w:eastAsia="Arial" w:hAnsi="Arial"/>
                <w:sz w:val="11"/>
                <w:szCs w:val="11"/>
                <w:color w:val="auto"/>
                <w:w w:val="95"/>
              </w:rPr>
              <w:t>2.0%</w:t>
            </w:r>
          </w:p>
        </w:tc>
        <w:tc>
          <w:tcPr>
            <w:tcW w:w="800" w:type="dxa"/>
            <w:vAlign w:val="bottom"/>
          </w:tcPr>
          <w:p>
            <w:pPr>
              <w:jc w:val="center"/>
              <w:ind w:left="146"/>
              <w:spacing w:after="0"/>
              <w:rPr>
                <w:sz w:val="20"/>
                <w:szCs w:val="20"/>
                <w:color w:val="auto"/>
              </w:rPr>
            </w:pPr>
            <w:r>
              <w:rPr>
                <w:rFonts w:ascii="Arial" w:cs="Arial" w:eastAsia="Arial" w:hAnsi="Arial"/>
                <w:sz w:val="11"/>
                <w:szCs w:val="11"/>
                <w:color w:val="auto"/>
              </w:rPr>
              <w:t>471,750</w:t>
            </w:r>
          </w:p>
        </w:tc>
        <w:tc>
          <w:tcPr>
            <w:tcW w:w="1040" w:type="dxa"/>
            <w:vAlign w:val="bottom"/>
          </w:tcPr>
          <w:p>
            <w:pPr>
              <w:jc w:val="center"/>
              <w:ind w:left="206"/>
              <w:spacing w:after="0"/>
              <w:rPr>
                <w:sz w:val="20"/>
                <w:szCs w:val="20"/>
                <w:color w:val="auto"/>
              </w:rPr>
            </w:pPr>
            <w:r>
              <w:rPr>
                <w:rFonts w:ascii="Arial" w:cs="Arial" w:eastAsia="Arial" w:hAnsi="Arial"/>
                <w:sz w:val="11"/>
                <w:szCs w:val="11"/>
                <w:color w:val="auto"/>
                <w:w w:val="95"/>
              </w:rPr>
              <w:t>458,414</w:t>
            </w:r>
          </w:p>
        </w:tc>
        <w:tc>
          <w:tcPr>
            <w:tcW w:w="1040" w:type="dxa"/>
            <w:vAlign w:val="bottom"/>
          </w:tcPr>
          <w:p>
            <w:pPr>
              <w:jc w:val="center"/>
              <w:ind w:left="26"/>
              <w:spacing w:after="0"/>
              <w:rPr>
                <w:sz w:val="20"/>
                <w:szCs w:val="20"/>
                <w:color w:val="auto"/>
              </w:rPr>
            </w:pPr>
            <w:r>
              <w:rPr>
                <w:rFonts w:ascii="Arial" w:cs="Arial" w:eastAsia="Arial" w:hAnsi="Arial"/>
                <w:sz w:val="11"/>
                <w:szCs w:val="11"/>
                <w:color w:val="auto"/>
                <w:w w:val="97"/>
              </w:rPr>
              <w:t>-2.8%</w:t>
            </w:r>
          </w:p>
        </w:tc>
      </w:tr>
      <w:tr>
        <w:trPr>
          <w:trHeight w:val="132"/>
        </w:trPr>
        <w:tc>
          <w:tcPr>
            <w:tcW w:w="2980" w:type="dxa"/>
            <w:vAlign w:val="bottom"/>
          </w:tcPr>
          <w:p>
            <w:pPr>
              <w:ind w:left="300"/>
              <w:spacing w:after="0"/>
              <w:rPr>
                <w:sz w:val="20"/>
                <w:szCs w:val="20"/>
                <w:color w:val="auto"/>
              </w:rPr>
            </w:pPr>
            <w:r>
              <w:rPr>
                <w:rFonts w:ascii="Arial" w:cs="Arial" w:eastAsia="Arial" w:hAnsi="Arial"/>
                <w:sz w:val="11"/>
                <w:szCs w:val="11"/>
                <w:color w:val="auto"/>
              </w:rPr>
              <w:t>Net gain on foreign exchange transactions</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19,448</w:t>
            </w:r>
          </w:p>
        </w:tc>
        <w:tc>
          <w:tcPr>
            <w:tcW w:w="940" w:type="dxa"/>
            <w:vAlign w:val="bottom"/>
          </w:tcPr>
          <w:p>
            <w:pPr>
              <w:jc w:val="center"/>
              <w:spacing w:after="0"/>
              <w:rPr>
                <w:sz w:val="20"/>
                <w:szCs w:val="20"/>
                <w:color w:val="auto"/>
              </w:rPr>
            </w:pPr>
            <w:r>
              <w:rPr>
                <w:rFonts w:ascii="Arial" w:cs="Arial" w:eastAsia="Arial" w:hAnsi="Arial"/>
                <w:sz w:val="11"/>
                <w:szCs w:val="11"/>
                <w:color w:val="auto"/>
              </w:rPr>
              <w:t>21,497</w:t>
            </w:r>
          </w:p>
        </w:tc>
        <w:tc>
          <w:tcPr>
            <w:tcW w:w="940" w:type="dxa"/>
            <w:vAlign w:val="bottom"/>
          </w:tcPr>
          <w:p>
            <w:pPr>
              <w:jc w:val="center"/>
              <w:ind w:right="26"/>
              <w:spacing w:after="0"/>
              <w:rPr>
                <w:sz w:val="20"/>
                <w:szCs w:val="20"/>
                <w:color w:val="auto"/>
              </w:rPr>
            </w:pPr>
            <w:r>
              <w:rPr>
                <w:rFonts w:ascii="Arial" w:cs="Arial" w:eastAsia="Arial" w:hAnsi="Arial"/>
                <w:sz w:val="11"/>
                <w:szCs w:val="11"/>
                <w:color w:val="auto"/>
              </w:rPr>
              <w:t>17,871</w:t>
            </w:r>
          </w:p>
        </w:tc>
        <w:tc>
          <w:tcPr>
            <w:tcW w:w="640" w:type="dxa"/>
            <w:vAlign w:val="bottom"/>
          </w:tcPr>
          <w:p>
            <w:pPr>
              <w:jc w:val="center"/>
              <w:ind w:left="206"/>
              <w:spacing w:after="0"/>
              <w:rPr>
                <w:sz w:val="20"/>
                <w:szCs w:val="20"/>
                <w:color w:val="auto"/>
              </w:rPr>
            </w:pPr>
            <w:r>
              <w:rPr>
                <w:rFonts w:ascii="Arial" w:cs="Arial" w:eastAsia="Arial" w:hAnsi="Arial"/>
                <w:sz w:val="11"/>
                <w:szCs w:val="11"/>
                <w:color w:val="auto"/>
                <w:w w:val="97"/>
              </w:rPr>
              <w:t>-16.9%</w:t>
            </w:r>
          </w:p>
        </w:tc>
        <w:tc>
          <w:tcPr>
            <w:tcW w:w="1220" w:type="dxa"/>
            <w:vAlign w:val="bottom"/>
          </w:tcPr>
          <w:p>
            <w:pPr>
              <w:jc w:val="center"/>
              <w:ind w:left="246"/>
              <w:spacing w:after="0"/>
              <w:rPr>
                <w:sz w:val="20"/>
                <w:szCs w:val="20"/>
                <w:color w:val="auto"/>
              </w:rPr>
            </w:pPr>
            <w:r>
              <w:rPr>
                <w:rFonts w:ascii="Arial" w:cs="Arial" w:eastAsia="Arial" w:hAnsi="Arial"/>
                <w:sz w:val="11"/>
                <w:szCs w:val="11"/>
                <w:color w:val="auto"/>
                <w:w w:val="97"/>
              </w:rPr>
              <w:t>-8.1%</w:t>
            </w:r>
          </w:p>
        </w:tc>
        <w:tc>
          <w:tcPr>
            <w:tcW w:w="800" w:type="dxa"/>
            <w:vAlign w:val="bottom"/>
          </w:tcPr>
          <w:p>
            <w:pPr>
              <w:jc w:val="center"/>
              <w:ind w:left="146"/>
              <w:spacing w:after="0"/>
              <w:rPr>
                <w:sz w:val="20"/>
                <w:szCs w:val="20"/>
                <w:color w:val="auto"/>
              </w:rPr>
            </w:pPr>
            <w:r>
              <w:rPr>
                <w:rFonts w:ascii="Arial" w:cs="Arial" w:eastAsia="Arial" w:hAnsi="Arial"/>
                <w:sz w:val="11"/>
                <w:szCs w:val="11"/>
                <w:color w:val="auto"/>
                <w:w w:val="94"/>
              </w:rPr>
              <w:t>51,169</w:t>
            </w:r>
          </w:p>
        </w:tc>
        <w:tc>
          <w:tcPr>
            <w:tcW w:w="1040" w:type="dxa"/>
            <w:vAlign w:val="bottom"/>
          </w:tcPr>
          <w:p>
            <w:pPr>
              <w:jc w:val="center"/>
              <w:ind w:left="206"/>
              <w:spacing w:after="0"/>
              <w:rPr>
                <w:sz w:val="20"/>
                <w:szCs w:val="20"/>
                <w:color w:val="auto"/>
              </w:rPr>
            </w:pPr>
            <w:r>
              <w:rPr>
                <w:rFonts w:ascii="Arial" w:cs="Arial" w:eastAsia="Arial" w:hAnsi="Arial"/>
                <w:sz w:val="11"/>
                <w:szCs w:val="11"/>
                <w:color w:val="auto"/>
              </w:rPr>
              <w:t>54,437</w:t>
            </w:r>
          </w:p>
        </w:tc>
        <w:tc>
          <w:tcPr>
            <w:tcW w:w="1040" w:type="dxa"/>
            <w:vAlign w:val="bottom"/>
          </w:tcPr>
          <w:p>
            <w:pPr>
              <w:jc w:val="center"/>
              <w:ind w:left="26"/>
              <w:spacing w:after="0"/>
              <w:rPr>
                <w:sz w:val="20"/>
                <w:szCs w:val="20"/>
                <w:color w:val="auto"/>
              </w:rPr>
            </w:pPr>
            <w:r>
              <w:rPr>
                <w:rFonts w:ascii="Arial" w:cs="Arial" w:eastAsia="Arial" w:hAnsi="Arial"/>
                <w:sz w:val="11"/>
                <w:szCs w:val="11"/>
                <w:color w:val="auto"/>
                <w:w w:val="95"/>
              </w:rPr>
              <w:t>6.4%</w:t>
            </w:r>
          </w:p>
        </w:tc>
      </w:tr>
      <w:tr>
        <w:trPr>
          <w:trHeight w:val="132"/>
        </w:trPr>
        <w:tc>
          <w:tcPr>
            <w:tcW w:w="2980" w:type="dxa"/>
            <w:vAlign w:val="bottom"/>
          </w:tcPr>
          <w:p>
            <w:pPr>
              <w:ind w:left="160"/>
              <w:spacing w:after="0"/>
              <w:rPr>
                <w:sz w:val="20"/>
                <w:szCs w:val="20"/>
                <w:color w:val="auto"/>
              </w:rPr>
            </w:pPr>
            <w:r>
              <w:rPr>
                <w:rFonts w:ascii="Arial" w:cs="Arial" w:eastAsia="Arial" w:hAnsi="Arial"/>
                <w:sz w:val="11"/>
                <w:szCs w:val="11"/>
                <w:color w:val="auto"/>
              </w:rPr>
              <w:t>Net gain on sales of securities</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72,105</w:t>
            </w:r>
          </w:p>
        </w:tc>
        <w:tc>
          <w:tcPr>
            <w:tcW w:w="940" w:type="dxa"/>
            <w:vAlign w:val="bottom"/>
          </w:tcPr>
          <w:p>
            <w:pPr>
              <w:jc w:val="center"/>
              <w:spacing w:after="0"/>
              <w:rPr>
                <w:sz w:val="20"/>
                <w:szCs w:val="20"/>
                <w:color w:val="auto"/>
              </w:rPr>
            </w:pPr>
            <w:r>
              <w:rPr>
                <w:rFonts w:ascii="Arial" w:cs="Arial" w:eastAsia="Arial" w:hAnsi="Arial"/>
                <w:sz w:val="11"/>
                <w:szCs w:val="11"/>
                <w:color w:val="auto"/>
              </w:rPr>
              <w:t>64,298</w:t>
            </w:r>
          </w:p>
        </w:tc>
        <w:tc>
          <w:tcPr>
            <w:tcW w:w="940" w:type="dxa"/>
            <w:vAlign w:val="bottom"/>
          </w:tcPr>
          <w:p>
            <w:pPr>
              <w:jc w:val="center"/>
              <w:ind w:right="26"/>
              <w:spacing w:after="0"/>
              <w:rPr>
                <w:sz w:val="20"/>
                <w:szCs w:val="20"/>
                <w:color w:val="auto"/>
              </w:rPr>
            </w:pPr>
            <w:r>
              <w:rPr>
                <w:rFonts w:ascii="Arial" w:cs="Arial" w:eastAsia="Arial" w:hAnsi="Arial"/>
                <w:sz w:val="11"/>
                <w:szCs w:val="11"/>
                <w:color w:val="auto"/>
                <w:w w:val="95"/>
              </w:rPr>
              <w:t>107,080</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rPr>
              <w:t>66.5%</w:t>
            </w:r>
          </w:p>
        </w:tc>
        <w:tc>
          <w:tcPr>
            <w:tcW w:w="1220" w:type="dxa"/>
            <w:vAlign w:val="bottom"/>
          </w:tcPr>
          <w:p>
            <w:pPr>
              <w:jc w:val="center"/>
              <w:ind w:left="226"/>
              <w:spacing w:after="0"/>
              <w:rPr>
                <w:sz w:val="20"/>
                <w:szCs w:val="20"/>
                <w:color w:val="auto"/>
              </w:rPr>
            </w:pPr>
            <w:r>
              <w:rPr>
                <w:rFonts w:ascii="Arial" w:cs="Arial" w:eastAsia="Arial" w:hAnsi="Arial"/>
                <w:sz w:val="11"/>
                <w:szCs w:val="11"/>
                <w:color w:val="auto"/>
                <w:w w:val="96"/>
              </w:rPr>
              <w:t>48.5%</w:t>
            </w:r>
          </w:p>
        </w:tc>
        <w:tc>
          <w:tcPr>
            <w:tcW w:w="800" w:type="dxa"/>
            <w:vAlign w:val="bottom"/>
          </w:tcPr>
          <w:p>
            <w:pPr>
              <w:jc w:val="center"/>
              <w:ind w:left="146"/>
              <w:spacing w:after="0"/>
              <w:rPr>
                <w:sz w:val="20"/>
                <w:szCs w:val="20"/>
                <w:color w:val="auto"/>
              </w:rPr>
            </w:pPr>
            <w:r>
              <w:rPr>
                <w:rFonts w:ascii="Arial" w:cs="Arial" w:eastAsia="Arial" w:hAnsi="Arial"/>
                <w:sz w:val="11"/>
                <w:szCs w:val="11"/>
                <w:color w:val="auto"/>
              </w:rPr>
              <w:t>172,315</w:t>
            </w:r>
          </w:p>
        </w:tc>
        <w:tc>
          <w:tcPr>
            <w:tcW w:w="1040" w:type="dxa"/>
            <w:vAlign w:val="bottom"/>
          </w:tcPr>
          <w:p>
            <w:pPr>
              <w:jc w:val="center"/>
              <w:ind w:left="206"/>
              <w:spacing w:after="0"/>
              <w:rPr>
                <w:sz w:val="20"/>
                <w:szCs w:val="20"/>
                <w:color w:val="auto"/>
              </w:rPr>
            </w:pPr>
            <w:r>
              <w:rPr>
                <w:rFonts w:ascii="Arial" w:cs="Arial" w:eastAsia="Arial" w:hAnsi="Arial"/>
                <w:sz w:val="11"/>
                <w:szCs w:val="11"/>
                <w:color w:val="auto"/>
                <w:w w:val="95"/>
              </w:rPr>
              <w:t>212,570</w:t>
            </w:r>
          </w:p>
        </w:tc>
        <w:tc>
          <w:tcPr>
            <w:tcW w:w="1040" w:type="dxa"/>
            <w:vAlign w:val="bottom"/>
          </w:tcPr>
          <w:p>
            <w:pPr>
              <w:jc w:val="center"/>
              <w:ind w:left="26"/>
              <w:spacing w:after="0"/>
              <w:rPr>
                <w:sz w:val="20"/>
                <w:szCs w:val="20"/>
                <w:color w:val="auto"/>
              </w:rPr>
            </w:pPr>
            <w:r>
              <w:rPr>
                <w:rFonts w:ascii="Arial" w:cs="Arial" w:eastAsia="Arial" w:hAnsi="Arial"/>
                <w:sz w:val="11"/>
                <w:szCs w:val="11"/>
                <w:color w:val="auto"/>
              </w:rPr>
              <w:t>23.4%</w:t>
            </w:r>
          </w:p>
        </w:tc>
      </w:tr>
      <w:tr>
        <w:trPr>
          <w:trHeight w:val="132"/>
        </w:trPr>
        <w:tc>
          <w:tcPr>
            <w:tcW w:w="2980" w:type="dxa"/>
            <w:vAlign w:val="bottom"/>
          </w:tcPr>
          <w:p>
            <w:pPr>
              <w:ind w:left="160"/>
              <w:spacing w:after="0"/>
              <w:rPr>
                <w:sz w:val="20"/>
                <w:szCs w:val="20"/>
                <w:color w:val="auto"/>
              </w:rPr>
            </w:pPr>
            <w:r>
              <w:rPr>
                <w:rFonts w:ascii="Arial" w:cs="Arial" w:eastAsia="Arial" w:hAnsi="Arial"/>
                <w:sz w:val="11"/>
                <w:szCs w:val="11"/>
                <w:color w:val="auto"/>
              </w:rPr>
              <w:t>Derivative Result</w:t>
            </w:r>
          </w:p>
        </w:tc>
        <w:tc>
          <w:tcPr>
            <w:tcW w:w="960" w:type="dxa"/>
            <w:vAlign w:val="bottom"/>
          </w:tcPr>
          <w:p>
            <w:pPr>
              <w:jc w:val="right"/>
              <w:ind w:right="206"/>
              <w:spacing w:after="0"/>
              <w:rPr>
                <w:sz w:val="20"/>
                <w:szCs w:val="20"/>
                <w:color w:val="auto"/>
              </w:rPr>
            </w:pPr>
            <w:r>
              <w:rPr>
                <w:rFonts w:ascii="Arial" w:cs="Arial" w:eastAsia="Arial" w:hAnsi="Arial"/>
                <w:sz w:val="11"/>
                <w:szCs w:val="11"/>
                <w:color w:val="auto"/>
              </w:rPr>
              <w:t>(17,139)</w:t>
            </w:r>
          </w:p>
        </w:tc>
        <w:tc>
          <w:tcPr>
            <w:tcW w:w="940" w:type="dxa"/>
            <w:vAlign w:val="bottom"/>
          </w:tcPr>
          <w:p>
            <w:pPr>
              <w:jc w:val="right"/>
              <w:ind w:right="246"/>
              <w:spacing w:after="0"/>
              <w:rPr>
                <w:sz w:val="20"/>
                <w:szCs w:val="20"/>
                <w:color w:val="auto"/>
              </w:rPr>
            </w:pPr>
            <w:r>
              <w:rPr>
                <w:rFonts w:ascii="Arial" w:cs="Arial" w:eastAsia="Arial" w:hAnsi="Arial"/>
                <w:sz w:val="11"/>
                <w:szCs w:val="11"/>
                <w:color w:val="auto"/>
              </w:rPr>
              <w:t>(8,789)</w:t>
            </w:r>
          </w:p>
        </w:tc>
        <w:tc>
          <w:tcPr>
            <w:tcW w:w="940" w:type="dxa"/>
            <w:vAlign w:val="bottom"/>
          </w:tcPr>
          <w:p>
            <w:pPr>
              <w:jc w:val="right"/>
              <w:ind w:right="226"/>
              <w:spacing w:after="0"/>
              <w:rPr>
                <w:sz w:val="20"/>
                <w:szCs w:val="20"/>
                <w:color w:val="auto"/>
              </w:rPr>
            </w:pPr>
            <w:r>
              <w:rPr>
                <w:rFonts w:ascii="Arial" w:cs="Arial" w:eastAsia="Arial" w:hAnsi="Arial"/>
                <w:sz w:val="11"/>
                <w:szCs w:val="11"/>
                <w:color w:val="auto"/>
              </w:rPr>
              <w:t>(32,934)</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6"/>
              </w:rPr>
              <w:t>274.7%</w:t>
            </w:r>
          </w:p>
        </w:tc>
        <w:tc>
          <w:tcPr>
            <w:tcW w:w="1220" w:type="dxa"/>
            <w:vAlign w:val="bottom"/>
          </w:tcPr>
          <w:p>
            <w:pPr>
              <w:jc w:val="center"/>
              <w:ind w:left="226"/>
              <w:spacing w:after="0"/>
              <w:rPr>
                <w:sz w:val="20"/>
                <w:szCs w:val="20"/>
                <w:color w:val="auto"/>
              </w:rPr>
            </w:pPr>
            <w:r>
              <w:rPr>
                <w:rFonts w:ascii="Arial" w:cs="Arial" w:eastAsia="Arial" w:hAnsi="Arial"/>
                <w:sz w:val="11"/>
                <w:szCs w:val="11"/>
                <w:color w:val="auto"/>
                <w:w w:val="96"/>
              </w:rPr>
              <w:t>92.2%</w:t>
            </w:r>
          </w:p>
        </w:tc>
        <w:tc>
          <w:tcPr>
            <w:tcW w:w="800" w:type="dxa"/>
            <w:vAlign w:val="bottom"/>
          </w:tcPr>
          <w:p>
            <w:pPr>
              <w:jc w:val="center"/>
              <w:ind w:left="146"/>
              <w:spacing w:after="0"/>
              <w:rPr>
                <w:sz w:val="20"/>
                <w:szCs w:val="20"/>
                <w:color w:val="auto"/>
              </w:rPr>
            </w:pPr>
            <w:r>
              <w:rPr>
                <w:rFonts w:ascii="Arial" w:cs="Arial" w:eastAsia="Arial" w:hAnsi="Arial"/>
                <w:sz w:val="11"/>
                <w:szCs w:val="11"/>
                <w:color w:val="auto"/>
                <w:w w:val="94"/>
              </w:rPr>
              <w:t>25,440</w:t>
            </w:r>
          </w:p>
        </w:tc>
        <w:tc>
          <w:tcPr>
            <w:tcW w:w="1040" w:type="dxa"/>
            <w:vAlign w:val="bottom"/>
          </w:tcPr>
          <w:p>
            <w:pPr>
              <w:jc w:val="right"/>
              <w:ind w:right="126"/>
              <w:spacing w:after="0"/>
              <w:rPr>
                <w:sz w:val="20"/>
                <w:szCs w:val="20"/>
                <w:color w:val="auto"/>
              </w:rPr>
            </w:pPr>
            <w:r>
              <w:rPr>
                <w:rFonts w:ascii="Arial" w:cs="Arial" w:eastAsia="Arial" w:hAnsi="Arial"/>
                <w:sz w:val="11"/>
                <w:szCs w:val="11"/>
                <w:color w:val="auto"/>
              </w:rPr>
              <w:t>(37,859)</w:t>
            </w:r>
          </w:p>
        </w:tc>
        <w:tc>
          <w:tcPr>
            <w:tcW w:w="1040" w:type="dxa"/>
            <w:vAlign w:val="bottom"/>
          </w:tcPr>
          <w:p>
            <w:pPr>
              <w:jc w:val="center"/>
              <w:ind w:left="26"/>
              <w:spacing w:after="0"/>
              <w:rPr>
                <w:sz w:val="20"/>
                <w:szCs w:val="20"/>
                <w:color w:val="auto"/>
              </w:rPr>
            </w:pPr>
            <w:r>
              <w:rPr>
                <w:rFonts w:ascii="Arial" w:cs="Arial" w:eastAsia="Arial" w:hAnsi="Arial"/>
                <w:sz w:val="11"/>
                <w:szCs w:val="11"/>
                <w:color w:val="auto"/>
                <w:w w:val="97"/>
              </w:rPr>
              <w:t>-248.8%</w:t>
            </w:r>
          </w:p>
        </w:tc>
      </w:tr>
      <w:tr>
        <w:trPr>
          <w:trHeight w:val="132"/>
        </w:trPr>
        <w:tc>
          <w:tcPr>
            <w:tcW w:w="2980" w:type="dxa"/>
            <w:vAlign w:val="bottom"/>
          </w:tcPr>
          <w:p>
            <w:pPr>
              <w:ind w:left="300"/>
              <w:spacing w:after="0"/>
              <w:rPr>
                <w:sz w:val="20"/>
                <w:szCs w:val="20"/>
                <w:color w:val="auto"/>
              </w:rPr>
            </w:pPr>
            <w:r>
              <w:rPr>
                <w:rFonts w:ascii="Arial" w:cs="Arial" w:eastAsia="Arial" w:hAnsi="Arial"/>
                <w:sz w:val="11"/>
                <w:szCs w:val="11"/>
                <w:color w:val="auto"/>
              </w:rPr>
              <w:t>Result from exposure to the exchange rate</w:t>
            </w:r>
          </w:p>
        </w:tc>
        <w:tc>
          <w:tcPr>
            <w:tcW w:w="960" w:type="dxa"/>
            <w:vAlign w:val="bottom"/>
          </w:tcPr>
          <w:p>
            <w:pPr>
              <w:jc w:val="center"/>
              <w:spacing w:after="0"/>
              <w:rPr>
                <w:sz w:val="20"/>
                <w:szCs w:val="20"/>
                <w:color w:val="auto"/>
              </w:rPr>
            </w:pPr>
            <w:r>
              <w:rPr>
                <w:rFonts w:ascii="Arial" w:cs="Arial" w:eastAsia="Arial" w:hAnsi="Arial"/>
                <w:sz w:val="11"/>
                <w:szCs w:val="11"/>
                <w:color w:val="auto"/>
              </w:rPr>
              <w:t>6,061</w:t>
            </w:r>
          </w:p>
        </w:tc>
        <w:tc>
          <w:tcPr>
            <w:tcW w:w="940" w:type="dxa"/>
            <w:vAlign w:val="bottom"/>
          </w:tcPr>
          <w:p>
            <w:pPr>
              <w:jc w:val="center"/>
              <w:spacing w:after="0"/>
              <w:rPr>
                <w:sz w:val="20"/>
                <w:szCs w:val="20"/>
                <w:color w:val="auto"/>
              </w:rPr>
            </w:pPr>
            <w:r>
              <w:rPr>
                <w:rFonts w:ascii="Arial" w:cs="Arial" w:eastAsia="Arial" w:hAnsi="Arial"/>
                <w:sz w:val="11"/>
                <w:szCs w:val="11"/>
                <w:color w:val="auto"/>
                <w:w w:val="94"/>
              </w:rPr>
              <w:t>4,870</w:t>
            </w:r>
          </w:p>
        </w:tc>
        <w:tc>
          <w:tcPr>
            <w:tcW w:w="940" w:type="dxa"/>
            <w:vAlign w:val="bottom"/>
          </w:tcPr>
          <w:p>
            <w:pPr>
              <w:jc w:val="center"/>
              <w:ind w:right="26"/>
              <w:spacing w:after="0"/>
              <w:rPr>
                <w:sz w:val="20"/>
                <w:szCs w:val="20"/>
                <w:color w:val="auto"/>
              </w:rPr>
            </w:pPr>
            <w:r>
              <w:rPr>
                <w:rFonts w:ascii="Arial" w:cs="Arial" w:eastAsia="Arial" w:hAnsi="Arial"/>
                <w:sz w:val="11"/>
                <w:szCs w:val="11"/>
                <w:color w:val="auto"/>
                <w:w w:val="94"/>
              </w:rPr>
              <w:t>4,028</w:t>
            </w:r>
          </w:p>
        </w:tc>
        <w:tc>
          <w:tcPr>
            <w:tcW w:w="640" w:type="dxa"/>
            <w:vAlign w:val="bottom"/>
          </w:tcPr>
          <w:p>
            <w:pPr>
              <w:jc w:val="center"/>
              <w:ind w:left="206"/>
              <w:spacing w:after="0"/>
              <w:rPr>
                <w:sz w:val="20"/>
                <w:szCs w:val="20"/>
                <w:color w:val="auto"/>
              </w:rPr>
            </w:pPr>
            <w:r>
              <w:rPr>
                <w:rFonts w:ascii="Arial" w:cs="Arial" w:eastAsia="Arial" w:hAnsi="Arial"/>
                <w:sz w:val="11"/>
                <w:szCs w:val="11"/>
                <w:color w:val="auto"/>
                <w:w w:val="97"/>
              </w:rPr>
              <w:t>-17.3%</w:t>
            </w:r>
          </w:p>
        </w:tc>
        <w:tc>
          <w:tcPr>
            <w:tcW w:w="1220" w:type="dxa"/>
            <w:vAlign w:val="bottom"/>
          </w:tcPr>
          <w:p>
            <w:pPr>
              <w:jc w:val="center"/>
              <w:ind w:left="226"/>
              <w:spacing w:after="0"/>
              <w:rPr>
                <w:sz w:val="20"/>
                <w:szCs w:val="20"/>
                <w:color w:val="auto"/>
              </w:rPr>
            </w:pPr>
            <w:r>
              <w:rPr>
                <w:rFonts w:ascii="Arial" w:cs="Arial" w:eastAsia="Arial" w:hAnsi="Arial"/>
                <w:sz w:val="11"/>
                <w:szCs w:val="11"/>
                <w:color w:val="auto"/>
                <w:w w:val="97"/>
              </w:rPr>
              <w:t>-33.5%</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(11,290)</w:t>
            </w:r>
          </w:p>
        </w:tc>
        <w:tc>
          <w:tcPr>
            <w:tcW w:w="1040" w:type="dxa"/>
            <w:vAlign w:val="bottom"/>
          </w:tcPr>
          <w:p>
            <w:pPr>
              <w:jc w:val="center"/>
              <w:ind w:left="206"/>
              <w:spacing w:after="0"/>
              <w:rPr>
                <w:sz w:val="20"/>
                <w:szCs w:val="20"/>
                <w:color w:val="auto"/>
              </w:rPr>
            </w:pPr>
            <w:r>
              <w:rPr>
                <w:rFonts w:ascii="Arial" w:cs="Arial" w:eastAsia="Arial" w:hAnsi="Arial"/>
                <w:sz w:val="11"/>
                <w:szCs w:val="11"/>
                <w:color w:val="auto"/>
              </w:rPr>
              <w:t>21,497</w:t>
            </w:r>
          </w:p>
        </w:tc>
        <w:tc>
          <w:tcPr>
            <w:tcW w:w="1040" w:type="dxa"/>
            <w:vAlign w:val="bottom"/>
          </w:tcPr>
          <w:p>
            <w:pPr>
              <w:jc w:val="center"/>
              <w:ind w:left="26"/>
              <w:spacing w:after="0"/>
              <w:rPr>
                <w:sz w:val="20"/>
                <w:szCs w:val="20"/>
                <w:color w:val="auto"/>
              </w:rPr>
            </w:pPr>
            <w:r>
              <w:rPr>
                <w:rFonts w:ascii="Arial" w:cs="Arial" w:eastAsia="Arial" w:hAnsi="Arial"/>
                <w:sz w:val="11"/>
                <w:szCs w:val="11"/>
                <w:color w:val="auto"/>
                <w:w w:val="97"/>
              </w:rPr>
              <w:t>-290.4%</w:t>
            </w:r>
          </w:p>
        </w:tc>
      </w:tr>
      <w:tr>
        <w:trPr>
          <w:trHeight w:val="120"/>
        </w:trPr>
        <w:tc>
          <w:tcPr>
            <w:tcW w:w="2980" w:type="dxa"/>
            <w:vAlign w:val="bottom"/>
          </w:tcPr>
          <w:p>
            <w:pPr>
              <w:ind w:left="160"/>
              <w:spacing w:after="0" w:line="120" w:lineRule="exact"/>
              <w:rPr>
                <w:sz w:val="20"/>
                <w:szCs w:val="20"/>
                <w:color w:val="auto"/>
              </w:rPr>
            </w:pPr>
            <w:r>
              <w:rPr>
                <w:rFonts w:ascii="Arial" w:cs="Arial" w:eastAsia="Arial" w:hAnsi="Arial"/>
                <w:sz w:val="11"/>
                <w:szCs w:val="11"/>
                <w:color w:val="auto"/>
              </w:rPr>
              <w:t>Other income</w:t>
            </w:r>
          </w:p>
        </w:tc>
        <w:tc>
          <w:tcPr>
            <w:tcW w:w="960" w:type="dxa"/>
            <w:vAlign w:val="bottom"/>
          </w:tcPr>
          <w:p>
            <w:pPr>
              <w:jc w:val="center"/>
              <w:spacing w:after="0" w:line="120" w:lineRule="exact"/>
              <w:rPr>
                <w:sz w:val="20"/>
                <w:szCs w:val="20"/>
                <w:color w:val="auto"/>
              </w:rPr>
            </w:pPr>
            <w:r>
              <w:rPr>
                <w:rFonts w:ascii="Arial" w:cs="Arial" w:eastAsia="Arial" w:hAnsi="Arial"/>
                <w:sz w:val="11"/>
                <w:szCs w:val="11"/>
                <w:color w:val="auto"/>
              </w:rPr>
              <w:t>3,325</w:t>
            </w:r>
          </w:p>
        </w:tc>
        <w:tc>
          <w:tcPr>
            <w:tcW w:w="940" w:type="dxa"/>
            <w:vAlign w:val="bottom"/>
          </w:tcPr>
          <w:p>
            <w:pPr>
              <w:jc w:val="center"/>
              <w:spacing w:after="0" w:line="120" w:lineRule="exact"/>
              <w:rPr>
                <w:sz w:val="20"/>
                <w:szCs w:val="20"/>
                <w:color w:val="auto"/>
              </w:rPr>
            </w:pPr>
            <w:r>
              <w:rPr>
                <w:rFonts w:ascii="Arial" w:cs="Arial" w:eastAsia="Arial" w:hAnsi="Arial"/>
                <w:sz w:val="11"/>
                <w:szCs w:val="11"/>
                <w:color w:val="auto"/>
                <w:w w:val="94"/>
              </w:rPr>
              <w:t>3,096</w:t>
            </w:r>
          </w:p>
        </w:tc>
        <w:tc>
          <w:tcPr>
            <w:tcW w:w="940" w:type="dxa"/>
            <w:vAlign w:val="bottom"/>
          </w:tcPr>
          <w:p>
            <w:pPr>
              <w:jc w:val="center"/>
              <w:ind w:right="26"/>
              <w:spacing w:after="0" w:line="120" w:lineRule="exact"/>
              <w:rPr>
                <w:sz w:val="20"/>
                <w:szCs w:val="20"/>
                <w:color w:val="auto"/>
              </w:rPr>
            </w:pPr>
            <w:r>
              <w:rPr>
                <w:rFonts w:ascii="Arial" w:cs="Arial" w:eastAsia="Arial" w:hAnsi="Arial"/>
                <w:sz w:val="11"/>
                <w:szCs w:val="11"/>
                <w:color w:val="auto"/>
                <w:w w:val="94"/>
              </w:rPr>
              <w:t>3,888</w:t>
            </w:r>
          </w:p>
        </w:tc>
        <w:tc>
          <w:tcPr>
            <w:tcW w:w="640" w:type="dxa"/>
            <w:vAlign w:val="bottom"/>
          </w:tcPr>
          <w:p>
            <w:pPr>
              <w:jc w:val="center"/>
              <w:ind w:left="186"/>
              <w:spacing w:after="0" w:line="120" w:lineRule="exact"/>
              <w:rPr>
                <w:sz w:val="20"/>
                <w:szCs w:val="20"/>
                <w:color w:val="auto"/>
              </w:rPr>
            </w:pPr>
            <w:r>
              <w:rPr>
                <w:rFonts w:ascii="Arial" w:cs="Arial" w:eastAsia="Arial" w:hAnsi="Arial"/>
                <w:sz w:val="11"/>
                <w:szCs w:val="11"/>
                <w:color w:val="auto"/>
              </w:rPr>
              <w:t>25.6%</w:t>
            </w:r>
          </w:p>
        </w:tc>
        <w:tc>
          <w:tcPr>
            <w:tcW w:w="1220" w:type="dxa"/>
            <w:vAlign w:val="bottom"/>
          </w:tcPr>
          <w:p>
            <w:pPr>
              <w:jc w:val="center"/>
              <w:ind w:left="226"/>
              <w:spacing w:after="0" w:line="120" w:lineRule="exact"/>
              <w:rPr>
                <w:sz w:val="20"/>
                <w:szCs w:val="20"/>
                <w:color w:val="auto"/>
              </w:rPr>
            </w:pPr>
            <w:r>
              <w:rPr>
                <w:rFonts w:ascii="Arial" w:cs="Arial" w:eastAsia="Arial" w:hAnsi="Arial"/>
                <w:sz w:val="11"/>
                <w:szCs w:val="11"/>
                <w:color w:val="auto"/>
                <w:w w:val="96"/>
              </w:rPr>
              <w:t>16.9%</w:t>
            </w:r>
          </w:p>
        </w:tc>
        <w:tc>
          <w:tcPr>
            <w:tcW w:w="800" w:type="dxa"/>
            <w:vAlign w:val="bottom"/>
          </w:tcPr>
          <w:p>
            <w:pPr>
              <w:jc w:val="center"/>
              <w:ind w:left="146"/>
              <w:spacing w:after="0" w:line="120" w:lineRule="exact"/>
              <w:rPr>
                <w:sz w:val="20"/>
                <w:szCs w:val="20"/>
                <w:color w:val="auto"/>
              </w:rPr>
            </w:pPr>
            <w:r>
              <w:rPr>
                <w:rFonts w:ascii="Arial" w:cs="Arial" w:eastAsia="Arial" w:hAnsi="Arial"/>
                <w:sz w:val="11"/>
                <w:szCs w:val="11"/>
                <w:color w:val="auto"/>
                <w:w w:val="94"/>
              </w:rPr>
              <w:t>21,448</w:t>
            </w:r>
          </w:p>
        </w:tc>
        <w:tc>
          <w:tcPr>
            <w:tcW w:w="1040" w:type="dxa"/>
            <w:vAlign w:val="bottom"/>
          </w:tcPr>
          <w:p>
            <w:pPr>
              <w:jc w:val="center"/>
              <w:ind w:left="206"/>
              <w:spacing w:after="0" w:line="120" w:lineRule="exact"/>
              <w:rPr>
                <w:sz w:val="20"/>
                <w:szCs w:val="20"/>
                <w:color w:val="auto"/>
              </w:rPr>
            </w:pPr>
            <w:r>
              <w:rPr>
                <w:rFonts w:ascii="Arial" w:cs="Arial" w:eastAsia="Arial" w:hAnsi="Arial"/>
                <w:sz w:val="11"/>
                <w:szCs w:val="11"/>
                <w:color w:val="auto"/>
              </w:rPr>
              <w:t>48,914</w:t>
            </w:r>
          </w:p>
        </w:tc>
        <w:tc>
          <w:tcPr>
            <w:tcW w:w="1040" w:type="dxa"/>
            <w:vAlign w:val="bottom"/>
          </w:tcPr>
          <w:p>
            <w:pPr>
              <w:jc w:val="center"/>
              <w:ind w:left="26"/>
              <w:spacing w:after="0" w:line="120" w:lineRule="exact"/>
              <w:rPr>
                <w:sz w:val="20"/>
                <w:szCs w:val="20"/>
                <w:color w:val="auto"/>
              </w:rPr>
            </w:pPr>
            <w:r>
              <w:rPr>
                <w:rFonts w:ascii="Arial" w:cs="Arial" w:eastAsia="Arial" w:hAnsi="Arial"/>
                <w:sz w:val="11"/>
                <w:szCs w:val="11"/>
                <w:color w:val="auto"/>
                <w:w w:val="96"/>
              </w:rPr>
              <w:t>128.1%</w:t>
            </w:r>
          </w:p>
        </w:tc>
      </w:tr>
      <w:tr>
        <w:trPr>
          <w:trHeight w:val="166"/>
        </w:trPr>
        <w:tc>
          <w:tcPr>
            <w:tcW w:w="2980" w:type="dxa"/>
            <w:vAlign w:val="bottom"/>
          </w:tcPr>
          <w:p>
            <w:pPr>
              <w:ind w:left="20"/>
              <w:spacing w:after="0" w:line="166" w:lineRule="exact"/>
              <w:rPr>
                <w:sz w:val="20"/>
                <w:szCs w:val="20"/>
                <w:color w:val="auto"/>
              </w:rPr>
            </w:pPr>
            <w:r>
              <w:rPr>
                <w:rFonts w:ascii="Arial" w:cs="Arial" w:eastAsia="Arial" w:hAnsi="Arial"/>
                <w:sz w:val="11"/>
                <w:szCs w:val="11"/>
                <w:color w:val="auto"/>
              </w:rPr>
              <w:t xml:space="preserve">Operating expenses </w:t>
            </w:r>
            <w:r>
              <w:rPr>
                <w:rFonts w:ascii="Arial" w:cs="Arial" w:eastAsia="Arial" w:hAnsi="Arial"/>
                <w:sz w:val="16"/>
                <w:szCs w:val="16"/>
                <w:color w:val="auto"/>
                <w:vertAlign w:val="superscript"/>
              </w:rPr>
              <w:t>(1)</w:t>
            </w:r>
          </w:p>
        </w:tc>
        <w:tc>
          <w:tcPr>
            <w:tcW w:w="960" w:type="dxa"/>
            <w:vAlign w:val="bottom"/>
          </w:tcPr>
          <w:p>
            <w:pPr>
              <w:jc w:val="right"/>
              <w:ind w:right="186"/>
              <w:spacing w:after="0"/>
              <w:rPr>
                <w:sz w:val="20"/>
                <w:szCs w:val="20"/>
                <w:color w:val="auto"/>
              </w:rPr>
            </w:pPr>
            <w:r>
              <w:rPr>
                <w:rFonts w:ascii="Arial" w:cs="Arial" w:eastAsia="Arial" w:hAnsi="Arial"/>
                <w:sz w:val="11"/>
                <w:szCs w:val="11"/>
                <w:color w:val="auto"/>
              </w:rPr>
              <w:t>(187,915)</w:t>
            </w:r>
          </w:p>
        </w:tc>
        <w:tc>
          <w:tcPr>
            <w:tcW w:w="940" w:type="dxa"/>
            <w:vAlign w:val="bottom"/>
          </w:tcPr>
          <w:p>
            <w:pPr>
              <w:jc w:val="right"/>
              <w:ind w:right="186"/>
              <w:spacing w:after="0"/>
              <w:rPr>
                <w:sz w:val="20"/>
                <w:szCs w:val="20"/>
                <w:color w:val="auto"/>
              </w:rPr>
            </w:pPr>
            <w:r>
              <w:rPr>
                <w:rFonts w:ascii="Arial" w:cs="Arial" w:eastAsia="Arial" w:hAnsi="Arial"/>
                <w:sz w:val="11"/>
                <w:szCs w:val="11"/>
                <w:color w:val="auto"/>
              </w:rPr>
              <w:t>(183,696)</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(190,831)</w:t>
            </w:r>
          </w:p>
        </w:tc>
        <w:tc>
          <w:tcPr>
            <w:tcW w:w="640" w:type="dxa"/>
            <w:vAlign w:val="bottom"/>
          </w:tcPr>
          <w:p>
            <w:pPr>
              <w:jc w:val="center"/>
              <w:ind w:left="186"/>
              <w:spacing w:after="0"/>
              <w:rPr>
                <w:sz w:val="20"/>
                <w:szCs w:val="20"/>
                <w:color w:val="auto"/>
              </w:rPr>
            </w:pPr>
            <w:r>
              <w:rPr>
                <w:rFonts w:ascii="Arial" w:cs="Arial" w:eastAsia="Arial" w:hAnsi="Arial"/>
                <w:sz w:val="11"/>
                <w:szCs w:val="11"/>
                <w:color w:val="auto"/>
                <w:w w:val="95"/>
              </w:rPr>
              <w:t>3.9%</w:t>
            </w:r>
          </w:p>
        </w:tc>
        <w:tc>
          <w:tcPr>
            <w:tcW w:w="1220" w:type="dxa"/>
            <w:vAlign w:val="bottom"/>
          </w:tcPr>
          <w:p>
            <w:pPr>
              <w:jc w:val="center"/>
              <w:ind w:left="246"/>
              <w:spacing w:after="0"/>
              <w:rPr>
                <w:sz w:val="20"/>
                <w:szCs w:val="20"/>
                <w:color w:val="auto"/>
              </w:rPr>
            </w:pPr>
            <w:r>
              <w:rPr>
                <w:rFonts w:ascii="Arial" w:cs="Arial" w:eastAsia="Arial" w:hAnsi="Arial"/>
                <w:sz w:val="11"/>
                <w:szCs w:val="11"/>
                <w:color w:val="auto"/>
                <w:w w:val="95"/>
              </w:rPr>
              <w:t>1.6%</w:t>
            </w:r>
          </w:p>
        </w:tc>
        <w:tc>
          <w:tcPr>
            <w:tcW w:w="800" w:type="dxa"/>
            <w:vAlign w:val="bottom"/>
          </w:tcPr>
          <w:p>
            <w:pPr>
              <w:jc w:val="right"/>
              <w:spacing w:after="0"/>
              <w:rPr>
                <w:sz w:val="20"/>
                <w:szCs w:val="20"/>
                <w:color w:val="auto"/>
              </w:rPr>
            </w:pPr>
            <w:r>
              <w:rPr>
                <w:rFonts w:ascii="Arial" w:cs="Arial" w:eastAsia="Arial" w:hAnsi="Arial"/>
                <w:sz w:val="11"/>
                <w:szCs w:val="11"/>
                <w:color w:val="auto"/>
              </w:rPr>
              <w:t>(540,699)</w:t>
            </w: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(576,601)</w:t>
            </w:r>
          </w:p>
        </w:tc>
        <w:tc>
          <w:tcPr>
            <w:tcW w:w="1040" w:type="dxa"/>
            <w:vAlign w:val="bottom"/>
          </w:tcPr>
          <w:p>
            <w:pPr>
              <w:jc w:val="center"/>
              <w:ind w:left="26"/>
              <w:spacing w:after="0"/>
              <w:rPr>
                <w:sz w:val="20"/>
                <w:szCs w:val="20"/>
                <w:color w:val="auto"/>
              </w:rPr>
            </w:pPr>
            <w:r>
              <w:rPr>
                <w:rFonts w:ascii="Arial" w:cs="Arial" w:eastAsia="Arial" w:hAnsi="Arial"/>
                <w:sz w:val="11"/>
                <w:szCs w:val="11"/>
                <w:color w:val="auto"/>
                <w:w w:val="95"/>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-951230</wp:posOffset>
            </wp:positionV>
            <wp:extent cx="6707505" cy="13036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07505" cy="13036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2"/>
        </w:trPr>
        <w:tc>
          <w:tcPr>
            <w:tcW w:w="2200" w:type="dxa"/>
            <w:vAlign w:val="bottom"/>
            <w:tcBorders>
              <w:bottom w:val="single" w:sz="8" w:color="auto"/>
            </w:tcBorders>
          </w:tcPr>
          <w:p>
            <w:pPr>
              <w:ind w:left="20"/>
              <w:spacing w:after="0" w:line="122" w:lineRule="exact"/>
              <w:rPr>
                <w:sz w:val="20"/>
                <w:szCs w:val="20"/>
                <w:color w:val="auto"/>
              </w:rPr>
            </w:pPr>
            <w:r>
              <w:rPr>
                <w:rFonts w:ascii="Arial" w:cs="Arial" w:eastAsia="Arial" w:hAnsi="Arial"/>
                <w:sz w:val="11"/>
                <w:szCs w:val="11"/>
                <w:b w:val="1"/>
                <w:bCs w:val="1"/>
                <w:color w:val="auto"/>
              </w:rPr>
              <w:t>Operating income</w:t>
            </w:r>
          </w:p>
        </w:tc>
        <w:tc>
          <w:tcPr>
            <w:tcW w:w="1740" w:type="dxa"/>
            <w:vAlign w:val="bottom"/>
            <w:tcBorders>
              <w:bottom w:val="single" w:sz="8" w:color="auto"/>
            </w:tcBorders>
          </w:tcPr>
          <w:p>
            <w:pPr>
              <w:jc w:val="center"/>
              <w:ind w:left="726"/>
              <w:spacing w:after="0" w:line="122" w:lineRule="exact"/>
              <w:rPr>
                <w:sz w:val="20"/>
                <w:szCs w:val="20"/>
                <w:color w:val="auto"/>
              </w:rPr>
            </w:pPr>
            <w:r>
              <w:rPr>
                <w:rFonts w:ascii="Arial" w:cs="Arial" w:eastAsia="Arial" w:hAnsi="Arial"/>
                <w:sz w:val="11"/>
                <w:szCs w:val="11"/>
                <w:b w:val="1"/>
                <w:bCs w:val="1"/>
                <w:color w:val="auto"/>
                <w:w w:val="94"/>
              </w:rPr>
              <w:t>63,647</w:t>
            </w:r>
          </w:p>
        </w:tc>
        <w:tc>
          <w:tcPr>
            <w:tcW w:w="94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62,392</w:t>
            </w:r>
          </w:p>
        </w:tc>
        <w:tc>
          <w:tcPr>
            <w:tcW w:w="940" w:type="dxa"/>
            <w:vAlign w:val="bottom"/>
            <w:tcBorders>
              <w:bottom w:val="single" w:sz="8" w:color="auto"/>
            </w:tcBorders>
          </w:tcPr>
          <w:p>
            <w:pPr>
              <w:jc w:val="center"/>
              <w:ind w:right="26"/>
              <w:spacing w:after="0" w:line="122" w:lineRule="exact"/>
              <w:rPr>
                <w:sz w:val="20"/>
                <w:szCs w:val="20"/>
                <w:color w:val="auto"/>
              </w:rPr>
            </w:pPr>
            <w:r>
              <w:rPr>
                <w:rFonts w:ascii="Arial" w:cs="Arial" w:eastAsia="Arial" w:hAnsi="Arial"/>
                <w:sz w:val="11"/>
                <w:szCs w:val="11"/>
                <w:b w:val="1"/>
                <w:bCs w:val="1"/>
                <w:color w:val="auto"/>
              </w:rPr>
              <w:t>82,540</w:t>
            </w:r>
          </w:p>
        </w:tc>
        <w:tc>
          <w:tcPr>
            <w:tcW w:w="92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32.3%</w:t>
            </w:r>
          </w:p>
        </w:tc>
        <w:tc>
          <w:tcPr>
            <w:tcW w:w="940" w:type="dxa"/>
            <w:vAlign w:val="bottom"/>
            <w:tcBorders>
              <w:bottom w:val="single" w:sz="8" w:color="auto"/>
            </w:tcBorders>
          </w:tcPr>
          <w:p>
            <w:pPr>
              <w:jc w:val="right"/>
              <w:ind w:right="266"/>
              <w:spacing w:after="0" w:line="122" w:lineRule="exact"/>
              <w:rPr>
                <w:sz w:val="20"/>
                <w:szCs w:val="20"/>
                <w:color w:val="auto"/>
              </w:rPr>
            </w:pPr>
            <w:r>
              <w:rPr>
                <w:rFonts w:ascii="Arial" w:cs="Arial" w:eastAsia="Arial" w:hAnsi="Arial"/>
                <w:sz w:val="11"/>
                <w:szCs w:val="11"/>
                <w:b w:val="1"/>
                <w:bCs w:val="1"/>
                <w:color w:val="auto"/>
              </w:rPr>
              <w:t>29.7%</w:t>
            </w:r>
          </w:p>
        </w:tc>
        <w:tc>
          <w:tcPr>
            <w:tcW w:w="98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211,805</w:t>
            </w:r>
          </w:p>
        </w:tc>
        <w:tc>
          <w:tcPr>
            <w:tcW w:w="98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5"/>
              </w:rPr>
              <w:t>218,225</w:t>
            </w:r>
          </w:p>
        </w:tc>
        <w:tc>
          <w:tcPr>
            <w:tcW w:w="92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5"/>
              </w:rPr>
              <w:t>3.0%</w:t>
            </w:r>
          </w:p>
        </w:tc>
      </w:tr>
      <w:tr>
        <w:trPr>
          <w:trHeight w:val="124"/>
        </w:trPr>
        <w:tc>
          <w:tcPr>
            <w:tcW w:w="2200" w:type="dxa"/>
            <w:vAlign w:val="bottom"/>
          </w:tcPr>
          <w:p>
            <w:pPr>
              <w:ind w:left="20"/>
              <w:spacing w:after="0" w:line="124" w:lineRule="exact"/>
              <w:rPr>
                <w:sz w:val="20"/>
                <w:szCs w:val="20"/>
                <w:color w:val="auto"/>
              </w:rPr>
            </w:pPr>
            <w:r>
              <w:rPr>
                <w:rFonts w:ascii="Arial" w:cs="Arial" w:eastAsia="Arial" w:hAnsi="Arial"/>
                <w:sz w:val="11"/>
                <w:szCs w:val="11"/>
                <w:color w:val="auto"/>
              </w:rPr>
              <w:t>Income taxes</w:t>
            </w:r>
          </w:p>
        </w:tc>
        <w:tc>
          <w:tcPr>
            <w:tcW w:w="1740" w:type="dxa"/>
            <w:vAlign w:val="bottom"/>
          </w:tcPr>
          <w:p>
            <w:pPr>
              <w:jc w:val="right"/>
              <w:ind w:right="206"/>
              <w:spacing w:after="0" w:line="124" w:lineRule="exact"/>
              <w:rPr>
                <w:sz w:val="20"/>
                <w:szCs w:val="20"/>
                <w:color w:val="auto"/>
              </w:rPr>
            </w:pPr>
            <w:r>
              <w:rPr>
                <w:rFonts w:ascii="Arial" w:cs="Arial" w:eastAsia="Arial" w:hAnsi="Arial"/>
                <w:sz w:val="11"/>
                <w:szCs w:val="11"/>
                <w:color w:val="auto"/>
              </w:rPr>
              <w:t>(11,053)</w:t>
            </w:r>
          </w:p>
        </w:tc>
        <w:tc>
          <w:tcPr>
            <w:tcW w:w="940" w:type="dxa"/>
            <w:vAlign w:val="bottom"/>
          </w:tcPr>
          <w:p>
            <w:pPr>
              <w:jc w:val="right"/>
              <w:ind w:right="226"/>
              <w:spacing w:after="0" w:line="124" w:lineRule="exact"/>
              <w:rPr>
                <w:sz w:val="20"/>
                <w:szCs w:val="20"/>
                <w:color w:val="auto"/>
              </w:rPr>
            </w:pPr>
            <w:r>
              <w:rPr>
                <w:rFonts w:ascii="Arial" w:cs="Arial" w:eastAsia="Arial" w:hAnsi="Arial"/>
                <w:sz w:val="11"/>
                <w:szCs w:val="11"/>
                <w:color w:val="auto"/>
              </w:rPr>
              <w:t>(11,686)</w:t>
            </w:r>
          </w:p>
        </w:tc>
        <w:tc>
          <w:tcPr>
            <w:tcW w:w="940" w:type="dxa"/>
            <w:vAlign w:val="bottom"/>
          </w:tcPr>
          <w:p>
            <w:pPr>
              <w:jc w:val="right"/>
              <w:ind w:right="226"/>
              <w:spacing w:after="0" w:line="124" w:lineRule="exact"/>
              <w:rPr>
                <w:sz w:val="20"/>
                <w:szCs w:val="20"/>
                <w:color w:val="auto"/>
              </w:rPr>
            </w:pPr>
            <w:r>
              <w:rPr>
                <w:rFonts w:ascii="Arial" w:cs="Arial" w:eastAsia="Arial" w:hAnsi="Arial"/>
                <w:sz w:val="11"/>
                <w:szCs w:val="11"/>
                <w:color w:val="auto"/>
              </w:rPr>
              <w:t>(21,056)</w:t>
            </w:r>
          </w:p>
        </w:tc>
        <w:tc>
          <w:tcPr>
            <w:tcW w:w="920" w:type="dxa"/>
            <w:vAlign w:val="bottom"/>
          </w:tcPr>
          <w:p>
            <w:pPr>
              <w:jc w:val="center"/>
              <w:spacing w:after="0" w:line="124" w:lineRule="exact"/>
              <w:rPr>
                <w:sz w:val="20"/>
                <w:szCs w:val="20"/>
                <w:color w:val="auto"/>
              </w:rPr>
            </w:pPr>
            <w:r>
              <w:rPr>
                <w:rFonts w:ascii="Arial" w:cs="Arial" w:eastAsia="Arial" w:hAnsi="Arial"/>
                <w:sz w:val="11"/>
                <w:szCs w:val="11"/>
                <w:color w:val="auto"/>
              </w:rPr>
              <w:t>80.2%</w:t>
            </w:r>
          </w:p>
        </w:tc>
        <w:tc>
          <w:tcPr>
            <w:tcW w:w="940" w:type="dxa"/>
            <w:vAlign w:val="bottom"/>
          </w:tcPr>
          <w:p>
            <w:pPr>
              <w:jc w:val="right"/>
              <w:ind w:right="266"/>
              <w:spacing w:after="0" w:line="124" w:lineRule="exact"/>
              <w:rPr>
                <w:sz w:val="20"/>
                <w:szCs w:val="20"/>
                <w:color w:val="auto"/>
              </w:rPr>
            </w:pPr>
            <w:r>
              <w:rPr>
                <w:rFonts w:ascii="Arial" w:cs="Arial" w:eastAsia="Arial" w:hAnsi="Arial"/>
                <w:sz w:val="11"/>
                <w:szCs w:val="11"/>
                <w:color w:val="auto"/>
              </w:rPr>
              <w:t>90.5%</w:t>
            </w:r>
          </w:p>
        </w:tc>
        <w:tc>
          <w:tcPr>
            <w:tcW w:w="980" w:type="dxa"/>
            <w:vAlign w:val="bottom"/>
          </w:tcPr>
          <w:p>
            <w:pPr>
              <w:jc w:val="right"/>
              <w:ind w:right="206"/>
              <w:spacing w:after="0" w:line="124" w:lineRule="exact"/>
              <w:rPr>
                <w:sz w:val="20"/>
                <w:szCs w:val="20"/>
                <w:color w:val="auto"/>
              </w:rPr>
            </w:pPr>
            <w:r>
              <w:rPr>
                <w:rFonts w:ascii="Arial" w:cs="Arial" w:eastAsia="Arial" w:hAnsi="Arial"/>
                <w:sz w:val="11"/>
                <w:szCs w:val="11"/>
                <w:color w:val="auto"/>
              </w:rPr>
              <w:t>(45,938)</w:t>
            </w:r>
          </w:p>
        </w:tc>
        <w:tc>
          <w:tcPr>
            <w:tcW w:w="980" w:type="dxa"/>
            <w:vAlign w:val="bottom"/>
          </w:tcPr>
          <w:p>
            <w:pPr>
              <w:jc w:val="right"/>
              <w:ind w:right="246"/>
              <w:spacing w:after="0" w:line="124" w:lineRule="exact"/>
              <w:rPr>
                <w:sz w:val="20"/>
                <w:szCs w:val="20"/>
                <w:color w:val="auto"/>
              </w:rPr>
            </w:pPr>
            <w:r>
              <w:rPr>
                <w:rFonts w:ascii="Arial" w:cs="Arial" w:eastAsia="Arial" w:hAnsi="Arial"/>
                <w:sz w:val="11"/>
                <w:szCs w:val="11"/>
                <w:color w:val="auto"/>
              </w:rPr>
              <w:t>(43,840)</w:t>
            </w:r>
          </w:p>
        </w:tc>
        <w:tc>
          <w:tcPr>
            <w:tcW w:w="920" w:type="dxa"/>
            <w:vAlign w:val="bottom"/>
          </w:tcPr>
          <w:p>
            <w:pPr>
              <w:jc w:val="center"/>
              <w:spacing w:after="0" w:line="124" w:lineRule="exact"/>
              <w:rPr>
                <w:sz w:val="20"/>
                <w:szCs w:val="20"/>
                <w:color w:val="auto"/>
              </w:rPr>
            </w:pPr>
            <w:r>
              <w:rPr>
                <w:rFonts w:ascii="Arial" w:cs="Arial" w:eastAsia="Arial" w:hAnsi="Arial"/>
                <w:sz w:val="11"/>
                <w:szCs w:val="11"/>
                <w:color w:val="auto"/>
                <w:w w:val="97"/>
              </w:rPr>
              <w:t>-4.6%</w:t>
            </w:r>
          </w:p>
        </w:tc>
      </w:tr>
      <w:tr>
        <w:trPr>
          <w:trHeight w:val="132"/>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Non-controlling interest</w:t>
            </w:r>
          </w:p>
        </w:tc>
        <w:tc>
          <w:tcPr>
            <w:tcW w:w="1740" w:type="dxa"/>
            <w:vAlign w:val="bottom"/>
            <w:tcBorders>
              <w:bottom w:val="single" w:sz="8" w:color="auto"/>
            </w:tcBorders>
          </w:tcPr>
          <w:p>
            <w:pPr>
              <w:jc w:val="center"/>
              <w:ind w:left="726"/>
              <w:spacing w:after="0"/>
              <w:rPr>
                <w:sz w:val="20"/>
                <w:szCs w:val="20"/>
                <w:color w:val="auto"/>
              </w:rPr>
            </w:pPr>
            <w:r>
              <w:rPr>
                <w:rFonts w:ascii="Arial" w:cs="Arial" w:eastAsia="Arial" w:hAnsi="Arial"/>
                <w:sz w:val="11"/>
                <w:szCs w:val="11"/>
                <w:color w:val="auto"/>
                <w:w w:val="97"/>
              </w:rPr>
              <w:t>86</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167</w:t>
            </w:r>
          </w:p>
        </w:tc>
        <w:tc>
          <w:tcPr>
            <w:tcW w:w="9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color w:val="auto"/>
                <w:w w:val="97"/>
              </w:rPr>
              <w:t>142</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-15.0%</w:t>
            </w:r>
          </w:p>
        </w:tc>
        <w:tc>
          <w:tcPr>
            <w:tcW w:w="94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color w:val="auto"/>
              </w:rPr>
              <w:t>65.1%</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236</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461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95.3%</w:t>
            </w:r>
          </w:p>
        </w:tc>
      </w:tr>
      <w:tr>
        <w:trPr>
          <w:trHeight w:val="140"/>
        </w:trPr>
        <w:tc>
          <w:tcPr>
            <w:tcW w:w="2200" w:type="dxa"/>
            <w:vAlign w:val="bottom"/>
          </w:tcPr>
          <w:p>
            <w:pPr>
              <w:ind w:left="20"/>
              <w:spacing w:after="0"/>
              <w:rPr>
                <w:sz w:val="20"/>
                <w:szCs w:val="20"/>
                <w:color w:val="auto"/>
              </w:rPr>
            </w:pPr>
            <w:r>
              <w:rPr>
                <w:rFonts w:ascii="Arial" w:cs="Arial" w:eastAsia="Arial" w:hAnsi="Arial"/>
                <w:sz w:val="11"/>
                <w:szCs w:val="11"/>
                <w:b w:val="1"/>
                <w:bCs w:val="1"/>
                <w:color w:val="auto"/>
              </w:rPr>
              <w:t>Net income</w:t>
            </w:r>
          </w:p>
        </w:tc>
        <w:tc>
          <w:tcPr>
            <w:tcW w:w="1740" w:type="dxa"/>
            <w:vAlign w:val="bottom"/>
          </w:tcPr>
          <w:p>
            <w:pPr>
              <w:jc w:val="center"/>
              <w:ind w:left="726"/>
              <w:spacing w:after="0"/>
              <w:rPr>
                <w:sz w:val="20"/>
                <w:szCs w:val="20"/>
                <w:color w:val="auto"/>
              </w:rPr>
            </w:pPr>
            <w:r>
              <w:rPr>
                <w:rFonts w:ascii="Arial" w:cs="Arial" w:eastAsia="Arial" w:hAnsi="Arial"/>
                <w:sz w:val="11"/>
                <w:szCs w:val="11"/>
                <w:b w:val="1"/>
                <w:bCs w:val="1"/>
                <w:color w:val="auto"/>
                <w:w w:val="94"/>
              </w:rPr>
              <w:t>52,508</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50,539</w:t>
            </w:r>
          </w:p>
        </w:tc>
        <w:tc>
          <w:tcPr>
            <w:tcW w:w="940" w:type="dxa"/>
            <w:vAlign w:val="bottom"/>
          </w:tcPr>
          <w:p>
            <w:pPr>
              <w:jc w:val="center"/>
              <w:ind w:right="26"/>
              <w:spacing w:after="0"/>
              <w:rPr>
                <w:sz w:val="20"/>
                <w:szCs w:val="20"/>
                <w:color w:val="auto"/>
              </w:rPr>
            </w:pPr>
            <w:r>
              <w:rPr>
                <w:rFonts w:ascii="Arial" w:cs="Arial" w:eastAsia="Arial" w:hAnsi="Arial"/>
                <w:sz w:val="11"/>
                <w:szCs w:val="11"/>
                <w:b w:val="1"/>
                <w:bCs w:val="1"/>
                <w:color w:val="auto"/>
              </w:rPr>
              <w:t>61,342</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rPr>
              <w:t>21.4%</w:t>
            </w:r>
          </w:p>
        </w:tc>
        <w:tc>
          <w:tcPr>
            <w:tcW w:w="940" w:type="dxa"/>
            <w:vAlign w:val="bottom"/>
          </w:tcPr>
          <w:p>
            <w:pPr>
              <w:jc w:val="right"/>
              <w:ind w:right="266"/>
              <w:spacing w:after="0"/>
              <w:rPr>
                <w:sz w:val="20"/>
                <w:szCs w:val="20"/>
                <w:color w:val="auto"/>
              </w:rPr>
            </w:pPr>
            <w:r>
              <w:rPr>
                <w:rFonts w:ascii="Arial" w:cs="Arial" w:eastAsia="Arial" w:hAnsi="Arial"/>
                <w:sz w:val="11"/>
                <w:szCs w:val="11"/>
                <w:b w:val="1"/>
                <w:bCs w:val="1"/>
                <w:color w:val="auto"/>
              </w:rPr>
              <w:t>16.8%</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165,631</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5"/>
              </w:rPr>
              <w:t>173,924</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5"/>
              </w:rPr>
              <w:t>5.0%</w:t>
            </w:r>
          </w:p>
        </w:tc>
      </w:tr>
    </w:tbl>
    <w:p>
      <w:pPr>
        <w:spacing w:after="0" w:line="176"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*Includes ASB and Credicorp Capital. Does not include Wealth Management at BCP.</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(1) Includes: Salaries and employee’s benefits + Administrative expenses + Assigned expenses + Depreciation and amortization + Tax and contributions +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698500</wp:posOffset>
            </wp:positionV>
            <wp:extent cx="6707505"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111760</wp:posOffset>
            </wp:positionV>
            <wp:extent cx="6402705" cy="4953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402705" cy="495300"/>
                    </a:xfrm>
                    <a:prstGeom prst="rect">
                      <a:avLst/>
                    </a:prstGeom>
                    <a:noFill/>
                  </pic:spPr>
                </pic:pic>
              </a:graphicData>
            </a:graphic>
          </wp:anchor>
        </w:drawing>
      </w:r>
    </w:p>
    <w:p>
      <w:pPr>
        <w:sectPr>
          <w:pgSz w:w="11900" w:h="16840" w:orient="portrait"/>
          <w:cols w:equalWidth="0" w:num="1">
            <w:col w:w="10560"/>
          </w:cols>
          <w:pgMar w:left="660" w:top="931" w:right="680" w:bottom="1440" w:gutter="0" w:footer="0" w:header="0"/>
        </w:sectPr>
      </w:pPr>
    </w:p>
    <w:bookmarkStart w:id="71" w:name="page72"/>
    <w:bookmarkEnd w:id="71"/>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12.8.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6707505" cy="62198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07505" cy="6219825"/>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FFFFFF"/>
        </w:rPr>
        <w:t xml:space="preserve">Table of calculations </w:t>
      </w:r>
      <w:r>
        <w:rPr>
          <w:rFonts w:ascii="Arial" w:cs="Arial" w:eastAsia="Arial" w:hAnsi="Arial"/>
          <w:sz w:val="21"/>
          <w:szCs w:val="21"/>
          <w:color w:val="FFFFFF"/>
          <w:vertAlign w:val="superscript"/>
        </w:rPr>
        <w:t>(1)</w:t>
      </w:r>
    </w:p>
    <w:tbl>
      <w:tblPr>
        <w:tblLayout w:type="fixed"/>
        <w:tblInd w:w="0" w:type="dxa"/>
        <w:tblCellMar>
          <w:top w:w="0" w:type="dxa"/>
          <w:left w:w="0" w:type="dxa"/>
          <w:bottom w:w="0" w:type="dxa"/>
          <w:right w:w="0" w:type="dxa"/>
        </w:tblCellMar>
      </w:tblPr>
      <w:tr>
        <w:trPr>
          <w:trHeight w:val="185"/>
        </w:trPr>
        <w:tc>
          <w:tcPr>
            <w:tcW w:w="1140" w:type="dxa"/>
            <w:vAlign w:val="bottom"/>
            <w:tcBorders>
              <w:top w:val="single" w:sz="8" w:color="auto"/>
              <w:right w:val="single" w:sz="8" w:color="auto"/>
            </w:tcBorders>
          </w:tcPr>
          <w:p>
            <w:pPr>
              <w:spacing w:after="0"/>
              <w:rPr>
                <w:sz w:val="16"/>
                <w:szCs w:val="16"/>
                <w:color w:val="auto"/>
              </w:rPr>
            </w:pPr>
          </w:p>
        </w:tc>
        <w:tc>
          <w:tcPr>
            <w:tcW w:w="224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Interest earning assets</w:t>
            </w: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020" w:type="dxa"/>
            <w:vAlign w:val="bottom"/>
            <w:tcBorders>
              <w:top w:val="single" w:sz="8" w:color="auto"/>
            </w:tcBorders>
            <w:gridSpan w:val="21"/>
          </w:tcPr>
          <w:p>
            <w:pPr>
              <w:jc w:val="center"/>
              <w:ind w:right="2160"/>
              <w:spacing w:after="0"/>
              <w:rPr>
                <w:sz w:val="20"/>
                <w:szCs w:val="20"/>
                <w:color w:val="auto"/>
              </w:rPr>
            </w:pPr>
            <w:r>
              <w:rPr>
                <w:rFonts w:ascii="Arial" w:cs="Arial" w:eastAsia="Arial" w:hAnsi="Arial"/>
                <w:sz w:val="13"/>
                <w:szCs w:val="13"/>
                <w:color w:val="auto"/>
              </w:rPr>
              <w:t>Cash and due from banks+Total investments</w:t>
            </w:r>
          </w:p>
        </w:tc>
        <w:tc>
          <w:tcPr>
            <w:tcW w:w="0" w:type="dxa"/>
            <w:vAlign w:val="bottom"/>
          </w:tcPr>
          <w:p>
            <w:pPr>
              <w:spacing w:after="0"/>
              <w:rPr>
                <w:sz w:val="1"/>
                <w:szCs w:val="1"/>
                <w:color w:val="auto"/>
              </w:rPr>
            </w:pPr>
          </w:p>
        </w:tc>
      </w:tr>
      <w:tr>
        <w:trPr>
          <w:trHeight w:val="95"/>
        </w:trPr>
        <w:tc>
          <w:tcPr>
            <w:tcW w:w="114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80" w:type="dxa"/>
            <w:vAlign w:val="bottom"/>
            <w:gridSpan w:val="25"/>
            <w:vMerge w:val="restart"/>
          </w:tcPr>
          <w:p>
            <w:pPr>
              <w:jc w:val="center"/>
              <w:ind w:right="1100"/>
              <w:spacing w:after="0"/>
              <w:rPr>
                <w:sz w:val="20"/>
                <w:szCs w:val="20"/>
                <w:color w:val="auto"/>
              </w:rPr>
            </w:pPr>
            <w:r>
              <w:rPr>
                <w:rFonts w:ascii="Arial" w:cs="Arial" w:eastAsia="Arial" w:hAnsi="Arial"/>
                <w:sz w:val="13"/>
                <w:szCs w:val="13"/>
                <w:color w:val="auto"/>
              </w:rPr>
              <w:t>+Cash collateral, reverse repurchase agreements and securities borrowing+Loans</w:t>
            </w:r>
          </w:p>
        </w:tc>
        <w:tc>
          <w:tcPr>
            <w:tcW w:w="0" w:type="dxa"/>
            <w:vAlign w:val="bottom"/>
          </w:tcPr>
          <w:p>
            <w:pPr>
              <w:spacing w:after="0"/>
              <w:rPr>
                <w:sz w:val="1"/>
                <w:szCs w:val="1"/>
                <w:color w:val="auto"/>
              </w:rPr>
            </w:pPr>
          </w:p>
        </w:tc>
      </w:tr>
      <w:tr>
        <w:trPr>
          <w:trHeight w:val="78"/>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8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Funding</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80" w:type="dxa"/>
            <w:vAlign w:val="bottom"/>
            <w:gridSpan w:val="25"/>
          </w:tcPr>
          <w:p>
            <w:pPr>
              <w:jc w:val="center"/>
              <w:ind w:right="1100"/>
              <w:spacing w:after="0"/>
              <w:rPr>
                <w:sz w:val="20"/>
                <w:szCs w:val="20"/>
                <w:color w:val="auto"/>
              </w:rPr>
            </w:pPr>
            <w:r>
              <w:rPr>
                <w:rFonts w:ascii="Arial" w:cs="Arial" w:eastAsia="Arial" w:hAnsi="Arial"/>
                <w:sz w:val="13"/>
                <w:szCs w:val="13"/>
                <w:color w:val="auto"/>
              </w:rPr>
              <w:t>Deposits and obligations+Due to banks and correspondents+BCRP instruments</w:t>
            </w:r>
          </w:p>
        </w:tc>
        <w:tc>
          <w:tcPr>
            <w:tcW w:w="0" w:type="dxa"/>
            <w:vAlign w:val="bottom"/>
          </w:tcPr>
          <w:p>
            <w:pPr>
              <w:spacing w:after="0"/>
              <w:rPr>
                <w:sz w:val="1"/>
                <w:szCs w:val="1"/>
                <w:color w:val="auto"/>
              </w:rPr>
            </w:pPr>
          </w:p>
        </w:tc>
      </w:tr>
      <w:tr>
        <w:trPr>
          <w:trHeight w:val="95"/>
        </w:trPr>
        <w:tc>
          <w:tcPr>
            <w:tcW w:w="114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80" w:type="dxa"/>
            <w:vAlign w:val="bottom"/>
            <w:gridSpan w:val="25"/>
            <w:vMerge w:val="restart"/>
          </w:tcPr>
          <w:p>
            <w:pPr>
              <w:jc w:val="center"/>
              <w:ind w:right="1100"/>
              <w:spacing w:after="0"/>
              <w:rPr>
                <w:sz w:val="20"/>
                <w:szCs w:val="20"/>
                <w:color w:val="auto"/>
              </w:rPr>
            </w:pPr>
            <w:r>
              <w:rPr>
                <w:rFonts w:ascii="Arial" w:cs="Arial" w:eastAsia="Arial" w:hAnsi="Arial"/>
                <w:sz w:val="13"/>
                <w:szCs w:val="13"/>
                <w:color w:val="auto"/>
              </w:rPr>
              <w:t>+Repurchase agreements with clients and third parties+Bonds and notes issued</w:t>
            </w:r>
          </w:p>
        </w:tc>
        <w:tc>
          <w:tcPr>
            <w:tcW w:w="0" w:type="dxa"/>
            <w:vAlign w:val="bottom"/>
          </w:tcPr>
          <w:p>
            <w:pPr>
              <w:spacing w:after="0"/>
              <w:rPr>
                <w:sz w:val="1"/>
                <w:szCs w:val="1"/>
                <w:color w:val="auto"/>
              </w:rPr>
            </w:pPr>
          </w:p>
        </w:tc>
      </w:tr>
      <w:tr>
        <w:trPr>
          <w:trHeight w:val="78"/>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8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Net Interest Margin (NIM)</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gridSpan w:val="22"/>
          </w:tcPr>
          <w:p>
            <w:pPr>
              <w:jc w:val="center"/>
              <w:ind w:right="1640"/>
              <w:spacing w:after="0"/>
              <w:rPr>
                <w:sz w:val="20"/>
                <w:szCs w:val="20"/>
                <w:color w:val="auto"/>
              </w:rPr>
            </w:pPr>
            <w:r>
              <w:rPr>
                <w:rFonts w:ascii="Arial" w:cs="Arial" w:eastAsia="Arial" w:hAnsi="Arial"/>
                <w:sz w:val="13"/>
                <w:szCs w:val="13"/>
                <w:color w:val="auto"/>
              </w:rPr>
              <w:t>Net Interest Income (excluding Net Insurance Financial Expenses)</w:t>
            </w:r>
          </w:p>
        </w:tc>
        <w:tc>
          <w:tcPr>
            <w:tcW w:w="0" w:type="dxa"/>
            <w:vAlign w:val="bottom"/>
          </w:tcPr>
          <w:p>
            <w:pPr>
              <w:spacing w:after="0"/>
              <w:rPr>
                <w:sz w:val="1"/>
                <w:szCs w:val="1"/>
                <w:color w:val="auto"/>
              </w:rPr>
            </w:pPr>
          </w:p>
        </w:tc>
      </w:tr>
      <w:tr>
        <w:trPr>
          <w:trHeight w:val="88"/>
        </w:trPr>
        <w:tc>
          <w:tcPr>
            <w:tcW w:w="114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200" w:type="dxa"/>
            <w:vAlign w:val="bottom"/>
            <w:tcBorders>
              <w:top w:val="single" w:sz="8" w:color="auto"/>
            </w:tcBorders>
            <w:gridSpan w:val="13"/>
            <w:vMerge w:val="restart"/>
          </w:tcPr>
          <w:p>
            <w:pPr>
              <w:jc w:val="center"/>
              <w:ind w:right="700"/>
              <w:spacing w:after="0"/>
              <w:rPr>
                <w:sz w:val="20"/>
                <w:szCs w:val="20"/>
                <w:color w:val="auto"/>
              </w:rPr>
            </w:pPr>
            <w:r>
              <w:rPr>
                <w:rFonts w:ascii="Arial" w:cs="Arial" w:eastAsia="Arial" w:hAnsi="Arial"/>
                <w:sz w:val="13"/>
                <w:szCs w:val="13"/>
                <w:color w:val="auto"/>
              </w:rPr>
              <w:t>Average Interest Earning Assets</w:t>
            </w:r>
          </w:p>
        </w:tc>
        <w:tc>
          <w:tcPr>
            <w:tcW w:w="1640" w:type="dxa"/>
            <w:vAlign w:val="bottom"/>
            <w:gridSpan w:val="7"/>
            <w:vMerge w:val="restart"/>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0" w:type="dxa"/>
            <w:vAlign w:val="bottom"/>
            <w:gridSpan w:val="13"/>
            <w:vMerge w:val="continue"/>
          </w:tcPr>
          <w:p>
            <w:pPr>
              <w:spacing w:after="0"/>
              <w:rPr>
                <w:sz w:val="6"/>
                <w:szCs w:val="6"/>
                <w:color w:val="auto"/>
              </w:rPr>
            </w:pPr>
          </w:p>
        </w:tc>
        <w:tc>
          <w:tcPr>
            <w:tcW w:w="16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Risk-adjusted Net Interest Margin</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940" w:type="dxa"/>
            <w:vAlign w:val="bottom"/>
            <w:tcBorders>
              <w:bottom w:val="single" w:sz="8" w:color="auto"/>
            </w:tcBorders>
            <w:gridSpan w:val="25"/>
          </w:tcPr>
          <w:p>
            <w:pPr>
              <w:jc w:val="center"/>
              <w:spacing w:after="0"/>
              <w:rPr>
                <w:sz w:val="20"/>
                <w:szCs w:val="20"/>
                <w:color w:val="auto"/>
              </w:rPr>
            </w:pPr>
            <w:r>
              <w:rPr>
                <w:rFonts w:ascii="Arial" w:cs="Arial" w:eastAsia="Arial" w:hAnsi="Arial"/>
                <w:sz w:val="13"/>
                <w:szCs w:val="13"/>
                <w:color w:val="auto"/>
              </w:rPr>
              <w:t>Annualized Net Interest Income (excluding Net Insurance Financial Expenses)-Annualized Provisions)</w:t>
            </w:r>
          </w:p>
        </w:tc>
        <w:tc>
          <w:tcPr>
            <w:tcW w:w="6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(Risk-adjusted NIM)</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gridSpan w:val="22"/>
          </w:tcPr>
          <w:p>
            <w:pPr>
              <w:jc w:val="center"/>
              <w:ind w:right="1640"/>
              <w:spacing w:after="0"/>
              <w:rPr>
                <w:sz w:val="20"/>
                <w:szCs w:val="20"/>
                <w:color w:val="auto"/>
              </w:rPr>
            </w:pPr>
            <w:r>
              <w:rPr>
                <w:rFonts w:ascii="Arial" w:cs="Arial" w:eastAsia="Arial" w:hAnsi="Arial"/>
                <w:sz w:val="13"/>
                <w:szCs w:val="13"/>
                <w:color w:val="auto"/>
              </w:rPr>
              <w:t>Average period end and period beginning interest earning assets</w:t>
            </w:r>
          </w:p>
        </w:tc>
        <w:tc>
          <w:tcPr>
            <w:tcW w:w="0" w:type="dxa"/>
            <w:vAlign w:val="bottom"/>
          </w:tcPr>
          <w:p>
            <w:pPr>
              <w:spacing w:after="0"/>
              <w:rPr>
                <w:sz w:val="1"/>
                <w:szCs w:val="1"/>
                <w:color w:val="auto"/>
              </w:rPr>
            </w:pPr>
          </w:p>
        </w:tc>
      </w:tr>
      <w:tr>
        <w:trPr>
          <w:trHeight w:val="36"/>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Funding cost</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40" w:type="dxa"/>
            <w:vAlign w:val="bottom"/>
            <w:tcBorders>
              <w:bottom w:val="single" w:sz="8" w:color="auto"/>
            </w:tcBorders>
            <w:gridSpan w:val="17"/>
          </w:tcPr>
          <w:p>
            <w:pPr>
              <w:jc w:val="center"/>
              <w:spacing w:after="0"/>
              <w:rPr>
                <w:sz w:val="20"/>
                <w:szCs w:val="20"/>
                <w:color w:val="auto"/>
              </w:rPr>
            </w:pPr>
            <w:r>
              <w:rPr>
                <w:rFonts w:ascii="Arial" w:cs="Arial" w:eastAsia="Arial" w:hAnsi="Arial"/>
                <w:sz w:val="13"/>
                <w:szCs w:val="13"/>
                <w:color w:val="auto"/>
              </w:rPr>
              <w:t>Interest Expense (Does not Include Net Insurance Financial Expenses)</w:t>
            </w:r>
          </w:p>
        </w:tc>
        <w:tc>
          <w:tcPr>
            <w:tcW w:w="15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4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100" w:type="dxa"/>
            <w:vAlign w:val="bottom"/>
            <w:gridSpan w:val="17"/>
            <w:vMerge w:val="restart"/>
          </w:tcPr>
          <w:p>
            <w:pPr>
              <w:jc w:val="center"/>
              <w:ind w:right="3100"/>
              <w:spacing w:after="0"/>
              <w:rPr>
                <w:sz w:val="20"/>
                <w:szCs w:val="20"/>
                <w:color w:val="auto"/>
              </w:rPr>
            </w:pPr>
            <w:r>
              <w:rPr>
                <w:rFonts w:ascii="Arial" w:cs="Arial" w:eastAsia="Arial" w:hAnsi="Arial"/>
                <w:sz w:val="13"/>
                <w:szCs w:val="13"/>
                <w:color w:val="auto"/>
              </w:rPr>
              <w:t>Average Funding</w:t>
            </w:r>
          </w:p>
        </w:tc>
        <w:tc>
          <w:tcPr>
            <w:tcW w:w="0" w:type="dxa"/>
            <w:vAlign w:val="bottom"/>
          </w:tcPr>
          <w:p>
            <w:pPr>
              <w:spacing w:after="0"/>
              <w:rPr>
                <w:sz w:val="1"/>
                <w:szCs w:val="1"/>
                <w:color w:val="auto"/>
              </w:rPr>
            </w:pPr>
          </w:p>
        </w:tc>
      </w:tr>
      <w:tr>
        <w:trPr>
          <w:trHeight w:val="78"/>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10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1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Core income</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25"/>
          </w:tcPr>
          <w:p>
            <w:pPr>
              <w:jc w:val="center"/>
              <w:ind w:right="1100"/>
              <w:spacing w:after="0"/>
              <w:rPr>
                <w:sz w:val="20"/>
                <w:szCs w:val="20"/>
                <w:color w:val="auto"/>
              </w:rPr>
            </w:pPr>
            <w:r>
              <w:rPr>
                <w:rFonts w:ascii="Arial" w:cs="Arial" w:eastAsia="Arial" w:hAnsi="Arial"/>
                <w:sz w:val="13"/>
                <w:szCs w:val="13"/>
                <w:color w:val="auto"/>
              </w:rPr>
              <w:t>Net Interest Income+Fee Income+Net Gain on Foreign exchange transactions</w:t>
            </w:r>
          </w:p>
        </w:tc>
        <w:tc>
          <w:tcPr>
            <w:tcW w:w="0" w:type="dxa"/>
            <w:vAlign w:val="bottom"/>
          </w:tcPr>
          <w:p>
            <w:pPr>
              <w:spacing w:after="0"/>
              <w:rPr>
                <w:sz w:val="1"/>
                <w:szCs w:val="1"/>
                <w:color w:val="auto"/>
              </w:rPr>
            </w:pPr>
          </w:p>
        </w:tc>
      </w:tr>
      <w:tr>
        <w:trPr>
          <w:trHeight w:val="36"/>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1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Other core income</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gridSpan w:val="22"/>
          </w:tcPr>
          <w:p>
            <w:pPr>
              <w:jc w:val="center"/>
              <w:ind w:right="1640"/>
              <w:spacing w:after="0"/>
              <w:rPr>
                <w:sz w:val="20"/>
                <w:szCs w:val="20"/>
                <w:color w:val="auto"/>
              </w:rPr>
            </w:pPr>
            <w:r>
              <w:rPr>
                <w:rFonts w:ascii="Arial" w:cs="Arial" w:eastAsia="Arial" w:hAnsi="Arial"/>
                <w:sz w:val="13"/>
                <w:szCs w:val="13"/>
                <w:color w:val="auto"/>
              </w:rPr>
              <w:t>Fee Income+Net Gain on Foreign exchange transactions</w:t>
            </w:r>
          </w:p>
        </w:tc>
        <w:tc>
          <w:tcPr>
            <w:tcW w:w="0" w:type="dxa"/>
            <w:vAlign w:val="bottom"/>
          </w:tcPr>
          <w:p>
            <w:pPr>
              <w:spacing w:after="0"/>
              <w:rPr>
                <w:sz w:val="1"/>
                <w:szCs w:val="1"/>
                <w:color w:val="auto"/>
              </w:rPr>
            </w:pPr>
          </w:p>
        </w:tc>
      </w:tr>
      <w:tr>
        <w:trPr>
          <w:trHeight w:val="36"/>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Other non-core income</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540" w:type="dxa"/>
            <w:vAlign w:val="bottom"/>
            <w:gridSpan w:val="26"/>
          </w:tcPr>
          <w:p>
            <w:pPr>
              <w:jc w:val="center"/>
              <w:ind w:right="640"/>
              <w:spacing w:after="0"/>
              <w:rPr>
                <w:sz w:val="20"/>
                <w:szCs w:val="20"/>
                <w:color w:val="auto"/>
              </w:rPr>
            </w:pPr>
            <w:r>
              <w:rPr>
                <w:rFonts w:ascii="Arial" w:cs="Arial" w:eastAsia="Arial" w:hAnsi="Arial"/>
                <w:sz w:val="13"/>
                <w:szCs w:val="13"/>
                <w:color w:val="auto"/>
              </w:rPr>
              <w:t>Net Gain Securities+Net Gain from associates+Net Gain of derivatives held for trading</w:t>
            </w:r>
          </w:p>
        </w:tc>
        <w:tc>
          <w:tcPr>
            <w:tcW w:w="0" w:type="dxa"/>
            <w:vAlign w:val="bottom"/>
          </w:tcPr>
          <w:p>
            <w:pPr>
              <w:spacing w:after="0"/>
              <w:rPr>
                <w:sz w:val="1"/>
                <w:szCs w:val="1"/>
                <w:color w:val="auto"/>
              </w:rPr>
            </w:pPr>
          </w:p>
        </w:tc>
      </w:tr>
      <w:tr>
        <w:trPr>
          <w:trHeight w:val="95"/>
        </w:trPr>
        <w:tc>
          <w:tcPr>
            <w:tcW w:w="114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540" w:type="dxa"/>
            <w:vAlign w:val="bottom"/>
            <w:gridSpan w:val="22"/>
            <w:vMerge w:val="restart"/>
          </w:tcPr>
          <w:p>
            <w:pPr>
              <w:jc w:val="center"/>
              <w:ind w:right="1640"/>
              <w:spacing w:after="0"/>
              <w:rPr>
                <w:sz w:val="20"/>
                <w:szCs w:val="20"/>
                <w:color w:val="auto"/>
              </w:rPr>
            </w:pPr>
            <w:r>
              <w:rPr>
                <w:rFonts w:ascii="Arial" w:cs="Arial" w:eastAsia="Arial" w:hAnsi="Arial"/>
                <w:sz w:val="13"/>
                <w:szCs w:val="13"/>
                <w:color w:val="auto"/>
              </w:rPr>
              <w:t>+Net Gain from exchange differences+Other non operative income</w:t>
            </w:r>
          </w:p>
        </w:tc>
        <w:tc>
          <w:tcPr>
            <w:tcW w:w="0" w:type="dxa"/>
            <w:vAlign w:val="bottom"/>
          </w:tcPr>
          <w:p>
            <w:pPr>
              <w:spacing w:after="0"/>
              <w:rPr>
                <w:sz w:val="1"/>
                <w:szCs w:val="1"/>
                <w:color w:val="auto"/>
              </w:rPr>
            </w:pPr>
          </w:p>
        </w:tc>
      </w:tr>
      <w:tr>
        <w:trPr>
          <w:trHeight w:val="78"/>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540" w:type="dxa"/>
            <w:vAlign w:val="bottom"/>
            <w:gridSpan w:val="2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Return on average assets (ROA)</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3"/>
                <w:szCs w:val="13"/>
                <w:color w:val="auto"/>
                <w:w w:val="99"/>
              </w:rPr>
              <w:t>Annualized Net</w:t>
            </w:r>
          </w:p>
        </w:tc>
        <w:tc>
          <w:tcPr>
            <w:tcW w:w="4100" w:type="dxa"/>
            <w:vAlign w:val="bottom"/>
            <w:gridSpan w:val="17"/>
          </w:tcPr>
          <w:p>
            <w:pPr>
              <w:ind w:left="60"/>
              <w:spacing w:after="0"/>
              <w:rPr>
                <w:sz w:val="20"/>
                <w:szCs w:val="20"/>
                <w:color w:val="auto"/>
              </w:rPr>
            </w:pPr>
            <w:r>
              <w:rPr>
                <w:rFonts w:ascii="Arial" w:cs="Arial" w:eastAsia="Arial" w:hAnsi="Arial"/>
                <w:sz w:val="13"/>
                <w:szCs w:val="13"/>
                <w:color w:val="auto"/>
              </w:rPr>
              <w:t>Income attributable to Credicorp</w:t>
            </w:r>
          </w:p>
        </w:tc>
        <w:tc>
          <w:tcPr>
            <w:tcW w:w="0" w:type="dxa"/>
            <w:vAlign w:val="bottom"/>
          </w:tcPr>
          <w:p>
            <w:pPr>
              <w:spacing w:after="0"/>
              <w:rPr>
                <w:sz w:val="1"/>
                <w:szCs w:val="1"/>
                <w:color w:val="auto"/>
              </w:rPr>
            </w:pPr>
          </w:p>
        </w:tc>
      </w:tr>
      <w:tr>
        <w:trPr>
          <w:trHeight w:val="88"/>
        </w:trPr>
        <w:tc>
          <w:tcPr>
            <w:tcW w:w="114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920" w:type="dxa"/>
            <w:vAlign w:val="bottom"/>
            <w:tcBorders>
              <w:top w:val="single" w:sz="8" w:color="auto"/>
            </w:tcBorders>
            <w:gridSpan w:val="9"/>
            <w:vMerge w:val="restart"/>
          </w:tcPr>
          <w:p>
            <w:pPr>
              <w:jc w:val="center"/>
              <w:ind w:right="920"/>
              <w:spacing w:after="0"/>
              <w:rPr>
                <w:sz w:val="20"/>
                <w:szCs w:val="20"/>
                <w:color w:val="auto"/>
              </w:rPr>
            </w:pPr>
            <w:r>
              <w:rPr>
                <w:rFonts w:ascii="Arial" w:cs="Arial" w:eastAsia="Arial" w:hAnsi="Arial"/>
                <w:sz w:val="13"/>
                <w:szCs w:val="13"/>
                <w:color w:val="auto"/>
              </w:rPr>
              <w:t>Average Assets</w:t>
            </w:r>
          </w:p>
        </w:tc>
        <w:tc>
          <w:tcPr>
            <w:tcW w:w="2180" w:type="dxa"/>
            <w:vAlign w:val="bottom"/>
            <w:gridSpan w:val="8"/>
            <w:vMerge w:val="restart"/>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gridSpan w:val="9"/>
            <w:vMerge w:val="continue"/>
          </w:tcPr>
          <w:p>
            <w:pPr>
              <w:spacing w:after="0"/>
              <w:rPr>
                <w:sz w:val="6"/>
                <w:szCs w:val="6"/>
                <w:color w:val="auto"/>
              </w:rPr>
            </w:pPr>
          </w:p>
        </w:tc>
        <w:tc>
          <w:tcPr>
            <w:tcW w:w="21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Return on average equity (ROE)</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3"/>
                <w:szCs w:val="13"/>
                <w:color w:val="auto"/>
                <w:w w:val="99"/>
              </w:rPr>
              <w:t>Annualized Net</w:t>
            </w:r>
          </w:p>
        </w:tc>
        <w:tc>
          <w:tcPr>
            <w:tcW w:w="4100" w:type="dxa"/>
            <w:vAlign w:val="bottom"/>
            <w:gridSpan w:val="17"/>
          </w:tcPr>
          <w:p>
            <w:pPr>
              <w:ind w:left="60"/>
              <w:spacing w:after="0"/>
              <w:rPr>
                <w:sz w:val="20"/>
                <w:szCs w:val="20"/>
                <w:color w:val="auto"/>
              </w:rPr>
            </w:pPr>
            <w:r>
              <w:rPr>
                <w:rFonts w:ascii="Arial" w:cs="Arial" w:eastAsia="Arial" w:hAnsi="Arial"/>
                <w:sz w:val="13"/>
                <w:szCs w:val="13"/>
                <w:color w:val="auto"/>
              </w:rPr>
              <w:t>Income attributable to Credicorp</w:t>
            </w:r>
          </w:p>
        </w:tc>
        <w:tc>
          <w:tcPr>
            <w:tcW w:w="0" w:type="dxa"/>
            <w:vAlign w:val="bottom"/>
          </w:tcPr>
          <w:p>
            <w:pPr>
              <w:spacing w:after="0"/>
              <w:rPr>
                <w:sz w:val="1"/>
                <w:szCs w:val="1"/>
                <w:color w:val="auto"/>
              </w:rPr>
            </w:pPr>
          </w:p>
        </w:tc>
      </w:tr>
      <w:tr>
        <w:trPr>
          <w:trHeight w:val="88"/>
        </w:trPr>
        <w:tc>
          <w:tcPr>
            <w:tcW w:w="114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120" w:type="dxa"/>
            <w:vAlign w:val="bottom"/>
            <w:tcBorders>
              <w:top w:val="single" w:sz="8" w:color="auto"/>
            </w:tcBorders>
            <w:gridSpan w:val="10"/>
            <w:vMerge w:val="restart"/>
          </w:tcPr>
          <w:p>
            <w:pPr>
              <w:jc w:val="center"/>
              <w:ind w:right="700"/>
              <w:spacing w:after="0"/>
              <w:rPr>
                <w:sz w:val="20"/>
                <w:szCs w:val="20"/>
                <w:color w:val="auto"/>
              </w:rPr>
            </w:pPr>
            <w:r>
              <w:rPr>
                <w:rFonts w:ascii="Arial" w:cs="Arial" w:eastAsia="Arial" w:hAnsi="Arial"/>
                <w:sz w:val="13"/>
                <w:szCs w:val="13"/>
                <w:color w:val="auto"/>
              </w:rPr>
              <w:t>Average Net Equity</w:t>
            </w:r>
          </w:p>
        </w:tc>
        <w:tc>
          <w:tcPr>
            <w:tcW w:w="2180" w:type="dxa"/>
            <w:vAlign w:val="bottom"/>
            <w:gridSpan w:val="8"/>
            <w:vMerge w:val="restart"/>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gridSpan w:val="10"/>
            <w:vMerge w:val="continue"/>
          </w:tcPr>
          <w:p>
            <w:pPr>
              <w:spacing w:after="0"/>
              <w:rPr>
                <w:sz w:val="6"/>
                <w:szCs w:val="6"/>
                <w:color w:val="auto"/>
              </w:rPr>
            </w:pPr>
          </w:p>
        </w:tc>
        <w:tc>
          <w:tcPr>
            <w:tcW w:w="21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1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Internal overdue ratio</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00" w:type="dxa"/>
            <w:vAlign w:val="bottom"/>
            <w:gridSpan w:val="18"/>
          </w:tcPr>
          <w:p>
            <w:pPr>
              <w:jc w:val="center"/>
              <w:ind w:right="2900"/>
              <w:spacing w:after="0"/>
              <w:rPr>
                <w:sz w:val="20"/>
                <w:szCs w:val="20"/>
                <w:color w:val="auto"/>
              </w:rPr>
            </w:pPr>
            <w:r>
              <w:rPr>
                <w:rFonts w:ascii="Arial" w:cs="Arial" w:eastAsia="Arial" w:hAnsi="Arial"/>
                <w:sz w:val="13"/>
                <w:szCs w:val="13"/>
                <w:color w:val="auto"/>
              </w:rPr>
              <w:t>(Internal overdue loans)</w:t>
            </w:r>
          </w:p>
        </w:tc>
        <w:tc>
          <w:tcPr>
            <w:tcW w:w="0" w:type="dxa"/>
            <w:vAlign w:val="bottom"/>
          </w:tcPr>
          <w:p>
            <w:pPr>
              <w:spacing w:after="0"/>
              <w:rPr>
                <w:sz w:val="1"/>
                <w:szCs w:val="1"/>
                <w:color w:val="auto"/>
              </w:rPr>
            </w:pPr>
          </w:p>
        </w:tc>
      </w:tr>
      <w:tr>
        <w:trPr>
          <w:trHeight w:val="88"/>
        </w:trPr>
        <w:tc>
          <w:tcPr>
            <w:tcW w:w="114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6"/>
            <w:vMerge w:val="restart"/>
          </w:tcPr>
          <w:p>
            <w:pPr>
              <w:jc w:val="center"/>
              <w:ind w:right="180"/>
              <w:spacing w:after="0"/>
              <w:rPr>
                <w:sz w:val="20"/>
                <w:szCs w:val="20"/>
                <w:color w:val="auto"/>
              </w:rPr>
            </w:pPr>
            <w:r>
              <w:rPr>
                <w:rFonts w:ascii="Arial" w:cs="Arial" w:eastAsia="Arial" w:hAnsi="Arial"/>
                <w:sz w:val="13"/>
                <w:szCs w:val="13"/>
                <w:color w:val="auto"/>
              </w:rPr>
              <w:t>Total Loans</w:t>
            </w:r>
          </w:p>
        </w:tc>
        <w:tc>
          <w:tcPr>
            <w:tcW w:w="2900" w:type="dxa"/>
            <w:vAlign w:val="bottom"/>
            <w:gridSpan w:val="11"/>
            <w:vMerge w:val="restart"/>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6"/>
            <w:vMerge w:val="continue"/>
          </w:tcPr>
          <w:p>
            <w:pPr>
              <w:spacing w:after="0"/>
              <w:rPr>
                <w:sz w:val="6"/>
                <w:szCs w:val="6"/>
                <w:color w:val="auto"/>
              </w:rPr>
            </w:pPr>
          </w:p>
        </w:tc>
        <w:tc>
          <w:tcPr>
            <w:tcW w:w="29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Non – performing loans ratio (NPL</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40" w:type="dxa"/>
            <w:vAlign w:val="bottom"/>
            <w:gridSpan w:val="20"/>
          </w:tcPr>
          <w:p>
            <w:pPr>
              <w:jc w:val="center"/>
              <w:ind w:right="2340"/>
              <w:spacing w:after="0"/>
              <w:rPr>
                <w:sz w:val="20"/>
                <w:szCs w:val="20"/>
                <w:color w:val="auto"/>
              </w:rPr>
            </w:pPr>
            <w:r>
              <w:rPr>
                <w:rFonts w:ascii="Arial" w:cs="Arial" w:eastAsia="Arial" w:hAnsi="Arial"/>
                <w:sz w:val="13"/>
                <w:szCs w:val="13"/>
                <w:color w:val="auto"/>
              </w:rPr>
              <w:t>(Internal overdue loans+Refinanced loans)</w:t>
            </w: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ratio)</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8"/>
          </w:tcPr>
          <w:p>
            <w:pPr>
              <w:jc w:val="center"/>
              <w:ind w:right="720"/>
              <w:spacing w:after="0"/>
              <w:rPr>
                <w:sz w:val="20"/>
                <w:szCs w:val="20"/>
                <w:color w:val="auto"/>
              </w:rPr>
            </w:pPr>
            <w:r>
              <w:rPr>
                <w:rFonts w:ascii="Arial" w:cs="Arial" w:eastAsia="Arial" w:hAnsi="Arial"/>
                <w:sz w:val="13"/>
                <w:szCs w:val="13"/>
                <w:color w:val="auto"/>
              </w:rPr>
              <w:t>Total Loans</w:t>
            </w:r>
          </w:p>
        </w:tc>
        <w:tc>
          <w:tcPr>
            <w:tcW w:w="23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Coverage ratio of internal overdue</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80" w:type="dxa"/>
            <w:vAlign w:val="bottom"/>
            <w:gridSpan w:val="19"/>
          </w:tcPr>
          <w:p>
            <w:pPr>
              <w:jc w:val="center"/>
              <w:ind w:right="2800"/>
              <w:spacing w:after="0"/>
              <w:rPr>
                <w:sz w:val="20"/>
                <w:szCs w:val="20"/>
                <w:color w:val="auto"/>
              </w:rPr>
            </w:pPr>
            <w:r>
              <w:rPr>
                <w:rFonts w:ascii="Arial" w:cs="Arial" w:eastAsia="Arial" w:hAnsi="Arial"/>
                <w:sz w:val="13"/>
                <w:szCs w:val="13"/>
                <w:color w:val="auto"/>
              </w:rPr>
              <w:t>Allowance for loans losses</w:t>
            </w: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loans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8"/>
          </w:tcPr>
          <w:p>
            <w:pPr>
              <w:jc w:val="center"/>
              <w:ind w:right="60"/>
              <w:spacing w:after="0"/>
              <w:rPr>
                <w:sz w:val="20"/>
                <w:szCs w:val="20"/>
                <w:color w:val="auto"/>
              </w:rPr>
            </w:pPr>
            <w:r>
              <w:rPr>
                <w:rFonts w:ascii="Arial" w:cs="Arial" w:eastAsia="Arial" w:hAnsi="Arial"/>
                <w:sz w:val="13"/>
                <w:szCs w:val="13"/>
                <w:color w:val="auto"/>
              </w:rPr>
              <w:t>Internal overdue loans</w:t>
            </w:r>
          </w:p>
        </w:tc>
        <w:tc>
          <w:tcPr>
            <w:tcW w:w="28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Coverage ratio of non –</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380" w:type="dxa"/>
            <w:vAlign w:val="bottom"/>
            <w:gridSpan w:val="19"/>
            <w:vMerge w:val="restart"/>
          </w:tcPr>
          <w:p>
            <w:pPr>
              <w:jc w:val="center"/>
              <w:ind w:right="2800"/>
              <w:spacing w:after="0"/>
              <w:rPr>
                <w:sz w:val="20"/>
                <w:szCs w:val="20"/>
                <w:color w:val="auto"/>
              </w:rPr>
            </w:pPr>
            <w:r>
              <w:rPr>
                <w:rFonts w:ascii="Arial" w:cs="Arial" w:eastAsia="Arial" w:hAnsi="Arial"/>
                <w:sz w:val="13"/>
                <w:szCs w:val="13"/>
                <w:color w:val="auto"/>
              </w:rPr>
              <w:t>Allowance for loans losses</w:t>
            </w:r>
          </w:p>
        </w:tc>
        <w:tc>
          <w:tcPr>
            <w:tcW w:w="0" w:type="dxa"/>
            <w:vAlign w:val="bottom"/>
          </w:tcPr>
          <w:p>
            <w:pPr>
              <w:spacing w:after="0"/>
              <w:rPr>
                <w:sz w:val="1"/>
                <w:szCs w:val="1"/>
                <w:color w:val="auto"/>
              </w:rPr>
            </w:pPr>
          </w:p>
        </w:tc>
      </w:tr>
      <w:tr>
        <w:trPr>
          <w:trHeight w:val="59"/>
        </w:trPr>
        <w:tc>
          <w:tcPr>
            <w:tcW w:w="114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performing</w:t>
            </w: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38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80" w:type="dxa"/>
            <w:vAlign w:val="bottom"/>
            <w:tcBorders>
              <w:top w:val="single" w:sz="8" w:color="auto"/>
            </w:tcBorders>
            <w:gridSpan w:val="8"/>
            <w:vMerge w:val="restart"/>
          </w:tcPr>
          <w:p>
            <w:pPr>
              <w:jc w:val="center"/>
              <w:ind w:right="60"/>
              <w:spacing w:after="0"/>
              <w:rPr>
                <w:sz w:val="20"/>
                <w:szCs w:val="20"/>
                <w:color w:val="auto"/>
              </w:rPr>
            </w:pPr>
            <w:r>
              <w:rPr>
                <w:rFonts w:ascii="Arial" w:cs="Arial" w:eastAsia="Arial" w:hAnsi="Arial"/>
                <w:sz w:val="13"/>
                <w:szCs w:val="13"/>
                <w:color w:val="auto"/>
              </w:rPr>
              <w:t>Non-performing loans</w:t>
            </w:r>
          </w:p>
        </w:tc>
        <w:tc>
          <w:tcPr>
            <w:tcW w:w="2820" w:type="dxa"/>
            <w:vAlign w:val="bottom"/>
            <w:gridSpan w:val="10"/>
            <w:vMerge w:val="restart"/>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114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loans</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8"/>
            <w:vMerge w:val="continue"/>
          </w:tcPr>
          <w:p>
            <w:pPr>
              <w:spacing w:after="0"/>
              <w:rPr>
                <w:sz w:val="7"/>
                <w:szCs w:val="7"/>
                <w:color w:val="auto"/>
              </w:rPr>
            </w:pPr>
          </w:p>
        </w:tc>
        <w:tc>
          <w:tcPr>
            <w:tcW w:w="28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4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Cost of risk</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60" w:type="dxa"/>
            <w:vAlign w:val="bottom"/>
            <w:tcBorders>
              <w:bottom w:val="single" w:sz="8" w:color="auto"/>
            </w:tcBorders>
            <w:gridSpan w:val="19"/>
          </w:tcPr>
          <w:p>
            <w:pPr>
              <w:jc w:val="center"/>
              <w:spacing w:after="0"/>
              <w:rPr>
                <w:sz w:val="20"/>
                <w:szCs w:val="20"/>
                <w:color w:val="auto"/>
              </w:rPr>
            </w:pPr>
            <w:r>
              <w:rPr>
                <w:rFonts w:ascii="Arial" w:cs="Arial" w:eastAsia="Arial" w:hAnsi="Arial"/>
                <w:sz w:val="13"/>
                <w:szCs w:val="13"/>
                <w:color w:val="auto"/>
              </w:rPr>
              <w:t>Annualized provision for credit losses on loans portfolio, net of recoveries</w:t>
            </w:r>
          </w:p>
        </w:tc>
        <w:tc>
          <w:tcPr>
            <w:tcW w:w="14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14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300" w:type="dxa"/>
            <w:vAlign w:val="bottom"/>
            <w:gridSpan w:val="18"/>
            <w:vMerge w:val="restart"/>
          </w:tcPr>
          <w:p>
            <w:pPr>
              <w:jc w:val="center"/>
              <w:ind w:right="2880"/>
              <w:spacing w:after="0"/>
              <w:rPr>
                <w:sz w:val="20"/>
                <w:szCs w:val="20"/>
                <w:color w:val="auto"/>
              </w:rPr>
            </w:pPr>
            <w:r>
              <w:rPr>
                <w:rFonts w:ascii="Arial" w:cs="Arial" w:eastAsia="Arial" w:hAnsi="Arial"/>
                <w:sz w:val="13"/>
                <w:szCs w:val="13"/>
                <w:color w:val="auto"/>
              </w:rPr>
              <w:t>Average Total Loans</w:t>
            </w:r>
          </w:p>
        </w:tc>
        <w:tc>
          <w:tcPr>
            <w:tcW w:w="0" w:type="dxa"/>
            <w:vAlign w:val="bottom"/>
          </w:tcPr>
          <w:p>
            <w:pPr>
              <w:spacing w:after="0"/>
              <w:rPr>
                <w:sz w:val="1"/>
                <w:szCs w:val="1"/>
                <w:color w:val="auto"/>
              </w:rPr>
            </w:pPr>
          </w:p>
        </w:tc>
      </w:tr>
      <w:tr>
        <w:trPr>
          <w:trHeight w:val="54"/>
        </w:trPr>
        <w:tc>
          <w:tcPr>
            <w:tcW w:w="1140" w:type="dxa"/>
            <w:vAlign w:val="bottom"/>
            <w:tcBorders>
              <w:right w:val="single" w:sz="8" w:color="auto"/>
            </w:tcBorders>
          </w:tcPr>
          <w:p>
            <w:pPr>
              <w:spacing w:after="0"/>
              <w:rPr>
                <w:sz w:val="4"/>
                <w:szCs w:val="4"/>
                <w:color w:val="auto"/>
              </w:rPr>
            </w:pPr>
          </w:p>
        </w:tc>
        <w:tc>
          <w:tcPr>
            <w:tcW w:w="22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00" w:type="dxa"/>
            <w:vAlign w:val="bottom"/>
            <w:gridSpan w:val="1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14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Operating expenses</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540" w:type="dxa"/>
            <w:vAlign w:val="bottom"/>
            <w:gridSpan w:val="26"/>
          </w:tcPr>
          <w:p>
            <w:pPr>
              <w:jc w:val="center"/>
              <w:ind w:right="640"/>
              <w:spacing w:after="0"/>
              <w:rPr>
                <w:sz w:val="20"/>
                <w:szCs w:val="20"/>
                <w:color w:val="auto"/>
              </w:rPr>
            </w:pPr>
            <w:r>
              <w:rPr>
                <w:rFonts w:ascii="Arial" w:cs="Arial" w:eastAsia="Arial" w:hAnsi="Arial"/>
                <w:sz w:val="13"/>
                <w:szCs w:val="13"/>
                <w:color w:val="auto"/>
              </w:rPr>
              <w:t>Salaries and employees benefits+Administrtive expenses+Depreciation and amortization</w:t>
            </w:r>
          </w:p>
        </w:tc>
        <w:tc>
          <w:tcPr>
            <w:tcW w:w="0" w:type="dxa"/>
            <w:vAlign w:val="bottom"/>
          </w:tcPr>
          <w:p>
            <w:pPr>
              <w:spacing w:after="0"/>
              <w:rPr>
                <w:sz w:val="1"/>
                <w:szCs w:val="1"/>
                <w:color w:val="auto"/>
              </w:rPr>
            </w:pPr>
          </w:p>
        </w:tc>
      </w:tr>
      <w:tr>
        <w:trPr>
          <w:trHeight w:val="95"/>
        </w:trPr>
        <w:tc>
          <w:tcPr>
            <w:tcW w:w="114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20" w:type="dxa"/>
            <w:vAlign w:val="bottom"/>
            <w:gridSpan w:val="21"/>
            <w:vMerge w:val="restart"/>
          </w:tcPr>
          <w:p>
            <w:pPr>
              <w:jc w:val="center"/>
              <w:ind w:right="2180"/>
              <w:spacing w:after="0"/>
              <w:rPr>
                <w:sz w:val="20"/>
                <w:szCs w:val="20"/>
                <w:color w:val="auto"/>
              </w:rPr>
            </w:pPr>
            <w:r>
              <w:rPr>
                <w:rFonts w:ascii="Arial" w:cs="Arial" w:eastAsia="Arial" w:hAnsi="Arial"/>
                <w:sz w:val="13"/>
                <w:szCs w:val="13"/>
                <w:color w:val="auto"/>
              </w:rPr>
              <w:t>+Association in participation +Acquisition cost</w:t>
            </w:r>
          </w:p>
        </w:tc>
        <w:tc>
          <w:tcPr>
            <w:tcW w:w="0" w:type="dxa"/>
            <w:vAlign w:val="bottom"/>
          </w:tcPr>
          <w:p>
            <w:pPr>
              <w:spacing w:after="0"/>
              <w:rPr>
                <w:sz w:val="1"/>
                <w:szCs w:val="1"/>
                <w:color w:val="auto"/>
              </w:rPr>
            </w:pPr>
          </w:p>
        </w:tc>
      </w:tr>
      <w:tr>
        <w:trPr>
          <w:trHeight w:val="78"/>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20" w:type="dxa"/>
            <w:vAlign w:val="bottom"/>
            <w:gridSpan w:val="2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Operating Income</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540" w:type="dxa"/>
            <w:vAlign w:val="bottom"/>
            <w:gridSpan w:val="26"/>
          </w:tcPr>
          <w:p>
            <w:pPr>
              <w:jc w:val="center"/>
              <w:ind w:right="660"/>
              <w:spacing w:after="0"/>
              <w:rPr>
                <w:sz w:val="20"/>
                <w:szCs w:val="20"/>
                <w:color w:val="auto"/>
              </w:rPr>
            </w:pPr>
            <w:r>
              <w:rPr>
                <w:rFonts w:ascii="Arial" w:cs="Arial" w:eastAsia="Arial" w:hAnsi="Arial"/>
                <w:sz w:val="13"/>
                <w:szCs w:val="13"/>
                <w:color w:val="auto"/>
              </w:rPr>
              <w:t>Net interest, similar income, and expenses+Fee income+Net gain on foreign exchange transactions</w:t>
            </w:r>
          </w:p>
        </w:tc>
        <w:tc>
          <w:tcPr>
            <w:tcW w:w="0" w:type="dxa"/>
            <w:vAlign w:val="bottom"/>
          </w:tcPr>
          <w:p>
            <w:pPr>
              <w:spacing w:after="0"/>
              <w:rPr>
                <w:sz w:val="1"/>
                <w:szCs w:val="1"/>
                <w:color w:val="auto"/>
              </w:rPr>
            </w:pPr>
          </w:p>
        </w:tc>
      </w:tr>
      <w:tr>
        <w:trPr>
          <w:trHeight w:val="95"/>
        </w:trPr>
        <w:tc>
          <w:tcPr>
            <w:tcW w:w="114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7100" w:type="dxa"/>
            <w:vAlign w:val="bottom"/>
            <w:gridSpan w:val="28"/>
            <w:vMerge w:val="restart"/>
          </w:tcPr>
          <w:p>
            <w:pPr>
              <w:jc w:val="center"/>
              <w:ind w:right="100"/>
              <w:spacing w:after="0"/>
              <w:rPr>
                <w:sz w:val="20"/>
                <w:szCs w:val="20"/>
                <w:color w:val="auto"/>
              </w:rPr>
            </w:pPr>
            <w:r>
              <w:rPr>
                <w:rFonts w:ascii="Arial" w:cs="Arial" w:eastAsia="Arial" w:hAnsi="Arial"/>
                <w:sz w:val="13"/>
                <w:szCs w:val="13"/>
                <w:color w:val="auto"/>
              </w:rPr>
              <w:t>+Net gain from associates+Net gain on derivatives held for trading+Net gain from echange differences</w:t>
            </w:r>
          </w:p>
        </w:tc>
        <w:tc>
          <w:tcPr>
            <w:tcW w:w="0" w:type="dxa"/>
            <w:vAlign w:val="bottom"/>
          </w:tcPr>
          <w:p>
            <w:pPr>
              <w:spacing w:after="0"/>
              <w:rPr>
                <w:sz w:val="1"/>
                <w:szCs w:val="1"/>
                <w:color w:val="auto"/>
              </w:rPr>
            </w:pPr>
          </w:p>
        </w:tc>
      </w:tr>
      <w:tr>
        <w:trPr>
          <w:trHeight w:val="78"/>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100" w:type="dxa"/>
            <w:vAlign w:val="bottom"/>
            <w:gridSpan w:val="2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100" w:type="dxa"/>
            <w:vAlign w:val="bottom"/>
            <w:gridSpan w:val="28"/>
          </w:tcPr>
          <w:p>
            <w:pPr>
              <w:jc w:val="center"/>
              <w:ind w:right="60"/>
              <w:spacing w:after="0"/>
              <w:rPr>
                <w:sz w:val="20"/>
                <w:szCs w:val="20"/>
                <w:color w:val="auto"/>
              </w:rPr>
            </w:pPr>
            <w:r>
              <w:rPr>
                <w:rFonts w:ascii="Arial" w:cs="Arial" w:eastAsia="Arial" w:hAnsi="Arial"/>
                <w:sz w:val="13"/>
                <w:szCs w:val="13"/>
                <w:color w:val="auto"/>
              </w:rPr>
              <w:t>Salaries and employee benefits + Administrative expenses + Depreciation and amortization + Association in participation</w:t>
            </w:r>
          </w:p>
        </w:tc>
        <w:tc>
          <w:tcPr>
            <w:tcW w:w="0" w:type="dxa"/>
            <w:vAlign w:val="bottom"/>
          </w:tcPr>
          <w:p>
            <w:pPr>
              <w:spacing w:after="0"/>
              <w:rPr>
                <w:sz w:val="1"/>
                <w:szCs w:val="1"/>
                <w:color w:val="auto"/>
              </w:rPr>
            </w:pPr>
          </w:p>
        </w:tc>
      </w:tr>
      <w:tr>
        <w:trPr>
          <w:trHeight w:val="149"/>
        </w:trPr>
        <w:tc>
          <w:tcPr>
            <w:tcW w:w="114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Efficiency ratio</w:t>
            </w: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00" w:type="dxa"/>
            <w:vAlign w:val="bottom"/>
            <w:tcBorders>
              <w:top w:val="single" w:sz="8" w:color="auto"/>
            </w:tcBorders>
            <w:gridSpan w:val="24"/>
          </w:tcPr>
          <w:p>
            <w:pPr>
              <w:jc w:val="center"/>
              <w:ind w:right="1000"/>
              <w:spacing w:after="0"/>
              <w:rPr>
                <w:sz w:val="20"/>
                <w:szCs w:val="20"/>
                <w:color w:val="auto"/>
              </w:rPr>
            </w:pPr>
            <w:r>
              <w:rPr>
                <w:rFonts w:ascii="Arial" w:cs="Arial" w:eastAsia="Arial" w:hAnsi="Arial"/>
                <w:sz w:val="13"/>
                <w:szCs w:val="13"/>
                <w:color w:val="auto"/>
              </w:rPr>
              <w:t>Net interest, similar income and expenses + Fee Income + Net gain on foreign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540" w:type="dxa"/>
            <w:vAlign w:val="bottom"/>
            <w:gridSpan w:val="26"/>
            <w:vMerge w:val="restart"/>
          </w:tcPr>
          <w:p>
            <w:pPr>
              <w:jc w:val="center"/>
              <w:ind w:right="640"/>
              <w:spacing w:after="0"/>
              <w:rPr>
                <w:sz w:val="20"/>
                <w:szCs w:val="20"/>
                <w:color w:val="auto"/>
              </w:rPr>
            </w:pPr>
            <w:r>
              <w:rPr>
                <w:rFonts w:ascii="Arial" w:cs="Arial" w:eastAsia="Arial" w:hAnsi="Arial"/>
                <w:sz w:val="13"/>
                <w:szCs w:val="13"/>
                <w:color w:val="auto"/>
              </w:rPr>
              <w:t>exchange transactions + Net gain from associates+Net gain on derivatives held for trading</w:t>
            </w:r>
          </w:p>
        </w:tc>
        <w:tc>
          <w:tcPr>
            <w:tcW w:w="0" w:type="dxa"/>
            <w:vAlign w:val="bottom"/>
          </w:tcPr>
          <w:p>
            <w:pPr>
              <w:spacing w:after="0"/>
              <w:rPr>
                <w:sz w:val="1"/>
                <w:szCs w:val="1"/>
                <w:color w:val="auto"/>
              </w:rPr>
            </w:pPr>
          </w:p>
        </w:tc>
      </w:tr>
      <w:tr>
        <w:trPr>
          <w:trHeight w:val="61"/>
        </w:trPr>
        <w:tc>
          <w:tcPr>
            <w:tcW w:w="114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540" w:type="dxa"/>
            <w:vAlign w:val="bottom"/>
            <w:gridSpan w:val="2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14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540" w:type="dxa"/>
            <w:vAlign w:val="bottom"/>
            <w:gridSpan w:val="22"/>
          </w:tcPr>
          <w:p>
            <w:pPr>
              <w:jc w:val="center"/>
              <w:ind w:right="1620"/>
              <w:spacing w:after="0"/>
              <w:rPr>
                <w:sz w:val="20"/>
                <w:szCs w:val="20"/>
                <w:color w:val="auto"/>
              </w:rPr>
            </w:pPr>
            <w:r>
              <w:rPr>
                <w:rFonts w:ascii="Arial" w:cs="Arial" w:eastAsia="Arial" w:hAnsi="Arial"/>
                <w:sz w:val="13"/>
                <w:szCs w:val="13"/>
                <w:color w:val="auto"/>
              </w:rPr>
              <w:t>+ Result on exchange differences+Insurance Underwriting Result</w:t>
            </w:r>
          </w:p>
        </w:tc>
        <w:tc>
          <w:tcPr>
            <w:tcW w:w="0" w:type="dxa"/>
            <w:vAlign w:val="bottom"/>
          </w:tcPr>
          <w:p>
            <w:pPr>
              <w:spacing w:after="0"/>
              <w:rPr>
                <w:sz w:val="1"/>
                <w:szCs w:val="1"/>
                <w:color w:val="auto"/>
              </w:rPr>
            </w:pPr>
          </w:p>
        </w:tc>
      </w:tr>
      <w:tr>
        <w:trPr>
          <w:trHeight w:val="42"/>
        </w:trPr>
        <w:tc>
          <w:tcPr>
            <w:tcW w:w="11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Liquidity Coverage ratio</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80" w:type="dxa"/>
            <w:vAlign w:val="bottom"/>
            <w:gridSpan w:val="25"/>
          </w:tcPr>
          <w:p>
            <w:pPr>
              <w:jc w:val="center"/>
              <w:ind w:right="1120"/>
              <w:spacing w:after="0"/>
              <w:rPr>
                <w:sz w:val="20"/>
                <w:szCs w:val="20"/>
                <w:color w:val="auto"/>
              </w:rPr>
            </w:pPr>
            <w:r>
              <w:rPr>
                <w:rFonts w:ascii="Arial" w:cs="Arial" w:eastAsia="Arial" w:hAnsi="Arial"/>
                <w:sz w:val="13"/>
                <w:szCs w:val="13"/>
                <w:color w:val="auto"/>
              </w:rPr>
              <w:t xml:space="preserve">Total High Quality Liquid Assets + Min(Total Inflow </w:t>
            </w:r>
            <w:r>
              <w:rPr>
                <w:rFonts w:ascii="Arial" w:cs="Arial" w:eastAsia="Arial" w:hAnsi="Arial"/>
                <w:sz w:val="9"/>
                <w:szCs w:val="9"/>
                <w:color w:val="auto"/>
              </w:rPr>
              <w:t>30 days</w:t>
            </w:r>
            <w:r>
              <w:rPr>
                <w:rFonts w:ascii="Arial" w:cs="Arial" w:eastAsia="Arial" w:hAnsi="Arial"/>
                <w:sz w:val="13"/>
                <w:szCs w:val="13"/>
                <w:color w:val="auto"/>
              </w:rPr>
              <w:t xml:space="preserve">; 75% * Total Outflow </w:t>
            </w:r>
            <w:r>
              <w:rPr>
                <w:rFonts w:ascii="Arial" w:cs="Arial" w:eastAsia="Arial" w:hAnsi="Arial"/>
                <w:sz w:val="9"/>
                <w:szCs w:val="9"/>
                <w:color w:val="auto"/>
              </w:rPr>
              <w:t>30 days</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8"/>
        </w:trPr>
        <w:tc>
          <w:tcPr>
            <w:tcW w:w="114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180" w:type="dxa"/>
            <w:vAlign w:val="bottom"/>
            <w:tcBorders>
              <w:top w:val="single" w:sz="8" w:color="auto"/>
            </w:tcBorders>
            <w:gridSpan w:val="14"/>
            <w:vMerge w:val="restart"/>
          </w:tcPr>
          <w:p>
            <w:pPr>
              <w:jc w:val="center"/>
              <w:ind w:right="1760"/>
              <w:spacing w:after="0"/>
              <w:rPr>
                <w:sz w:val="20"/>
                <w:szCs w:val="20"/>
                <w:color w:val="auto"/>
              </w:rPr>
            </w:pPr>
            <w:r>
              <w:rPr>
                <w:rFonts w:ascii="Arial" w:cs="Arial" w:eastAsia="Arial" w:hAnsi="Arial"/>
                <w:sz w:val="13"/>
                <w:szCs w:val="13"/>
                <w:color w:val="auto"/>
              </w:rPr>
              <w:t xml:space="preserve">Total Outflow </w:t>
            </w:r>
            <w:r>
              <w:rPr>
                <w:rFonts w:ascii="Arial" w:cs="Arial" w:eastAsia="Arial" w:hAnsi="Arial"/>
                <w:sz w:val="9"/>
                <w:szCs w:val="9"/>
                <w:color w:val="auto"/>
              </w:rPr>
              <w:t>30 days</w:t>
            </w:r>
          </w:p>
        </w:tc>
        <w:tc>
          <w:tcPr>
            <w:tcW w:w="1120" w:type="dxa"/>
            <w:vAlign w:val="bottom"/>
            <w:gridSpan w:val="4"/>
            <w:vMerge w:val="restart"/>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180" w:type="dxa"/>
            <w:vAlign w:val="bottom"/>
            <w:gridSpan w:val="14"/>
            <w:vMerge w:val="continue"/>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Regulatory Capital ratio</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gridSpan w:val="17"/>
          </w:tcPr>
          <w:p>
            <w:pPr>
              <w:jc w:val="center"/>
              <w:ind w:right="3040"/>
              <w:spacing w:after="0"/>
              <w:rPr>
                <w:sz w:val="20"/>
                <w:szCs w:val="20"/>
                <w:color w:val="auto"/>
              </w:rPr>
            </w:pPr>
            <w:r>
              <w:rPr>
                <w:rFonts w:ascii="Arial" w:cs="Arial" w:eastAsia="Arial" w:hAnsi="Arial"/>
                <w:sz w:val="13"/>
                <w:szCs w:val="13"/>
                <w:color w:val="auto"/>
                <w:w w:val="99"/>
              </w:rPr>
              <w:t>Regulatory Capital</w:t>
            </w:r>
          </w:p>
        </w:tc>
        <w:tc>
          <w:tcPr>
            <w:tcW w:w="0" w:type="dxa"/>
            <w:vAlign w:val="bottom"/>
          </w:tcPr>
          <w:p>
            <w:pPr>
              <w:spacing w:after="0"/>
              <w:rPr>
                <w:sz w:val="1"/>
                <w:szCs w:val="1"/>
                <w:color w:val="auto"/>
              </w:rPr>
            </w:pPr>
          </w:p>
        </w:tc>
      </w:tr>
      <w:tr>
        <w:trPr>
          <w:trHeight w:val="20"/>
        </w:trPr>
        <w:tc>
          <w:tcPr>
            <w:tcW w:w="1140" w:type="dxa"/>
            <w:vAlign w:val="bottom"/>
            <w:tcBorders>
              <w:right w:val="single" w:sz="8" w:color="auto"/>
            </w:tcBorders>
          </w:tcPr>
          <w:p>
            <w:pPr>
              <w:spacing w:after="0" w:line="20" w:lineRule="exact"/>
              <w:rPr>
                <w:sz w:val="1"/>
                <w:szCs w:val="1"/>
                <w:color w:val="auto"/>
              </w:rPr>
            </w:pPr>
          </w:p>
        </w:tc>
        <w:tc>
          <w:tcPr>
            <w:tcW w:w="2240" w:type="dxa"/>
            <w:vAlign w:val="bottom"/>
            <w:tcBorders>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14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300" w:type="dxa"/>
            <w:vAlign w:val="bottom"/>
            <w:gridSpan w:val="18"/>
            <w:vMerge w:val="restart"/>
          </w:tcPr>
          <w:p>
            <w:pPr>
              <w:jc w:val="center"/>
              <w:ind w:right="2880"/>
              <w:spacing w:after="0"/>
              <w:rPr>
                <w:sz w:val="20"/>
                <w:szCs w:val="20"/>
                <w:color w:val="auto"/>
              </w:rPr>
            </w:pPr>
            <w:r>
              <w:rPr>
                <w:rFonts w:ascii="Arial" w:cs="Arial" w:eastAsia="Arial" w:hAnsi="Arial"/>
                <w:sz w:val="13"/>
                <w:szCs w:val="13"/>
                <w:color w:val="auto"/>
              </w:rPr>
              <w:t>(Risk -weighted assets)</w:t>
            </w:r>
          </w:p>
        </w:tc>
        <w:tc>
          <w:tcPr>
            <w:tcW w:w="0" w:type="dxa"/>
            <w:vAlign w:val="bottom"/>
          </w:tcPr>
          <w:p>
            <w:pPr>
              <w:spacing w:after="0"/>
              <w:rPr>
                <w:sz w:val="1"/>
                <w:szCs w:val="1"/>
                <w:color w:val="auto"/>
              </w:rPr>
            </w:pPr>
          </w:p>
        </w:tc>
      </w:tr>
      <w:tr>
        <w:trPr>
          <w:trHeight w:val="78"/>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300" w:type="dxa"/>
            <w:vAlign w:val="bottom"/>
            <w:gridSpan w:val="1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11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Tier 1 ratio</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3"/>
                <w:szCs w:val="13"/>
                <w:color w:val="auto"/>
                <w:w w:val="96"/>
              </w:rPr>
              <w:t>Tier 1</w:t>
            </w:r>
          </w:p>
        </w:tc>
        <w:tc>
          <w:tcPr>
            <w:tcW w:w="100" w:type="dxa"/>
            <w:vAlign w:val="bottom"/>
            <w:tcBorders>
              <w:bottom w:val="single" w:sz="8" w:color="auto"/>
            </w:tcBorders>
          </w:tcPr>
          <w:p>
            <w:pPr>
              <w:spacing w:after="0"/>
              <w:rPr>
                <w:sz w:val="20"/>
                <w:szCs w:val="20"/>
                <w:color w:val="auto"/>
              </w:rPr>
            </w:pPr>
            <w:r>
              <w:rPr>
                <w:rFonts w:ascii="Arial" w:cs="Arial" w:eastAsia="Arial" w:hAnsi="Arial"/>
                <w:sz w:val="8"/>
                <w:szCs w:val="8"/>
                <w:color w:val="auto"/>
                <w:w w:val="81"/>
              </w:rPr>
              <w:t>(2)</w:t>
            </w:r>
          </w:p>
        </w:tc>
        <w:tc>
          <w:tcPr>
            <w:tcW w:w="2740" w:type="dxa"/>
            <w:vAlign w:val="bottom"/>
            <w:gridSpan w:val="10"/>
            <w:vMerge w:val="restart"/>
          </w:tcPr>
          <w:p>
            <w:pPr>
              <w:spacing w:after="0"/>
              <w:rPr>
                <w:sz w:val="10"/>
                <w:szCs w:val="10"/>
                <w:color w:val="auto"/>
              </w:rPr>
            </w:pPr>
          </w:p>
        </w:tc>
        <w:tc>
          <w:tcPr>
            <w:tcW w:w="64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140" w:type="dxa"/>
            <w:vAlign w:val="bottom"/>
            <w:tcBorders>
              <w:righ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Borders>
              <w:bottom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gridSpan w:val="10"/>
            <w:vMerge w:val="continue"/>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300" w:type="dxa"/>
            <w:vAlign w:val="bottom"/>
            <w:gridSpan w:val="18"/>
            <w:vMerge w:val="restart"/>
          </w:tcPr>
          <w:p>
            <w:pPr>
              <w:jc w:val="center"/>
              <w:ind w:right="2900"/>
              <w:spacing w:after="0"/>
              <w:rPr>
                <w:sz w:val="20"/>
                <w:szCs w:val="20"/>
                <w:color w:val="auto"/>
              </w:rPr>
            </w:pPr>
            <w:r>
              <w:rPr>
                <w:rFonts w:ascii="Arial" w:cs="Arial" w:eastAsia="Arial" w:hAnsi="Arial"/>
                <w:sz w:val="13"/>
                <w:szCs w:val="13"/>
                <w:color w:val="auto"/>
              </w:rPr>
              <w:t>Risk -weighted assets</w:t>
            </w:r>
          </w:p>
        </w:tc>
        <w:tc>
          <w:tcPr>
            <w:tcW w:w="0" w:type="dxa"/>
            <w:vAlign w:val="bottom"/>
          </w:tcPr>
          <w:p>
            <w:pPr>
              <w:spacing w:after="0"/>
              <w:rPr>
                <w:sz w:val="1"/>
                <w:szCs w:val="1"/>
                <w:color w:val="auto"/>
              </w:rPr>
            </w:pPr>
          </w:p>
        </w:tc>
      </w:tr>
      <w:tr>
        <w:trPr>
          <w:trHeight w:val="90"/>
        </w:trPr>
        <w:tc>
          <w:tcPr>
            <w:tcW w:w="114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300" w:type="dxa"/>
            <w:vAlign w:val="bottom"/>
            <w:gridSpan w:val="1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1140" w:type="dxa"/>
            <w:vAlign w:val="bottom"/>
            <w:tcBorders>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11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 xml:space="preserve">Common Equity Tier 1 ratio </w:t>
            </w:r>
            <w:r>
              <w:rPr>
                <w:rFonts w:ascii="Arial" w:cs="Arial" w:eastAsia="Arial" w:hAnsi="Arial"/>
                <w:sz w:val="21"/>
                <w:szCs w:val="21"/>
                <w:b w:val="1"/>
                <w:bCs w:val="1"/>
                <w:color w:val="auto"/>
                <w:vertAlign w:val="superscript"/>
              </w:rPr>
              <w:t>(3)</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40" w:type="dxa"/>
            <w:vAlign w:val="bottom"/>
            <w:gridSpan w:val="11"/>
            <w:vMerge w:val="restart"/>
          </w:tcPr>
          <w:p>
            <w:pPr>
              <w:spacing w:after="0"/>
              <w:rPr>
                <w:sz w:val="20"/>
                <w:szCs w:val="20"/>
                <w:color w:val="auto"/>
              </w:rPr>
            </w:pPr>
            <w:r>
              <w:rPr>
                <w:rFonts w:ascii="Arial" w:cs="Arial" w:eastAsia="Arial" w:hAnsi="Arial"/>
                <w:sz w:val="13"/>
                <w:szCs w:val="13"/>
                <w:color w:val="auto"/>
              </w:rPr>
              <w:t>Capital+Reserves -100% of applicable deductions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w:t>
            </w:r>
          </w:p>
        </w:tc>
        <w:tc>
          <w:tcPr>
            <w:tcW w:w="3480" w:type="dxa"/>
            <w:vAlign w:val="bottom"/>
            <w:gridSpan w:val="14"/>
            <w:vMerge w:val="restart"/>
          </w:tcPr>
          <w:p>
            <w:pPr>
              <w:spacing w:after="0"/>
              <w:rPr>
                <w:sz w:val="20"/>
                <w:szCs w:val="20"/>
                <w:color w:val="auto"/>
              </w:rPr>
            </w:pPr>
            <w:r>
              <w:rPr>
                <w:rFonts w:ascii="Arial" w:cs="Arial" w:eastAsia="Arial" w:hAnsi="Arial"/>
                <w:sz w:val="13"/>
                <w:szCs w:val="13"/>
                <w:color w:val="auto"/>
              </w:rPr>
              <w:t>+ Retained Earnings+Unrealized gains or losses</w:t>
            </w:r>
          </w:p>
        </w:tc>
        <w:tc>
          <w:tcPr>
            <w:tcW w:w="0" w:type="dxa"/>
            <w:vAlign w:val="bottom"/>
          </w:tcPr>
          <w:p>
            <w:pPr>
              <w:spacing w:after="0"/>
              <w:rPr>
                <w:sz w:val="1"/>
                <w:szCs w:val="1"/>
                <w:color w:val="auto"/>
              </w:rPr>
            </w:pPr>
          </w:p>
        </w:tc>
      </w:tr>
      <w:tr>
        <w:trPr>
          <w:trHeight w:val="76"/>
        </w:trPr>
        <w:tc>
          <w:tcPr>
            <w:tcW w:w="11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940" w:type="dxa"/>
            <w:vAlign w:val="bottom"/>
            <w:gridSpan w:val="11"/>
            <w:vMerge w:val="continue"/>
          </w:tcPr>
          <w:p>
            <w:pPr>
              <w:spacing w:after="0"/>
              <w:rPr>
                <w:sz w:val="6"/>
                <w:szCs w:val="6"/>
                <w:color w:val="auto"/>
              </w:rPr>
            </w:pPr>
          </w:p>
        </w:tc>
        <w:tc>
          <w:tcPr>
            <w:tcW w:w="120" w:type="dxa"/>
            <w:vAlign w:val="bottom"/>
          </w:tcPr>
          <w:p>
            <w:pPr>
              <w:spacing w:after="0"/>
              <w:rPr>
                <w:sz w:val="6"/>
                <w:szCs w:val="6"/>
                <w:color w:val="auto"/>
              </w:rPr>
            </w:pPr>
          </w:p>
        </w:tc>
        <w:tc>
          <w:tcPr>
            <w:tcW w:w="3480" w:type="dxa"/>
            <w:vAlign w:val="bottom"/>
            <w:gridSpan w:val="1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auto"/>
            </w:tcBorders>
          </w:tcPr>
          <w:p>
            <w:pPr>
              <w:spacing w:after="0" w:line="20" w:lineRule="exact"/>
              <w:rPr>
                <w:sz w:val="1"/>
                <w:szCs w:val="1"/>
                <w:color w:val="auto"/>
              </w:rPr>
            </w:pPr>
          </w:p>
        </w:tc>
        <w:tc>
          <w:tcPr>
            <w:tcW w:w="2240" w:type="dxa"/>
            <w:vAlign w:val="bottom"/>
            <w:tcBorders>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1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300" w:type="dxa"/>
            <w:vAlign w:val="bottom"/>
            <w:gridSpan w:val="18"/>
            <w:vMerge w:val="restart"/>
          </w:tcPr>
          <w:p>
            <w:pPr>
              <w:jc w:val="center"/>
              <w:ind w:right="2900"/>
              <w:spacing w:after="0"/>
              <w:rPr>
                <w:sz w:val="20"/>
                <w:szCs w:val="20"/>
                <w:color w:val="auto"/>
              </w:rPr>
            </w:pPr>
            <w:r>
              <w:rPr>
                <w:rFonts w:ascii="Arial" w:cs="Arial" w:eastAsia="Arial" w:hAnsi="Arial"/>
                <w:sz w:val="13"/>
                <w:szCs w:val="13"/>
                <w:color w:val="auto"/>
              </w:rPr>
              <w:t>Risk -weighted assets</w:t>
            </w:r>
          </w:p>
        </w:tc>
        <w:tc>
          <w:tcPr>
            <w:tcW w:w="0" w:type="dxa"/>
            <w:vAlign w:val="bottom"/>
          </w:tcPr>
          <w:p>
            <w:pPr>
              <w:spacing w:after="0"/>
              <w:rPr>
                <w:sz w:val="1"/>
                <w:szCs w:val="1"/>
                <w:color w:val="auto"/>
              </w:rPr>
            </w:pPr>
          </w:p>
        </w:tc>
      </w:tr>
      <w:tr>
        <w:trPr>
          <w:trHeight w:val="42"/>
        </w:trPr>
        <w:tc>
          <w:tcPr>
            <w:tcW w:w="1140" w:type="dxa"/>
            <w:vAlign w:val="bottom"/>
            <w:tcBorders>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300" w:type="dxa"/>
            <w:vAlign w:val="bottom"/>
            <w:gridSpan w:val="1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11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60" w:hanging="154"/>
        <w:spacing w:after="0"/>
        <w:tabs>
          <w:tab w:leader="none" w:pos="1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Averages are determined as the average of period-beginning and period-ending balances.</w:t>
      </w:r>
    </w:p>
    <w:p>
      <w:pPr>
        <w:spacing w:after="0" w:line="15" w:lineRule="exact"/>
        <w:rPr>
          <w:rFonts w:ascii="Arial" w:cs="Arial" w:eastAsia="Arial" w:hAnsi="Arial"/>
          <w:sz w:val="11"/>
          <w:szCs w:val="11"/>
          <w:color w:val="auto"/>
        </w:rPr>
      </w:pPr>
    </w:p>
    <w:p>
      <w:pPr>
        <w:ind w:left="160" w:hanging="154"/>
        <w:spacing w:after="0"/>
        <w:tabs>
          <w:tab w:leader="none" w:pos="1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Includes investment in subsidiaries, goodwill, intangibles and deferred tax that rely on future profitability.</w:t>
      </w:r>
    </w:p>
    <w:p>
      <w:pPr>
        <w:spacing w:after="0" w:line="5" w:lineRule="exact"/>
        <w:rPr>
          <w:rFonts w:ascii="Arial" w:cs="Arial" w:eastAsia="Arial" w:hAnsi="Arial"/>
          <w:sz w:val="11"/>
          <w:szCs w:val="11"/>
          <w:color w:val="auto"/>
        </w:rPr>
      </w:pPr>
    </w:p>
    <w:p>
      <w:pPr>
        <w:ind w:right="200" w:firstLine="6"/>
        <w:spacing w:after="0" w:line="250" w:lineRule="auto"/>
        <w:tabs>
          <w:tab w:leader="none" w:pos="162" w:val="left"/>
        </w:tabs>
        <w:numPr>
          <w:ilvl w:val="0"/>
          <w:numId w:val="61"/>
        </w:numPr>
        <w:rPr>
          <w:rFonts w:ascii="Arial" w:cs="Arial" w:eastAsia="Arial" w:hAnsi="Arial"/>
          <w:sz w:val="11"/>
          <w:szCs w:val="11"/>
          <w:color w:val="auto"/>
        </w:rPr>
      </w:pPr>
      <w:r>
        <w:rPr>
          <w:rFonts w:ascii="Arial" w:cs="Arial" w:eastAsia="Arial" w:hAnsi="Arial"/>
          <w:sz w:val="11"/>
          <w:szCs w:val="11"/>
          <w:color w:val="auto"/>
        </w:rPr>
        <w:t>Common Equity Tier 1 = Capital Stock + Reserves + Accumulated earnings – Unrealized profits or losses - 100% deductions (investment in subsidiaries, goodwill, intangible assets and deferred tax assets based on future returns).</w:t>
      </w:r>
    </w:p>
    <w:p>
      <w:pPr>
        <w:ind w:left="160" w:hanging="154"/>
        <w:spacing w:after="0"/>
        <w:tabs>
          <w:tab w:leader="none" w:pos="1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Includes investment in subsidiaries, goodwill, intangible assets and deferred taxes based on future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690880</wp:posOffset>
            </wp:positionV>
            <wp:extent cx="6707505"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111760</wp:posOffset>
            </wp:positionV>
            <wp:extent cx="6395085" cy="4876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395085" cy="487680"/>
                    </a:xfrm>
                    <a:prstGeom prst="rect">
                      <a:avLst/>
                    </a:prstGeom>
                    <a:noFill/>
                  </pic:spPr>
                </pic:pic>
              </a:graphicData>
            </a:graphic>
          </wp:anchor>
        </w:drawing>
      </w:r>
    </w:p>
    <w:p>
      <w:pPr>
        <w:sectPr>
          <w:pgSz w:w="11900" w:h="16840" w:orient="portrait"/>
          <w:cols w:equalWidth="0" w:num="1">
            <w:col w:w="10560"/>
          </w:cols>
          <w:pgMar w:left="660" w:top="931" w:right="680" w:bottom="1440" w:gutter="0" w:footer="0" w:header="0"/>
        </w:sectPr>
      </w:pPr>
    </w:p>
    <w:bookmarkStart w:id="72" w:name="page73"/>
    <w:bookmarkEnd w:id="72"/>
    <w:p>
      <w:pPr>
        <w:ind w:left="2560"/>
        <w:spacing w:after="0"/>
        <w:tabs>
          <w:tab w:leader="none" w:pos="2800" w:val="left"/>
          <w:tab w:leader="none" w:pos="82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662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07505" cy="662940"/>
                    </a:xfrm>
                    <a:prstGeom prst="rect">
                      <a:avLst/>
                    </a:prstGeom>
                    <a:noFill/>
                  </pic:spPr>
                </pic:pic>
              </a:graphicData>
            </a:graphic>
          </wp:anchor>
        </w:drawing>
        <w:t>|</w:t>
      </w:r>
      <w:r>
        <w:rPr>
          <w:sz w:val="20"/>
          <w:szCs w:val="20"/>
          <w:color w:val="auto"/>
        </w:rPr>
        <w:tab/>
      </w:r>
      <w:r>
        <w:rPr>
          <w:rFonts w:ascii="Arial" w:cs="Arial" w:eastAsia="Arial" w:hAnsi="Arial"/>
          <w:sz w:val="13"/>
          <w:szCs w:val="13"/>
          <w:color w:val="FFFFFF"/>
        </w:rPr>
        <w:t>Earnings Release 3Q / 2025</w:t>
      </w:r>
      <w:r>
        <w:rPr>
          <w:sz w:val="20"/>
          <w:szCs w:val="20"/>
          <w:color w:val="auto"/>
        </w:rPr>
        <w:tab/>
      </w:r>
      <w:r>
        <w:rPr>
          <w:rFonts w:ascii="Arial" w:cs="Arial" w:eastAsia="Arial" w:hAnsi="Arial"/>
          <w:sz w:val="13"/>
          <w:szCs w:val="13"/>
          <w:color w:val="ED3FA8"/>
        </w:rPr>
        <w:t>Analysis of 3Q25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07505" cy="2057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07505"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12. Appendix</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12.9. Glossary of terms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860" w:type="dxa"/>
            <w:vAlign w:val="bottom"/>
            <w:tcBorders>
              <w:top w:val="single" w:sz="8" w:color="auto"/>
              <w:left w:val="single" w:sz="8" w:color="auto"/>
              <w:bottom w:val="single" w:sz="8" w:color="auto"/>
              <w:right w:val="single" w:sz="8" w:color="auto"/>
            </w:tcBorders>
            <w:shd w:val="clear" w:color="auto" w:fill="33CCCC"/>
          </w:tcPr>
          <w:p>
            <w:pPr>
              <w:ind w:left="1780"/>
              <w:spacing w:after="0"/>
              <w:rPr>
                <w:sz w:val="20"/>
                <w:szCs w:val="20"/>
                <w:color w:val="auto"/>
              </w:rPr>
            </w:pPr>
            <w:r>
              <w:rPr>
                <w:rFonts w:ascii="Arial" w:cs="Arial" w:eastAsia="Arial" w:hAnsi="Arial"/>
                <w:sz w:val="13"/>
                <w:szCs w:val="13"/>
                <w:b w:val="1"/>
                <w:bCs w:val="1"/>
                <w:color w:val="FFFFFF"/>
              </w:rPr>
              <w:t>Term</w:t>
            </w:r>
          </w:p>
        </w:tc>
        <w:tc>
          <w:tcPr>
            <w:tcW w:w="6720" w:type="dxa"/>
            <w:vAlign w:val="bottom"/>
            <w:tcBorders>
              <w:top w:val="single" w:sz="8" w:color="auto"/>
              <w:bottom w:val="single" w:sz="8" w:color="auto"/>
              <w:right w:val="single" w:sz="8" w:color="auto"/>
            </w:tcBorders>
            <w:shd w:val="clear" w:color="auto" w:fill="33CCCC"/>
          </w:tcPr>
          <w:p>
            <w:pPr>
              <w:ind w:left="3040"/>
              <w:spacing w:after="0"/>
              <w:rPr>
                <w:sz w:val="20"/>
                <w:szCs w:val="20"/>
                <w:color w:val="auto"/>
              </w:rPr>
            </w:pPr>
            <w:r>
              <w:rPr>
                <w:rFonts w:ascii="Arial" w:cs="Arial" w:eastAsia="Arial" w:hAnsi="Arial"/>
                <w:sz w:val="13"/>
                <w:szCs w:val="13"/>
                <w:b w:val="1"/>
                <w:bCs w:val="1"/>
                <w:color w:val="FFFFFF"/>
              </w:rPr>
              <w:t>Definition</w:t>
            </w:r>
          </w:p>
        </w:tc>
        <w:tc>
          <w:tcPr>
            <w:tcW w:w="0" w:type="dxa"/>
            <w:vAlign w:val="bottom"/>
          </w:tcPr>
          <w:p>
            <w:pPr>
              <w:spacing w:after="0"/>
              <w:rPr>
                <w:sz w:val="1"/>
                <w:szCs w:val="1"/>
                <w:color w:val="auto"/>
              </w:rPr>
            </w:pPr>
          </w:p>
        </w:tc>
      </w:tr>
      <w:tr>
        <w:trPr>
          <w:trHeight w:val="148"/>
        </w:trPr>
        <w:tc>
          <w:tcPr>
            <w:tcW w:w="386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AFP</w:t>
            </w:r>
          </w:p>
        </w:tc>
        <w:tc>
          <w:tcPr>
            <w:tcW w:w="6720" w:type="dxa"/>
            <w:vAlign w:val="bottom"/>
            <w:tcBorders>
              <w:bottom w:val="single" w:sz="8" w:color="auto"/>
              <w:right w:val="single" w:sz="8" w:color="auto"/>
            </w:tcBorders>
          </w:tcPr>
          <w:p>
            <w:pPr>
              <w:spacing w:after="0" w:line="148" w:lineRule="exact"/>
              <w:rPr>
                <w:sz w:val="20"/>
                <w:szCs w:val="20"/>
                <w:color w:val="auto"/>
              </w:rPr>
            </w:pPr>
            <w:r>
              <w:rPr>
                <w:rFonts w:ascii="Arial" w:cs="Arial" w:eastAsia="Arial" w:hAnsi="Arial"/>
                <w:sz w:val="13"/>
                <w:szCs w:val="13"/>
                <w:color w:val="auto"/>
              </w:rPr>
              <w:t>Administradora de Fondo de Pensiones or Private Pension Funds Administrators</w:t>
            </w:r>
          </w:p>
        </w:tc>
        <w:tc>
          <w:tcPr>
            <w:tcW w:w="0" w:type="dxa"/>
            <w:vAlign w:val="bottom"/>
          </w:tcPr>
          <w:p>
            <w:pPr>
              <w:spacing w:after="0"/>
              <w:rPr>
                <w:sz w:val="1"/>
                <w:szCs w:val="1"/>
                <w:color w:val="auto"/>
              </w:rPr>
            </w:pPr>
          </w:p>
        </w:tc>
      </w:tr>
      <w:tr>
        <w:trPr>
          <w:trHeight w:val="148"/>
        </w:trPr>
        <w:tc>
          <w:tcPr>
            <w:tcW w:w="386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BCRP</w:t>
            </w:r>
          </w:p>
        </w:tc>
        <w:tc>
          <w:tcPr>
            <w:tcW w:w="6720" w:type="dxa"/>
            <w:vAlign w:val="bottom"/>
            <w:tcBorders>
              <w:bottom w:val="single" w:sz="8" w:color="auto"/>
              <w:right w:val="single" w:sz="8" w:color="auto"/>
            </w:tcBorders>
          </w:tcPr>
          <w:p>
            <w:pPr>
              <w:spacing w:after="0" w:line="148" w:lineRule="exact"/>
              <w:rPr>
                <w:sz w:val="20"/>
                <w:szCs w:val="20"/>
                <w:color w:val="auto"/>
              </w:rPr>
            </w:pPr>
            <w:r>
              <w:rPr>
                <w:rFonts w:ascii="Arial" w:cs="Arial" w:eastAsia="Arial" w:hAnsi="Arial"/>
                <w:sz w:val="13"/>
                <w:szCs w:val="13"/>
                <w:color w:val="auto"/>
              </w:rPr>
              <w:t>Banco Central de Reserva del Perú or Peruvian Central Bank</w:t>
            </w:r>
          </w:p>
        </w:tc>
        <w:tc>
          <w:tcPr>
            <w:tcW w:w="0" w:type="dxa"/>
            <w:vAlign w:val="bottom"/>
          </w:tcPr>
          <w:p>
            <w:pPr>
              <w:spacing w:after="0"/>
              <w:rPr>
                <w:sz w:val="1"/>
                <w:szCs w:val="1"/>
                <w:color w:val="auto"/>
              </w:rPr>
            </w:pPr>
          </w:p>
        </w:tc>
      </w:tr>
      <w:tr>
        <w:trPr>
          <w:trHeight w:val="137"/>
        </w:trPr>
        <w:tc>
          <w:tcPr>
            <w:tcW w:w="3860" w:type="dxa"/>
            <w:vAlign w:val="bottom"/>
            <w:tcBorders>
              <w:left w:val="single" w:sz="8" w:color="auto"/>
              <w:right w:val="single" w:sz="8" w:color="auto"/>
            </w:tcBorders>
          </w:tcPr>
          <w:p>
            <w:pPr>
              <w:spacing w:after="0"/>
              <w:rPr>
                <w:sz w:val="11"/>
                <w:szCs w:val="11"/>
                <w:color w:val="auto"/>
              </w:rPr>
            </w:pPr>
          </w:p>
        </w:tc>
        <w:tc>
          <w:tcPr>
            <w:tcW w:w="6720" w:type="dxa"/>
            <w:vAlign w:val="bottom"/>
            <w:tcBorders>
              <w:right w:val="single" w:sz="8" w:color="auto"/>
            </w:tcBorders>
          </w:tcPr>
          <w:p>
            <w:pPr>
              <w:spacing w:after="0" w:line="137" w:lineRule="exact"/>
              <w:rPr>
                <w:sz w:val="20"/>
                <w:szCs w:val="20"/>
                <w:color w:val="auto"/>
              </w:rPr>
            </w:pPr>
            <w:r>
              <w:rPr>
                <w:rFonts w:ascii="Arial" w:cs="Arial" w:eastAsia="Arial" w:hAnsi="Arial"/>
                <w:sz w:val="13"/>
                <w:szCs w:val="13"/>
                <w:color w:val="auto"/>
              </w:rPr>
              <w:t>Stock of financially included clients through BCP since 2020. New clients with BCP</w:t>
            </w:r>
          </w:p>
        </w:tc>
        <w:tc>
          <w:tcPr>
            <w:tcW w:w="0" w:type="dxa"/>
            <w:vAlign w:val="bottom"/>
          </w:tcPr>
          <w:p>
            <w:pPr>
              <w:spacing w:after="0"/>
              <w:rPr>
                <w:sz w:val="1"/>
                <w:szCs w:val="1"/>
                <w:color w:val="auto"/>
              </w:rPr>
            </w:pPr>
          </w:p>
        </w:tc>
      </w:tr>
      <w:tr>
        <w:trPr>
          <w:trHeight w:val="156"/>
        </w:trPr>
        <w:tc>
          <w:tcPr>
            <w:tcW w:w="38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Financially Included</w:t>
            </w:r>
          </w:p>
        </w:tc>
        <w:tc>
          <w:tcPr>
            <w:tcW w:w="6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savings accounts or new Yape affiliates that: (i) Do not have debt in the financial system nor other BCP products in</w:t>
            </w:r>
          </w:p>
        </w:tc>
        <w:tc>
          <w:tcPr>
            <w:tcW w:w="0" w:type="dxa"/>
            <w:vAlign w:val="bottom"/>
          </w:tcPr>
          <w:p>
            <w:pPr>
              <w:spacing w:after="0"/>
              <w:rPr>
                <w:sz w:val="1"/>
                <w:szCs w:val="1"/>
                <w:color w:val="auto"/>
              </w:rPr>
            </w:pPr>
          </w:p>
        </w:tc>
      </w:tr>
      <w:tr>
        <w:trPr>
          <w:trHeight w:val="95"/>
        </w:trPr>
        <w:tc>
          <w:tcPr>
            <w:tcW w:w="3860" w:type="dxa"/>
            <w:vAlign w:val="bottom"/>
            <w:tcBorders>
              <w:left w:val="single" w:sz="8" w:color="auto"/>
              <w:right w:val="single" w:sz="8" w:color="auto"/>
            </w:tcBorders>
            <w:vMerge w:val="continue"/>
          </w:tcPr>
          <w:p>
            <w:pPr>
              <w:spacing w:after="0"/>
              <w:rPr>
                <w:sz w:val="8"/>
                <w:szCs w:val="8"/>
                <w:color w:val="auto"/>
              </w:rPr>
            </w:pPr>
          </w:p>
        </w:tc>
        <w:tc>
          <w:tcPr>
            <w:tcW w:w="67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 12 months prior to their inclusion,</w:t>
            </w:r>
          </w:p>
        </w:tc>
        <w:tc>
          <w:tcPr>
            <w:tcW w:w="0" w:type="dxa"/>
            <w:vAlign w:val="bottom"/>
          </w:tcPr>
          <w:p>
            <w:pPr>
              <w:spacing w:after="0"/>
              <w:rPr>
                <w:sz w:val="1"/>
                <w:szCs w:val="1"/>
                <w:color w:val="auto"/>
              </w:rPr>
            </w:pPr>
          </w:p>
        </w:tc>
      </w:tr>
      <w:tr>
        <w:trPr>
          <w:trHeight w:val="61"/>
        </w:trPr>
        <w:tc>
          <w:tcPr>
            <w:tcW w:w="3860" w:type="dxa"/>
            <w:vAlign w:val="bottom"/>
            <w:tcBorders>
              <w:left w:val="single" w:sz="8" w:color="auto"/>
              <w:right w:val="single" w:sz="8" w:color="auto"/>
            </w:tcBorders>
          </w:tcPr>
          <w:p>
            <w:pPr>
              <w:spacing w:after="0"/>
              <w:rPr>
                <w:sz w:val="5"/>
                <w:szCs w:val="5"/>
                <w:color w:val="auto"/>
              </w:rPr>
            </w:pPr>
          </w:p>
        </w:tc>
        <w:tc>
          <w:tcPr>
            <w:tcW w:w="67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3860" w:type="dxa"/>
            <w:vAlign w:val="bottom"/>
            <w:tcBorders>
              <w:left w:val="single" w:sz="8" w:color="auto"/>
              <w:bottom w:val="single" w:sz="8" w:color="auto"/>
              <w:right w:val="single" w:sz="8" w:color="auto"/>
            </w:tcBorders>
          </w:tcPr>
          <w:p>
            <w:pPr>
              <w:spacing w:after="0"/>
              <w:rPr>
                <w:sz w:val="14"/>
                <w:szCs w:val="14"/>
                <w:color w:val="auto"/>
              </w:rPr>
            </w:pPr>
          </w:p>
        </w:tc>
        <w:tc>
          <w:tcPr>
            <w:tcW w:w="6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and (ii) Have performed at least 3 monthly transactions on average through any BCP channel in the last 3 months</w:t>
            </w:r>
          </w:p>
        </w:tc>
        <w:tc>
          <w:tcPr>
            <w:tcW w:w="0" w:type="dxa"/>
            <w:vAlign w:val="bottom"/>
          </w:tcPr>
          <w:p>
            <w:pPr>
              <w:spacing w:after="0"/>
              <w:rPr>
                <w:sz w:val="1"/>
                <w:szCs w:val="1"/>
                <w:color w:val="auto"/>
              </w:rPr>
            </w:pPr>
          </w:p>
        </w:tc>
      </w:tr>
      <w:tr>
        <w:trPr>
          <w:trHeight w:val="148"/>
        </w:trPr>
        <w:tc>
          <w:tcPr>
            <w:tcW w:w="386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GMV</w:t>
            </w:r>
          </w:p>
        </w:tc>
        <w:tc>
          <w:tcPr>
            <w:tcW w:w="6720" w:type="dxa"/>
            <w:vAlign w:val="bottom"/>
            <w:tcBorders>
              <w:bottom w:val="single" w:sz="8" w:color="auto"/>
              <w:right w:val="single" w:sz="8" w:color="auto"/>
            </w:tcBorders>
          </w:tcPr>
          <w:p>
            <w:pPr>
              <w:spacing w:after="0" w:line="148" w:lineRule="exact"/>
              <w:rPr>
                <w:sz w:val="20"/>
                <w:szCs w:val="20"/>
                <w:color w:val="auto"/>
              </w:rPr>
            </w:pPr>
            <w:r>
              <w:rPr>
                <w:rFonts w:ascii="Arial" w:cs="Arial" w:eastAsia="Arial" w:hAnsi="Arial"/>
                <w:sz w:val="13"/>
                <w:szCs w:val="13"/>
                <w:color w:val="auto"/>
              </w:rPr>
              <w:t>Gross Merchant Volume</w:t>
            </w:r>
          </w:p>
        </w:tc>
        <w:tc>
          <w:tcPr>
            <w:tcW w:w="0" w:type="dxa"/>
            <w:vAlign w:val="bottom"/>
          </w:tcPr>
          <w:p>
            <w:pPr>
              <w:spacing w:after="0"/>
              <w:rPr>
                <w:sz w:val="1"/>
                <w:szCs w:val="1"/>
                <w:color w:val="auto"/>
              </w:rPr>
            </w:pPr>
          </w:p>
        </w:tc>
      </w:tr>
      <w:tr>
        <w:trPr>
          <w:trHeight w:val="137"/>
        </w:trPr>
        <w:tc>
          <w:tcPr>
            <w:tcW w:w="38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Government Program Loans ("GP" or "GP Loans")</w:t>
            </w:r>
          </w:p>
        </w:tc>
        <w:tc>
          <w:tcPr>
            <w:tcW w:w="6720" w:type="dxa"/>
            <w:vAlign w:val="bottom"/>
            <w:tcBorders>
              <w:right w:val="single" w:sz="8" w:color="auto"/>
            </w:tcBorders>
          </w:tcPr>
          <w:p>
            <w:pPr>
              <w:spacing w:after="0" w:line="137" w:lineRule="exact"/>
              <w:rPr>
                <w:sz w:val="20"/>
                <w:szCs w:val="20"/>
                <w:color w:val="auto"/>
              </w:rPr>
            </w:pPr>
            <w:r>
              <w:rPr>
                <w:rFonts w:ascii="Arial" w:cs="Arial" w:eastAsia="Arial" w:hAnsi="Arial"/>
                <w:sz w:val="13"/>
                <w:szCs w:val="13"/>
                <w:color w:val="auto"/>
              </w:rPr>
              <w:t>Loan Portfolio related to Reactiva Peru, FAE-Mype and Impulso Myperu programs to respond quickly and</w:t>
            </w:r>
          </w:p>
        </w:tc>
        <w:tc>
          <w:tcPr>
            <w:tcW w:w="0" w:type="dxa"/>
            <w:vAlign w:val="bottom"/>
          </w:tcPr>
          <w:p>
            <w:pPr>
              <w:spacing w:after="0"/>
              <w:rPr>
                <w:sz w:val="1"/>
                <w:szCs w:val="1"/>
                <w:color w:val="auto"/>
              </w:rPr>
            </w:pPr>
          </w:p>
        </w:tc>
      </w:tr>
      <w:tr>
        <w:trPr>
          <w:trHeight w:val="95"/>
        </w:trPr>
        <w:tc>
          <w:tcPr>
            <w:tcW w:w="3860" w:type="dxa"/>
            <w:vAlign w:val="bottom"/>
            <w:tcBorders>
              <w:left w:val="single" w:sz="8" w:color="auto"/>
              <w:right w:val="single" w:sz="8" w:color="auto"/>
            </w:tcBorders>
            <w:vMerge w:val="continue"/>
          </w:tcPr>
          <w:p>
            <w:pPr>
              <w:spacing w:after="0"/>
              <w:rPr>
                <w:sz w:val="8"/>
                <w:szCs w:val="8"/>
                <w:color w:val="auto"/>
              </w:rPr>
            </w:pPr>
          </w:p>
        </w:tc>
        <w:tc>
          <w:tcPr>
            <w:tcW w:w="67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effectively to liquidity needs and maintain the payment chain</w:t>
            </w:r>
          </w:p>
        </w:tc>
        <w:tc>
          <w:tcPr>
            <w:tcW w:w="0" w:type="dxa"/>
            <w:vAlign w:val="bottom"/>
          </w:tcPr>
          <w:p>
            <w:pPr>
              <w:spacing w:after="0"/>
              <w:rPr>
                <w:sz w:val="1"/>
                <w:szCs w:val="1"/>
                <w:color w:val="auto"/>
              </w:rPr>
            </w:pPr>
          </w:p>
        </w:tc>
      </w:tr>
      <w:tr>
        <w:trPr>
          <w:trHeight w:val="72"/>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6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86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MAU</w:t>
            </w:r>
          </w:p>
        </w:tc>
        <w:tc>
          <w:tcPr>
            <w:tcW w:w="6720" w:type="dxa"/>
            <w:vAlign w:val="bottom"/>
            <w:tcBorders>
              <w:bottom w:val="single" w:sz="8" w:color="auto"/>
              <w:right w:val="single" w:sz="8" w:color="auto"/>
            </w:tcBorders>
          </w:tcPr>
          <w:p>
            <w:pPr>
              <w:spacing w:after="0" w:line="148" w:lineRule="exact"/>
              <w:rPr>
                <w:sz w:val="20"/>
                <w:szCs w:val="20"/>
                <w:color w:val="auto"/>
              </w:rPr>
            </w:pPr>
            <w:r>
              <w:rPr>
                <w:rFonts w:ascii="Arial" w:cs="Arial" w:eastAsia="Arial" w:hAnsi="Arial"/>
                <w:sz w:val="13"/>
                <w:szCs w:val="13"/>
                <w:color w:val="auto"/>
              </w:rPr>
              <w:t>Monthly Active Users</w:t>
            </w:r>
          </w:p>
        </w:tc>
        <w:tc>
          <w:tcPr>
            <w:tcW w:w="0" w:type="dxa"/>
            <w:vAlign w:val="bottom"/>
          </w:tcPr>
          <w:p>
            <w:pPr>
              <w:spacing w:after="0"/>
              <w:rPr>
                <w:sz w:val="1"/>
                <w:szCs w:val="1"/>
                <w:color w:val="auto"/>
              </w:rPr>
            </w:pPr>
          </w:p>
        </w:tc>
      </w:tr>
      <w:tr>
        <w:trPr>
          <w:trHeight w:val="148"/>
        </w:trPr>
        <w:tc>
          <w:tcPr>
            <w:tcW w:w="386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MEF</w:t>
            </w:r>
          </w:p>
        </w:tc>
        <w:tc>
          <w:tcPr>
            <w:tcW w:w="6720" w:type="dxa"/>
            <w:vAlign w:val="bottom"/>
            <w:tcBorders>
              <w:bottom w:val="single" w:sz="8" w:color="auto"/>
              <w:right w:val="single" w:sz="8" w:color="auto"/>
            </w:tcBorders>
          </w:tcPr>
          <w:p>
            <w:pPr>
              <w:spacing w:after="0" w:line="148" w:lineRule="exact"/>
              <w:rPr>
                <w:sz w:val="20"/>
                <w:szCs w:val="20"/>
                <w:color w:val="auto"/>
              </w:rPr>
            </w:pPr>
            <w:r>
              <w:rPr>
                <w:rFonts w:ascii="Arial" w:cs="Arial" w:eastAsia="Arial" w:hAnsi="Arial"/>
                <w:sz w:val="13"/>
                <w:szCs w:val="13"/>
                <w:color w:val="auto"/>
              </w:rPr>
              <w:t>Ministry of Economy and Finance of Peru</w:t>
            </w:r>
          </w:p>
        </w:tc>
        <w:tc>
          <w:tcPr>
            <w:tcW w:w="0" w:type="dxa"/>
            <w:vAlign w:val="bottom"/>
          </w:tcPr>
          <w:p>
            <w:pPr>
              <w:spacing w:after="0"/>
              <w:rPr>
                <w:sz w:val="1"/>
                <w:szCs w:val="1"/>
                <w:color w:val="auto"/>
              </w:rPr>
            </w:pPr>
          </w:p>
        </w:tc>
      </w:tr>
      <w:tr>
        <w:trPr>
          <w:trHeight w:val="148"/>
        </w:trPr>
        <w:tc>
          <w:tcPr>
            <w:tcW w:w="386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TPV</w:t>
            </w:r>
          </w:p>
        </w:tc>
        <w:tc>
          <w:tcPr>
            <w:tcW w:w="6720" w:type="dxa"/>
            <w:vAlign w:val="bottom"/>
            <w:tcBorders>
              <w:bottom w:val="single" w:sz="8" w:color="auto"/>
              <w:right w:val="single" w:sz="8" w:color="auto"/>
            </w:tcBorders>
          </w:tcPr>
          <w:p>
            <w:pPr>
              <w:spacing w:after="0" w:line="148" w:lineRule="exact"/>
              <w:rPr>
                <w:sz w:val="20"/>
                <w:szCs w:val="20"/>
                <w:color w:val="auto"/>
              </w:rPr>
            </w:pPr>
            <w:r>
              <w:rPr>
                <w:rFonts w:ascii="Arial" w:cs="Arial" w:eastAsia="Arial" w:hAnsi="Arial"/>
                <w:sz w:val="13"/>
                <w:szCs w:val="13"/>
                <w:color w:val="auto"/>
              </w:rPr>
              <w:t>Total Payment Volume</w:t>
            </w:r>
          </w:p>
        </w:tc>
        <w:tc>
          <w:tcPr>
            <w:tcW w:w="0" w:type="dxa"/>
            <w:vAlign w:val="bottom"/>
          </w:tcPr>
          <w:p>
            <w:pPr>
              <w:spacing w:after="0"/>
              <w:rPr>
                <w:sz w:val="1"/>
                <w:szCs w:val="1"/>
                <w:color w:val="auto"/>
              </w:rPr>
            </w:pPr>
          </w:p>
        </w:tc>
      </w:tr>
      <w:tr>
        <w:trPr>
          <w:trHeight w:val="1232"/>
        </w:trPr>
        <w:tc>
          <w:tcPr>
            <w:tcW w:w="38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-570865</wp:posOffset>
            </wp:positionV>
            <wp:extent cx="6410325" cy="5105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410325" cy="510540"/>
                    </a:xfrm>
                    <a:prstGeom prst="rect">
                      <a:avLst/>
                    </a:prstGeom>
                    <a:noFill/>
                  </pic:spPr>
                </pic:pic>
              </a:graphicData>
            </a:graphic>
          </wp:anchor>
        </w:drawing>
      </w:r>
    </w:p>
    <w:p>
      <w:pPr>
        <w:sectPr>
          <w:pgSz w:w="11900" w:h="16840" w:orient="portrait"/>
          <w:cols w:equalWidth="0" w:num="1">
            <w:col w:w="10560"/>
          </w:cols>
          <w:pgMar w:left="660" w:top="931" w:right="680" w:bottom="1440" w:gutter="0" w:footer="0" w:header="0"/>
        </w:sectPr>
      </w:pPr>
    </w:p>
    <w:bookmarkStart w:id="73" w:name="page74"/>
    <w:bookmarkEnd w:id="7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lowerRoman"/>
      <w:start w:val="2"/>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o"/>
      <w:numFmt w:val="bullet"/>
      <w:start w:val="1"/>
    </w:lvl>
  </w:abstractNum>
  <w:abstractNum w:abstractNumId="10">
    <w:nsid w:val="5072367"/>
    <w:multiLevelType w:val="hybridMultilevel"/>
    <w:lvl w:ilvl="0">
      <w:lvlJc w:val="left"/>
      <w:lvlText w:val="o"/>
      <w:numFmt w:val="bullet"/>
      <w:start w:val="1"/>
    </w:lvl>
    <w:lvl w:ilvl="1">
      <w:lvlJc w:val="left"/>
      <w:lvlText w:val="■"/>
      <w:numFmt w:val="bullet"/>
      <w:start w:val="1"/>
    </w:lvl>
  </w:abstractNum>
  <w:abstractNum w:abstractNumId="11">
    <w:nsid w:val="3804823E"/>
    <w:multiLevelType w:val="hybridMultilevel"/>
    <w:lvl w:ilvl="0">
      <w:lvlJc w:val="left"/>
      <w:lvlText w:val="o"/>
      <w:numFmt w:val="bullet"/>
      <w:start w:val="1"/>
    </w:lvl>
  </w:abstractNum>
  <w:abstractNum w:abstractNumId="12">
    <w:nsid w:val="77465F01"/>
    <w:multiLevelType w:val="hybridMultilevel"/>
    <w:lvl w:ilvl="0">
      <w:lvlJc w:val="left"/>
      <w:lvlText w:val="1"/>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1."/>
      <w:numFmt w:val="decimal"/>
      <w:start w:val="1"/>
    </w:lvl>
    <w:lvl w:ilvl="1">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decimal"/>
      <w:start w:val="1"/>
    </w:lvl>
    <w:lvl w:ilvl="1">
      <w:lvlJc w:val="left"/>
      <w:lvlText w:val="●"/>
      <w:numFmt w:val="bullet"/>
      <w:start w:val="1"/>
    </w:lvl>
  </w:abstractNum>
  <w:abstractNum w:abstractNumId="21">
    <w:nsid w:val="3855585C"/>
    <w:multiLevelType w:val="hybridMultilevel"/>
    <w:lvl w:ilvl="0">
      <w:lvlJc w:val="left"/>
      <w:lvlText w:val="(%1)"/>
      <w:numFmt w:val="decimal"/>
    </w:lvl>
    <w:lvl w:ilvl="1">
      <w:lvlJc w:val="left"/>
      <w:lvlText w:val="(*)"/>
      <w:numFmt w:val="bullet"/>
      <w:start w:val="1"/>
    </w:lvl>
  </w:abstractNum>
  <w:abstractNum w:abstractNumId="22">
    <w:nsid w:val="70A64E2A"/>
    <w:multiLevelType w:val="hybridMultilevel"/>
    <w:lvl w:ilvl="0">
      <w:lvlJc w:val="left"/>
      <w:lvlText w:val="%1."/>
      <w:numFmt w:val="decimal"/>
      <w:start w:val="6"/>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decimal"/>
      <w:start w:val="7"/>
    </w:lvl>
    <w:lvl w:ilvl="1">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bullet"/>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
      <w:numFmt w:val="bullet"/>
      <w:start w:val="1"/>
    </w:lvl>
    <w:lvl w:ilvl="1">
      <w:lvlJc w:val="left"/>
      <w:lvlText w:val="•"/>
      <w:numFmt w:val="bullet"/>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lowerRoman"/>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2025-11-17T12:02:07Z</dcterms:created>
  <dcterms:modified xsi:type="dcterms:W3CDTF">2025-11-17T12:02:07Z</dcterms:modified>
</cp:coreProperties>
</file>