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6-K/A</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Report of Foreign Private Issuer</w:t>
      </w:r>
    </w:p>
    <w:p>
      <w:pPr>
        <w:jc w:val="center"/>
        <w:spacing w:after="0" w:line="238" w:lineRule="auto"/>
        <w:rPr>
          <w:sz w:val="20"/>
          <w:szCs w:val="20"/>
          <w:color w:val="auto"/>
        </w:rPr>
      </w:pPr>
      <w:r>
        <w:rPr>
          <w:rFonts w:ascii="Arial" w:cs="Arial" w:eastAsia="Arial" w:hAnsi="Arial"/>
          <w:sz w:val="22"/>
          <w:szCs w:val="22"/>
          <w:color w:val="auto"/>
        </w:rPr>
        <w:t>Pursuant to Rule 13a-16 or 15d-16 under the</w:t>
      </w:r>
    </w:p>
    <w:p>
      <w:pPr>
        <w:jc w:val="center"/>
        <w:spacing w:after="0"/>
        <w:rPr>
          <w:sz w:val="20"/>
          <w:szCs w:val="20"/>
          <w:color w:val="auto"/>
        </w:rPr>
      </w:pPr>
      <w:r>
        <w:rPr>
          <w:rFonts w:ascii="Arial" w:cs="Arial" w:eastAsia="Arial" w:hAnsi="Arial"/>
          <w:sz w:val="22"/>
          <w:szCs w:val="22"/>
          <w:color w:val="auto"/>
        </w:rPr>
        <w:t>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month of March 2023</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Commission File Number: 001-14014</w:t>
      </w:r>
    </w:p>
    <w:p>
      <w:pPr>
        <w:spacing w:after="0" w:line="211" w:lineRule="exact"/>
        <w:rPr>
          <w:sz w:val="24"/>
          <w:szCs w:val="24"/>
          <w:color w:val="auto"/>
        </w:rPr>
      </w:pPr>
    </w:p>
    <w:p>
      <w:pPr>
        <w:ind w:left="3180"/>
        <w:spacing w:after="0"/>
        <w:rPr>
          <w:sz w:val="20"/>
          <w:szCs w:val="20"/>
          <w:color w:val="auto"/>
        </w:rPr>
      </w:pPr>
      <w:r>
        <w:rPr>
          <w:rFonts w:ascii="Arial" w:cs="Arial" w:eastAsia="Arial" w:hAnsi="Arial"/>
          <w:sz w:val="43"/>
          <w:szCs w:val="43"/>
          <w:b w:val="1"/>
          <w:bCs w:val="1"/>
          <w:color w:val="auto"/>
        </w:rPr>
        <w:t>CREDICORP LTD.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0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Of our subsidiary</w:t>
      </w:r>
    </w:p>
    <w:p>
      <w:pPr>
        <w:spacing w:after="0" w:line="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Banco de Credito del Peru:</w:t>
      </w:r>
    </w:p>
    <w:p>
      <w:pPr>
        <w:jc w:val="center"/>
        <w:ind w:right="60"/>
        <w:spacing w:after="0" w:line="230" w:lineRule="auto"/>
        <w:rPr>
          <w:sz w:val="20"/>
          <w:szCs w:val="20"/>
          <w:color w:val="auto"/>
        </w:rPr>
      </w:pPr>
      <w:r>
        <w:rPr>
          <w:rFonts w:ascii="Arial" w:cs="Arial" w:eastAsia="Arial" w:hAnsi="Arial"/>
          <w:sz w:val="22"/>
          <w:szCs w:val="22"/>
          <w:b w:val="1"/>
          <w:bCs w:val="1"/>
          <w:color w:val="auto"/>
        </w:rPr>
        <w:t>Calle Centenario 156</w:t>
      </w:r>
    </w:p>
    <w:p>
      <w:pPr>
        <w:jc w:val="center"/>
        <w:ind w:right="60"/>
        <w:spacing w:after="0" w:line="231" w:lineRule="auto"/>
        <w:rPr>
          <w:sz w:val="20"/>
          <w:szCs w:val="20"/>
          <w:color w:val="auto"/>
        </w:rPr>
      </w:pPr>
      <w:r>
        <w:rPr>
          <w:rFonts w:ascii="Arial" w:cs="Arial" w:eastAsia="Arial" w:hAnsi="Arial"/>
          <w:sz w:val="22"/>
          <w:szCs w:val="22"/>
          <w:b w:val="1"/>
          <w:bCs w:val="1"/>
          <w:color w:val="auto"/>
        </w:rPr>
        <w:t>La Molina 15026</w:t>
      </w:r>
    </w:p>
    <w:p>
      <w:pPr>
        <w:jc w:val="center"/>
        <w:ind w:right="60"/>
        <w:spacing w:after="0" w:line="230" w:lineRule="auto"/>
        <w:rPr>
          <w:sz w:val="20"/>
          <w:szCs w:val="20"/>
          <w:color w:val="auto"/>
        </w:rPr>
      </w:pPr>
      <w:r>
        <w:rPr>
          <w:rFonts w:ascii="Arial" w:cs="Arial" w:eastAsia="Arial" w:hAnsi="Arial"/>
          <w:sz w:val="22"/>
          <w:szCs w:val="22"/>
          <w:b w:val="1"/>
          <w:bCs w:val="1"/>
          <w:color w:val="auto"/>
        </w:rPr>
        <w:t>Lima, Peru</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41" w:lineRule="exact"/>
        <w:rPr>
          <w:sz w:val="24"/>
          <w:szCs w:val="24"/>
          <w:color w:val="auto"/>
        </w:rPr>
      </w:pPr>
    </w:p>
    <w:p>
      <w:pPr>
        <w:jc w:val="center"/>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-337185</wp:posOffset>
            </wp:positionH>
            <wp:positionV relativeFrom="paragraph">
              <wp:posOffset>255270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349885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487045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860" w:top="535" w:right="8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Report of Foreign Private Issuer on Form 6-K/A (this “Amended Report”) is furnished to amend the Report of Foreign Private Issuer originally furnished to the Securities and Exchange Commission by Credicorp Ltd. (“Credicorp”) on March 1, 2023 on the subject of MATERIAL EVENT (the “Original Report”).</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Credicorp notifies you that the Original Report mistakenly repeated information that had already been furnished. This Amended Report amends the Original Report to replace the entirety of the letter in the Original Report addressed to the Securities and Exchange Commission with the letter that Credicorp had intended to include in the Original Report. No other change to the Original Report is made by this Amended Report.</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letter in the Original Report addressed to the Securities and Exchange Commission is amended and replaced as follows: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March 1</w:t>
      </w:r>
      <w:r>
        <w:rPr>
          <w:rFonts w:ascii="Arial" w:cs="Arial" w:eastAsia="Arial" w:hAnsi="Arial"/>
          <w:sz w:val="35"/>
          <w:szCs w:val="35"/>
          <w:color w:val="auto"/>
          <w:vertAlign w:val="superscript"/>
        </w:rPr>
        <w:t>st</w:t>
      </w:r>
      <w:r>
        <w:rPr>
          <w:rFonts w:ascii="Arial" w:cs="Arial" w:eastAsia="Arial" w:hAnsi="Arial"/>
          <w:sz w:val="22"/>
          <w:szCs w:val="22"/>
          <w:color w:val="auto"/>
        </w:rPr>
        <w:t>, 2023</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 - SEC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 MATERIAL EVENT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Please find attached a copy of Credicorp’s Annual and Sustainability Report 2022, approved by the Company’s Board of Directors in its session held on February 23, 2023, and which will be presented to the Annual General Meeting of Shareholders on March 27, 2023.</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Miriam Böttger</w:t>
      </w:r>
    </w:p>
    <w:p>
      <w:pPr>
        <w:spacing w:after="0" w:line="238" w:lineRule="auto"/>
        <w:rPr>
          <w:sz w:val="20"/>
          <w:szCs w:val="20"/>
          <w:color w:val="auto"/>
        </w:rPr>
      </w:pPr>
      <w:r>
        <w:rPr>
          <w:rFonts w:ascii="Arial" w:cs="Arial" w:eastAsia="Arial" w:hAnsi="Arial"/>
          <w:sz w:val="22"/>
          <w:szCs w:val="22"/>
          <w:color w:val="auto"/>
        </w:rPr>
        <w:t>Authorized Representative</w:t>
      </w:r>
    </w:p>
    <w:p>
      <w:pPr>
        <w:spacing w:after="0"/>
        <w:rPr>
          <w:sz w:val="20"/>
          <w:szCs w:val="20"/>
          <w:color w:val="auto"/>
        </w:rPr>
      </w:pPr>
      <w:r>
        <w:rPr>
          <w:rFonts w:ascii="Arial" w:cs="Arial" w:eastAsia="Arial" w:hAnsi="Arial"/>
          <w:sz w:val="22"/>
          <w:szCs w:val="22"/>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120" w:firstLine="481"/>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Date: March 3, 2023</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CREDICORP LTD.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(Registrant)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ind w:left="220"/>
              <w:spacing w:after="0"/>
              <w:rPr>
                <w:sz w:val="20"/>
                <w:szCs w:val="20"/>
                <w:color w:val="auto"/>
              </w:rPr>
            </w:pPr>
            <w:r>
              <w:rPr>
                <w:rFonts w:ascii="Arial" w:cs="Arial" w:eastAsia="Arial" w:hAnsi="Arial"/>
                <w:sz w:val="16"/>
                <w:szCs w:val="16"/>
                <w:color w:val="auto"/>
              </w:rPr>
              <w:t>By:</w:t>
            </w:r>
          </w:p>
        </w:tc>
        <w:tc>
          <w:tcPr>
            <w:tcW w:w="10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Miriam Böttger</w:t>
            </w:r>
          </w:p>
        </w:tc>
      </w:tr>
      <w:tr>
        <w:trPr>
          <w:trHeight w:val="164"/>
        </w:trPr>
        <w:tc>
          <w:tcPr>
            <w:tcW w:w="880" w:type="dxa"/>
            <w:vAlign w:val="bottom"/>
          </w:tcPr>
          <w:p>
            <w:pPr>
              <w:spacing w:after="0"/>
              <w:rPr>
                <w:sz w:val="14"/>
                <w:szCs w:val="14"/>
                <w:color w:val="auto"/>
              </w:rPr>
            </w:pPr>
          </w:p>
        </w:tc>
        <w:tc>
          <w:tcPr>
            <w:tcW w:w="10360" w:type="dxa"/>
            <w:vAlign w:val="bottom"/>
          </w:tcPr>
          <w:p>
            <w:pPr>
              <w:spacing w:after="0" w:line="165" w:lineRule="exact"/>
              <w:rPr>
                <w:sz w:val="20"/>
                <w:szCs w:val="20"/>
                <w:color w:val="auto"/>
              </w:rPr>
            </w:pPr>
            <w:r>
              <w:rPr>
                <w:rFonts w:ascii="Arial" w:cs="Arial" w:eastAsia="Arial" w:hAnsi="Arial"/>
                <w:sz w:val="16"/>
                <w:szCs w:val="16"/>
                <w:b w:val="1"/>
                <w:bCs w:val="1"/>
                <w:color w:val="auto"/>
              </w:rPr>
              <w:t>Miriam Böttger</w:t>
            </w:r>
          </w:p>
        </w:tc>
      </w:tr>
      <w:tr>
        <w:trPr>
          <w:trHeight w:val="215"/>
        </w:trPr>
        <w:tc>
          <w:tcPr>
            <w:tcW w:w="88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6"/>
                <w:szCs w:val="16"/>
                <w:b w:val="1"/>
                <w:bCs w:val="1"/>
                <w:color w:val="auto"/>
              </w:rPr>
              <w:t>Authorized Representative</w:t>
            </w:r>
          </w:p>
        </w:tc>
      </w:tr>
      <w:tr>
        <w:trPr>
          <w:trHeight w:val="593"/>
        </w:trPr>
        <w:tc>
          <w:tcPr>
            <w:tcW w:w="8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2023-03-03T17:34:27Z</dcterms:created>
  <dcterms:modified xsi:type="dcterms:W3CDTF">2023-03-03T17:34:27Z</dcterms:modified>
</cp:coreProperties>
</file>